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(Mark One)</w:t>
      </w:r>
    </w:p>
    <w:p>
      <w:pPr>
        <w:spacing w:after="0" w:line="194" w:lineRule="exact"/>
        <w:rPr>
          <w:sz w:val="24"/>
          <w:szCs w:val="24"/>
          <w:color w:val="auto"/>
        </w:rPr>
      </w:pPr>
    </w:p>
    <w:p>
      <w:pPr>
        <w:ind w:left="1700" w:hanging="188"/>
        <w:spacing w:after="0"/>
        <w:tabs>
          <w:tab w:leader="none" w:pos="1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March 31, 2018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left="4180" w:right="1480" w:hanging="2691"/>
        <w:spacing w:after="0" w:line="559" w:lineRule="auto"/>
        <w:tabs>
          <w:tab w:leader="none" w:pos="1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ind w:left="44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48895</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FORTRESS TRANSPORTATION AND INFRASTRUCTURE INVESTORS LLC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rPr>
              <w:t>Delaware</w:t>
            </w:r>
          </w:p>
        </w:tc>
        <w:tc>
          <w:tcPr>
            <w:tcW w:w="5240" w:type="dxa"/>
            <w:vAlign w:val="bottom"/>
          </w:tcPr>
          <w:p>
            <w:pPr>
              <w:jc w:val="right"/>
              <w:ind w:right="2099"/>
              <w:spacing w:after="0"/>
              <w:rPr>
                <w:sz w:val="20"/>
                <w:szCs w:val="20"/>
                <w:color w:val="auto"/>
              </w:rPr>
            </w:pPr>
            <w:r>
              <w:rPr>
                <w:rFonts w:ascii="Arial" w:cs="Arial" w:eastAsia="Arial" w:hAnsi="Arial"/>
                <w:sz w:val="16"/>
                <w:szCs w:val="16"/>
                <w:b w:val="1"/>
                <w:bCs w:val="1"/>
                <w:color w:val="auto"/>
              </w:rPr>
              <w:t>32-0434238</w:t>
            </w:r>
          </w:p>
        </w:tc>
      </w:tr>
      <w:tr>
        <w:trPr>
          <w:trHeight w:val="47"/>
        </w:trPr>
        <w:tc>
          <w:tcPr>
            <w:tcW w:w="52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01"/>
        </w:trPr>
        <w:tc>
          <w:tcPr>
            <w:tcW w:w="618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rPr>
              <w:t>1345 Avenue of the Americas,</w:t>
            </w:r>
          </w:p>
        </w:tc>
        <w:tc>
          <w:tcPr>
            <w:tcW w:w="5240" w:type="dxa"/>
            <w:vAlign w:val="bottom"/>
          </w:tcPr>
          <w:p>
            <w:pPr>
              <w:spacing w:after="0"/>
              <w:rPr>
                <w:sz w:val="24"/>
                <w:szCs w:val="24"/>
                <w:color w:val="auto"/>
              </w:rPr>
            </w:pPr>
          </w:p>
        </w:tc>
      </w:tr>
      <w:tr>
        <w:trPr>
          <w:trHeight w:val="228"/>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New York, NY</w:t>
            </w:r>
          </w:p>
        </w:tc>
        <w:tc>
          <w:tcPr>
            <w:tcW w:w="920" w:type="dxa"/>
            <w:vAlign w:val="bottom"/>
          </w:tcPr>
          <w:p>
            <w:pPr>
              <w:spacing w:after="0"/>
              <w:rPr>
                <w:sz w:val="19"/>
                <w:szCs w:val="19"/>
                <w:color w:val="auto"/>
              </w:rPr>
            </w:pPr>
          </w:p>
        </w:tc>
        <w:tc>
          <w:tcPr>
            <w:tcW w:w="5240" w:type="dxa"/>
            <w:vAlign w:val="bottom"/>
            <w:tcBorders>
              <w:bottom w:val="single" w:sz="8" w:color="auto"/>
            </w:tcBorders>
          </w:tcPr>
          <w:p>
            <w:pPr>
              <w:jc w:val="right"/>
              <w:ind w:right="2319"/>
              <w:spacing w:after="0"/>
              <w:rPr>
                <w:sz w:val="20"/>
                <w:szCs w:val="20"/>
                <w:color w:val="auto"/>
              </w:rPr>
            </w:pPr>
            <w:r>
              <w:rPr>
                <w:rFonts w:ascii="Arial" w:cs="Arial" w:eastAsia="Arial" w:hAnsi="Arial"/>
                <w:sz w:val="16"/>
                <w:szCs w:val="16"/>
                <w:b w:val="1"/>
                <w:bCs w:val="1"/>
                <w:color w:val="auto"/>
              </w:rPr>
              <w:t>10105</w:t>
            </w:r>
          </w:p>
        </w:tc>
      </w:tr>
      <w:tr>
        <w:trPr>
          <w:trHeight w:val="224"/>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both"/>
        <w:ind w:right="1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ind w:right="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4" w:lineRule="exact"/>
        <w:rPr>
          <w:sz w:val="24"/>
          <w:szCs w:val="24"/>
          <w:color w:val="auto"/>
        </w:rPr>
      </w:pPr>
    </w:p>
    <w:p>
      <w:pPr>
        <w:ind w:right="20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93"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4" w:lineRule="exact"/>
        <w:rPr>
          <w:sz w:val="24"/>
          <w:szCs w:val="24"/>
          <w:color w:val="auto"/>
        </w:rPr>
      </w:pPr>
    </w:p>
    <w:p>
      <w:pPr>
        <w:sectPr>
          <w:pgSz w:w="11900" w:h="16838" w:orient="portrait"/>
          <w:cols w:equalWidth="0" w:num="2">
            <w:col w:w="7160" w:space="720"/>
            <w:col w:w="3540"/>
          </w:cols>
          <w:pgMar w:left="240" w:top="229" w:right="239" w:bottom="1440" w:gutter="0" w:footer="0" w:header="0"/>
          <w:type w:val="continuous"/>
        </w:sectPr>
      </w:pPr>
    </w:p>
    <w:p>
      <w:pPr>
        <w:spacing w:after="0" w:line="41"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41" w:lineRule="exact"/>
        <w:rPr>
          <w:sz w:val="24"/>
          <w:szCs w:val="24"/>
          <w:color w:val="auto"/>
        </w:rPr>
      </w:pPr>
    </w:p>
    <w:p>
      <w:pPr>
        <w:sectPr>
          <w:pgSz w:w="11900" w:h="16838" w:orient="portrait"/>
          <w:cols w:equalWidth="0" w:num="3">
            <w:col w:w="3460" w:space="80"/>
            <w:col w:w="3200" w:space="720"/>
            <w:col w:w="3960"/>
          </w:cols>
          <w:pgMar w:left="240" w:top="229" w:right="239" w:bottom="1440" w:gutter="0" w:footer="0" w:header="0"/>
          <w:type w:val="continuous"/>
        </w:sectPr>
      </w:pPr>
    </w:p>
    <w:p>
      <w:pPr>
        <w:spacing w:after="0" w:line="33" w:lineRule="exact"/>
        <w:rPr>
          <w:sz w:val="24"/>
          <w:szCs w:val="24"/>
          <w:color w:val="auto"/>
        </w:rPr>
      </w:pPr>
    </w:p>
    <w:p>
      <w:pPr>
        <w:jc w:val="cente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420"/>
          </w:cols>
          <w:pgMar w:left="240" w:top="229" w:right="239" w:bottom="1440" w:gutter="0" w:footer="0" w:header="0"/>
          <w:type w:val="continuous"/>
        </w:sectPr>
      </w:pPr>
    </w:p>
    <w:p>
      <w:pPr>
        <w:spacing w:after="0" w:line="261" w:lineRule="exact"/>
        <w:rPr>
          <w:sz w:val="24"/>
          <w:szCs w:val="24"/>
          <w:color w:val="auto"/>
        </w:rPr>
      </w:pPr>
    </w:p>
    <w:p>
      <w:pPr>
        <w:ind w:right="3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There were 82,779,232 common shares representing limited liability company interests outstanding at May 4, 2018.</w:t>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00497F"/>
        </w:rPr>
        <w:t>FORWARD-LOOKING STATEMENTS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98"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w:t>
      </w:r>
    </w:p>
    <w:p>
      <w:pPr>
        <w:spacing w:after="0" w:line="113" w:lineRule="exact"/>
        <w:rPr>
          <w:rFonts w:ascii="Arial" w:cs="Arial" w:eastAsia="Arial" w:hAnsi="Arial"/>
          <w:sz w:val="16"/>
          <w:szCs w:val="16"/>
          <w:color w:val="auto"/>
        </w:rPr>
      </w:pPr>
    </w:p>
    <w:p>
      <w:pPr>
        <w:ind w:left="820" w:hanging="326"/>
        <w:spacing w:after="0" w:line="260"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87"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renew existing contracts and win additional contracts with existing or potential customers;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within the aviation, energy, intermodal transport and rail sectors;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113" w:lineRule="exact"/>
        <w:rPr>
          <w:rFonts w:ascii="Arial" w:cs="Arial" w:eastAsia="Arial" w:hAnsi="Arial"/>
          <w:sz w:val="16"/>
          <w:szCs w:val="16"/>
          <w:color w:val="auto"/>
        </w:rPr>
      </w:pPr>
    </w:p>
    <w:p>
      <w:pPr>
        <w:ind w:left="820" w:right="20" w:hanging="326"/>
        <w:spacing w:after="0" w:line="260"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87"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113" w:lineRule="exact"/>
        <w:rPr>
          <w:rFonts w:ascii="Arial" w:cs="Arial" w:eastAsia="Arial" w:hAnsi="Arial"/>
          <w:sz w:val="16"/>
          <w:szCs w:val="16"/>
          <w:color w:val="auto"/>
        </w:rPr>
      </w:pPr>
    </w:p>
    <w:p>
      <w:pPr>
        <w:ind w:left="820" w:right="20" w:hanging="326"/>
        <w:spacing w:after="0" w:line="260"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87"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effects of the recently completed merger of Fortress Investment Group LLC with affiliates of SoftBank Group Corp.;</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volatility in the market price of our common shares;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3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709"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8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820" w:type="dxa"/>
            <w:vAlign w:val="bottom"/>
            <w:gridSpan w:val="7"/>
          </w:tcPr>
          <w:p>
            <w:pPr>
              <w:ind w:left="480"/>
              <w:spacing w:after="0"/>
              <w:rPr>
                <w:sz w:val="20"/>
                <w:szCs w:val="20"/>
                <w:color w:val="auto"/>
              </w:rPr>
            </w:pPr>
            <w:r>
              <w:rPr>
                <w:rFonts w:ascii="Arial" w:cs="Arial" w:eastAsia="Arial" w:hAnsi="Arial"/>
                <w:sz w:val="14"/>
                <w:szCs w:val="14"/>
                <w:b w:val="1"/>
                <w:bCs w:val="1"/>
                <w:color w:val="006EBF"/>
              </w:rPr>
              <w:t>PART I - FINANCIAL INFORMATION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960" w:type="dxa"/>
            <w:vAlign w:val="bottom"/>
            <w:gridSpan w:val="9"/>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Unaudited Consolidated Financial Statements of Fortress Transportation and Infrastructure Investors LLC:</w:t>
              </w:r>
            </w:hyperlink>
          </w:p>
        </w:tc>
        <w:tc>
          <w:tcPr>
            <w:tcW w:w="80" w:type="dxa"/>
            <w:vAlign w:val="bottom"/>
          </w:tcPr>
          <w:p>
            <w:pPr>
              <w:jc w:val="center"/>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40" w:type="dxa"/>
            <w:vAlign w:val="bottom"/>
          </w:tcPr>
          <w:p>
            <w:pPr>
              <w:spacing w:after="0"/>
              <w:rPr>
                <w:sz w:val="16"/>
                <w:szCs w:val="16"/>
                <w:color w:val="auto"/>
              </w:rPr>
            </w:pPr>
          </w:p>
        </w:tc>
      </w:tr>
      <w:tr>
        <w:trPr>
          <w:trHeight w:val="250"/>
        </w:trPr>
        <w:tc>
          <w:tcPr>
            <w:tcW w:w="1040" w:type="dxa"/>
            <w:vAlign w:val="bottom"/>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80" w:type="dxa"/>
            <w:vAlign w:val="bottom"/>
            <w:tcBorders>
              <w:top w:val="single" w:sz="8" w:color="0000EE"/>
              <w:bottom w:val="single" w:sz="8" w:color="0000EE"/>
            </w:tcBorders>
            <w:gridSpan w:val="2"/>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Consolidated Balance Sheets as of March 31, 2018 and December 31, 2017</w:t>
              </w:r>
            </w:hyperlink>
          </w:p>
        </w:tc>
        <w:tc>
          <w:tcPr>
            <w:tcW w:w="1520" w:type="dxa"/>
            <w:vAlign w:val="bottom"/>
            <w:tcBorders>
              <w:top w:val="single" w:sz="8" w:color="0000EE"/>
            </w:tcBorders>
            <w:gridSpan w:val="4"/>
          </w:tcPr>
          <w:p>
            <w:pPr>
              <w:spacing w:after="0"/>
              <w:rPr>
                <w:sz w:val="21"/>
                <w:szCs w:val="21"/>
                <w:color w:val="auto"/>
              </w:rPr>
            </w:pPr>
          </w:p>
        </w:tc>
        <w:tc>
          <w:tcPr>
            <w:tcW w:w="3220" w:type="dxa"/>
            <w:vAlign w:val="bottom"/>
            <w:gridSpan w:val="2"/>
          </w:tcPr>
          <w:p>
            <w:pPr>
              <w:spacing w:after="0"/>
              <w:rPr>
                <w:sz w:val="21"/>
                <w:szCs w:val="21"/>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4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20" w:type="dxa"/>
            <w:vAlign w:val="bottom"/>
            <w:gridSpan w:val="8"/>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Consolidated Statements of Operations for the three months ended March 31, 2018 and 2017</w:t>
              </w:r>
            </w:hyperlink>
          </w:p>
        </w:tc>
        <w:tc>
          <w:tcPr>
            <w:tcW w:w="80" w:type="dxa"/>
            <w:vAlign w:val="bottom"/>
          </w:tcPr>
          <w:p>
            <w:pPr>
              <w:jc w:val="center"/>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4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20" w:type="dxa"/>
            <w:vAlign w:val="bottom"/>
            <w:gridSpan w:val="8"/>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Consolidated Statements of Comprehensive Income (Loss) for the three months ended March 31, 2018 and 2017</w:t>
              </w:r>
            </w:hyperlink>
          </w:p>
        </w:tc>
        <w:tc>
          <w:tcPr>
            <w:tcW w:w="80" w:type="dxa"/>
            <w:vAlign w:val="bottom"/>
          </w:tcPr>
          <w:p>
            <w:pPr>
              <w:jc w:val="center"/>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c>
          <w:tcPr>
            <w:tcW w:w="4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20" w:type="dxa"/>
            <w:vAlign w:val="bottom"/>
            <w:tcBorders>
              <w:top w:val="single" w:sz="8" w:color="0000EE"/>
              <w:bottom w:val="single" w:sz="8" w:color="0000EE"/>
            </w:tcBorders>
            <w:gridSpan w:val="3"/>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Consolidated Statement of Changes in Equity for the three months ended March 31, 2018</w:t>
              </w:r>
            </w:hyperlink>
          </w:p>
        </w:tc>
        <w:tc>
          <w:tcPr>
            <w:tcW w:w="1500" w:type="dxa"/>
            <w:vAlign w:val="bottom"/>
            <w:tcBorders>
              <w:top w:val="single" w:sz="8" w:color="0000EE"/>
            </w:tcBorders>
            <w:gridSpan w:val="4"/>
          </w:tcPr>
          <w:p>
            <w:pPr>
              <w:spacing w:after="0"/>
              <w:rPr>
                <w:sz w:val="21"/>
                <w:szCs w:val="21"/>
                <w:color w:val="auto"/>
              </w:rPr>
            </w:pPr>
          </w:p>
        </w:tc>
        <w:tc>
          <w:tcPr>
            <w:tcW w:w="2400" w:type="dxa"/>
            <w:vAlign w:val="bottom"/>
          </w:tcPr>
          <w:p>
            <w:pPr>
              <w:spacing w:after="0"/>
              <w:rPr>
                <w:sz w:val="21"/>
                <w:szCs w:val="21"/>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c>
          <w:tcPr>
            <w:tcW w:w="4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20" w:type="dxa"/>
            <w:vAlign w:val="bottom"/>
            <w:tcBorders>
              <w:bottom w:val="single" w:sz="8" w:color="0000EE"/>
            </w:tcBorders>
            <w:gridSpan w:val="5"/>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Consolidated Statements of Cash Flows for the three months ended March 31, 2018 and 2017</w:t>
              </w:r>
            </w:hyperlink>
          </w:p>
        </w:tc>
        <w:tc>
          <w:tcPr>
            <w:tcW w:w="3600" w:type="dxa"/>
            <w:vAlign w:val="bottom"/>
            <w:gridSpan w:val="3"/>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c>
          <w:tcPr>
            <w:tcW w:w="4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20" w:type="dxa"/>
            <w:vAlign w:val="bottom"/>
            <w:gridSpan w:val="8"/>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Notes to Consolidated Financial Statements</w:t>
              </w:r>
            </w:hyperlink>
          </w:p>
        </w:tc>
        <w:tc>
          <w:tcPr>
            <w:tcW w:w="120" w:type="dxa"/>
            <w:vAlign w:val="bottom"/>
            <w:gridSpan w:val="2"/>
          </w:tcPr>
          <w:p>
            <w:pPr>
              <w:jc w:val="center"/>
              <w:spacing w:after="0"/>
              <w:rPr>
                <w:rFonts w:ascii="Arial" w:cs="Arial" w:eastAsia="Arial" w:hAnsi="Arial"/>
                <w:sz w:val="14"/>
                <w:szCs w:val="14"/>
                <w:color w:val="0000EE"/>
                <w:w w:val="76"/>
              </w:rPr>
            </w:pPr>
            <w:hyperlink w:anchor="page11">
              <w:r>
                <w:rPr>
                  <w:rFonts w:ascii="Arial" w:cs="Arial" w:eastAsia="Arial" w:hAnsi="Arial"/>
                  <w:sz w:val="14"/>
                  <w:szCs w:val="14"/>
                  <w:color w:val="0000EE"/>
                  <w:w w:val="76"/>
                </w:rPr>
                <w:t>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360" w:type="dxa"/>
            <w:vAlign w:val="bottom"/>
            <w:gridSpan w:val="24"/>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 1: Organization</w:t>
              </w:r>
            </w:hyperlink>
          </w:p>
        </w:tc>
        <w:tc>
          <w:tcPr>
            <w:tcW w:w="160" w:type="dxa"/>
            <w:vAlign w:val="bottom"/>
          </w:tcPr>
          <w:p>
            <w:pPr>
              <w:jc w:val="right"/>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80" w:type="dxa"/>
            <w:vAlign w:val="bottom"/>
            <w:tcBorders>
              <w:bottom w:val="single" w:sz="8" w:color="0000EE"/>
            </w:tcBorders>
            <w:gridSpan w:val="20"/>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 2: Summary of Significant Accounting Policies</w:t>
              </w:r>
            </w:hyperlink>
          </w:p>
        </w:tc>
        <w:tc>
          <w:tcPr>
            <w:tcW w:w="6080" w:type="dxa"/>
            <w:vAlign w:val="bottom"/>
            <w:gridSpan w:val="4"/>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20" w:type="dxa"/>
            <w:vAlign w:val="bottom"/>
            <w:tcBorders>
              <w:bottom w:val="single" w:sz="8" w:color="0000EE"/>
            </w:tcBorders>
            <w:gridSpan w:val="12"/>
          </w:tcPr>
          <w:p>
            <w:pPr>
              <w:spacing w:after="0"/>
              <w:rPr>
                <w:rFonts w:ascii="Arial" w:cs="Arial" w:eastAsia="Arial" w:hAnsi="Arial"/>
                <w:sz w:val="14"/>
                <w:szCs w:val="14"/>
                <w:color w:val="0000EE"/>
              </w:rPr>
            </w:pPr>
            <w:hyperlink w:anchor="page16">
              <w:r>
                <w:rPr>
                  <w:rFonts w:ascii="Arial" w:cs="Arial" w:eastAsia="Arial" w:hAnsi="Arial"/>
                  <w:sz w:val="14"/>
                  <w:szCs w:val="14"/>
                  <w:color w:val="0000EE"/>
                </w:rPr>
                <w:t>Note 3: Leasing Equipment, net</w:t>
              </w:r>
            </w:hyperlink>
          </w:p>
        </w:tc>
        <w:tc>
          <w:tcPr>
            <w:tcW w:w="7340" w:type="dxa"/>
            <w:vAlign w:val="bottom"/>
            <w:gridSpan w:val="12"/>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16">
              <w:r>
                <w:rPr>
                  <w:rFonts w:ascii="Arial" w:cs="Arial" w:eastAsia="Arial" w:hAnsi="Arial"/>
                  <w:sz w:val="14"/>
                  <w:szCs w:val="14"/>
                  <w:color w:val="0000EE"/>
                  <w:w w:val="89"/>
                </w:rPr>
                <w:t>16</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Note 4: Finance Leases, net</w:t>
              </w:r>
            </w:hyperlink>
          </w:p>
        </w:tc>
        <w:tc>
          <w:tcPr>
            <w:tcW w:w="160" w:type="dxa"/>
            <w:vAlign w:val="bottom"/>
          </w:tcPr>
          <w:p>
            <w:pPr>
              <w:jc w:val="right"/>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17</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740" w:type="dxa"/>
            <w:vAlign w:val="bottom"/>
            <w:tcBorders>
              <w:bottom w:val="single" w:sz="8" w:color="0000EE"/>
            </w:tcBorders>
            <w:gridSpan w:val="17"/>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Note 5: Property, Plant and Equipment, net</w:t>
              </w:r>
            </w:hyperlink>
          </w:p>
        </w:tc>
        <w:tc>
          <w:tcPr>
            <w:tcW w:w="6620" w:type="dxa"/>
            <w:vAlign w:val="bottom"/>
            <w:gridSpan w:val="7"/>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17</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Note 6: Investments</w:t>
              </w:r>
            </w:hyperlink>
          </w:p>
        </w:tc>
        <w:tc>
          <w:tcPr>
            <w:tcW w:w="160" w:type="dxa"/>
            <w:vAlign w:val="bottom"/>
          </w:tcPr>
          <w:p>
            <w:pPr>
              <w:jc w:val="right"/>
              <w:spacing w:after="0"/>
              <w:rPr>
                <w:rFonts w:ascii="Arial" w:cs="Arial" w:eastAsia="Arial" w:hAnsi="Arial"/>
                <w:sz w:val="14"/>
                <w:szCs w:val="14"/>
                <w:color w:val="0000EE"/>
                <w:w w:val="89"/>
              </w:rPr>
            </w:pPr>
            <w:hyperlink w:anchor="page18">
              <w:r>
                <w:rPr>
                  <w:rFonts w:ascii="Arial" w:cs="Arial" w:eastAsia="Arial" w:hAnsi="Arial"/>
                  <w:sz w:val="14"/>
                  <w:szCs w:val="14"/>
                  <w:color w:val="0000EE"/>
                  <w:w w:val="89"/>
                </w:rPr>
                <w:t>18</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tcBorders>
              <w:bottom w:val="single" w:sz="8" w:color="0000EE"/>
            </w:tcBorders>
            <w:gridSpan w:val="18"/>
          </w:tcPr>
          <w:p>
            <w:pPr>
              <w:spacing w:after="0"/>
              <w:rPr>
                <w:rFonts w:ascii="Arial" w:cs="Arial" w:eastAsia="Arial" w:hAnsi="Arial"/>
                <w:sz w:val="14"/>
                <w:szCs w:val="14"/>
                <w:color w:val="0000EE"/>
              </w:rPr>
            </w:pPr>
            <w:hyperlink w:anchor="page19">
              <w:r>
                <w:rPr>
                  <w:rFonts w:ascii="Arial" w:cs="Arial" w:eastAsia="Arial" w:hAnsi="Arial"/>
                  <w:sz w:val="14"/>
                  <w:szCs w:val="14"/>
                  <w:color w:val="0000EE"/>
                </w:rPr>
                <w:t>Note 7: Intangible Assets and Liabilities, net</w:t>
              </w:r>
            </w:hyperlink>
          </w:p>
        </w:tc>
        <w:tc>
          <w:tcPr>
            <w:tcW w:w="6560" w:type="dxa"/>
            <w:vAlign w:val="bottom"/>
            <w:gridSpan w:val="6"/>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19">
              <w:r>
                <w:rPr>
                  <w:rFonts w:ascii="Arial" w:cs="Arial" w:eastAsia="Arial" w:hAnsi="Arial"/>
                  <w:sz w:val="14"/>
                  <w:szCs w:val="14"/>
                  <w:color w:val="0000EE"/>
                  <w:w w:val="89"/>
                </w:rPr>
                <w:t>19</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Borders>
              <w:bottom w:val="single" w:sz="8" w:color="0000EE"/>
            </w:tcBorders>
            <w:gridSpan w:val="6"/>
          </w:tcPr>
          <w:p>
            <w:pPr>
              <w:spacing w:after="0"/>
              <w:rPr>
                <w:rFonts w:ascii="Arial" w:cs="Arial" w:eastAsia="Arial" w:hAnsi="Arial"/>
                <w:sz w:val="14"/>
                <w:szCs w:val="14"/>
                <w:color w:val="0000EE"/>
              </w:rPr>
            </w:pPr>
            <w:hyperlink w:anchor="page21">
              <w:r>
                <w:rPr>
                  <w:rFonts w:ascii="Arial" w:cs="Arial" w:eastAsia="Arial" w:hAnsi="Arial"/>
                  <w:sz w:val="14"/>
                  <w:szCs w:val="14"/>
                  <w:color w:val="0000EE"/>
                </w:rPr>
                <w:t>Note 8: Debt, net</w:t>
              </w:r>
            </w:hyperlink>
          </w:p>
        </w:tc>
        <w:tc>
          <w:tcPr>
            <w:tcW w:w="8260" w:type="dxa"/>
            <w:vAlign w:val="bottom"/>
            <w:gridSpan w:val="18"/>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1">
              <w:r>
                <w:rPr>
                  <w:rFonts w:ascii="Arial" w:cs="Arial" w:eastAsia="Arial" w:hAnsi="Arial"/>
                  <w:sz w:val="14"/>
                  <w:szCs w:val="14"/>
                  <w:color w:val="0000EE"/>
                  <w:w w:val="89"/>
                </w:rPr>
                <w:t>21</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Note 9: Fair Value Measurements</w:t>
              </w:r>
            </w:hyperlink>
          </w:p>
        </w:tc>
        <w:tc>
          <w:tcPr>
            <w:tcW w:w="160" w:type="dxa"/>
            <w:vAlign w:val="bottom"/>
          </w:tcPr>
          <w:p>
            <w:pPr>
              <w:jc w:val="right"/>
              <w:spacing w:after="0"/>
              <w:rPr>
                <w:rFonts w:ascii="Arial" w:cs="Arial" w:eastAsia="Arial" w:hAnsi="Arial"/>
                <w:sz w:val="14"/>
                <w:szCs w:val="14"/>
                <w:color w:val="0000EE"/>
                <w:w w:val="89"/>
              </w:rPr>
            </w:pPr>
            <w:hyperlink w:anchor="page24">
              <w:r>
                <w:rPr>
                  <w:rFonts w:ascii="Arial" w:cs="Arial" w:eastAsia="Arial" w:hAnsi="Arial"/>
                  <w:sz w:val="14"/>
                  <w:szCs w:val="14"/>
                  <w:color w:val="0000EE"/>
                  <w:w w:val="89"/>
                </w:rPr>
                <w:t>24</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top w:val="single" w:sz="8" w:color="0000EE"/>
              <w:bottom w:val="single" w:sz="8" w:color="0000EE"/>
            </w:tcBorders>
            <w:gridSpan w:val="7"/>
          </w:tcPr>
          <w:p>
            <w:pPr>
              <w:spacing w:after="0"/>
              <w:rPr>
                <w:rFonts w:ascii="Arial" w:cs="Arial" w:eastAsia="Arial" w:hAnsi="Arial"/>
                <w:sz w:val="14"/>
                <w:szCs w:val="14"/>
                <w:color w:val="0000EE"/>
              </w:rPr>
            </w:pPr>
            <w:hyperlink w:anchor="page25">
              <w:r>
                <w:rPr>
                  <w:rFonts w:ascii="Arial" w:cs="Arial" w:eastAsia="Arial" w:hAnsi="Arial"/>
                  <w:sz w:val="14"/>
                  <w:szCs w:val="14"/>
                  <w:color w:val="0000EE"/>
                </w:rPr>
                <w:t>Note 10: Revenues</w:t>
              </w:r>
            </w:hyperlink>
          </w:p>
        </w:tc>
        <w:tc>
          <w:tcPr>
            <w:tcW w:w="860" w:type="dxa"/>
            <w:vAlign w:val="bottom"/>
            <w:tcBorders>
              <w:top w:val="single" w:sz="8" w:color="0000EE"/>
            </w:tcBorders>
            <w:gridSpan w:val="6"/>
          </w:tcPr>
          <w:p>
            <w:pPr>
              <w:spacing w:after="0"/>
              <w:rPr>
                <w:sz w:val="21"/>
                <w:szCs w:val="21"/>
                <w:color w:val="auto"/>
              </w:rPr>
            </w:pPr>
          </w:p>
        </w:tc>
        <w:tc>
          <w:tcPr>
            <w:tcW w:w="7220" w:type="dxa"/>
            <w:vAlign w:val="bottom"/>
            <w:gridSpan w:val="11"/>
          </w:tcPr>
          <w:p>
            <w:pPr>
              <w:spacing w:after="0"/>
              <w:rPr>
                <w:sz w:val="21"/>
                <w:szCs w:val="21"/>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25">
              <w:r>
                <w:rPr>
                  <w:rFonts w:ascii="Arial" w:cs="Arial" w:eastAsia="Arial" w:hAnsi="Arial"/>
                  <w:sz w:val="14"/>
                  <w:szCs w:val="14"/>
                  <w:color w:val="0000EE"/>
                  <w:w w:val="89"/>
                </w:rPr>
                <w:t>25</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20" w:type="dxa"/>
            <w:vAlign w:val="bottom"/>
            <w:tcBorders>
              <w:bottom w:val="single" w:sz="8" w:color="0000EE"/>
            </w:tcBorders>
            <w:gridSpan w:val="14"/>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Note 11: Equity-Based Compensation</w:t>
              </w:r>
            </w:hyperlink>
          </w:p>
        </w:tc>
        <w:tc>
          <w:tcPr>
            <w:tcW w:w="6940" w:type="dxa"/>
            <w:vAlign w:val="bottom"/>
            <w:gridSpan w:val="10"/>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7">
              <w:r>
                <w:rPr>
                  <w:rFonts w:ascii="Arial" w:cs="Arial" w:eastAsia="Arial" w:hAnsi="Arial"/>
                  <w:sz w:val="14"/>
                  <w:szCs w:val="14"/>
                  <w:color w:val="0000EE"/>
                  <w:w w:val="89"/>
                </w:rPr>
                <w:t>27</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Borders>
              <w:bottom w:val="single" w:sz="8" w:color="0000EE"/>
            </w:tcBorders>
            <w:gridSpan w:val="8"/>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Note 12: Income Taxes</w:t>
              </w:r>
            </w:hyperlink>
          </w:p>
        </w:tc>
        <w:tc>
          <w:tcPr>
            <w:tcW w:w="7880" w:type="dxa"/>
            <w:vAlign w:val="bottom"/>
            <w:gridSpan w:val="16"/>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8">
              <w:r>
                <w:rPr>
                  <w:rFonts w:ascii="Arial" w:cs="Arial" w:eastAsia="Arial" w:hAnsi="Arial"/>
                  <w:sz w:val="14"/>
                  <w:szCs w:val="14"/>
                  <w:color w:val="0000EE"/>
                  <w:w w:val="89"/>
                </w:rPr>
                <w:t>28</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20" w:type="dxa"/>
            <w:vAlign w:val="bottom"/>
            <w:tcBorders>
              <w:bottom w:val="single" w:sz="8" w:color="0000EE"/>
            </w:tcBorders>
            <w:gridSpan w:val="22"/>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Note 13: Management Agreement and Affiliate Transactions</w:t>
              </w:r>
            </w:hyperlink>
          </w:p>
        </w:tc>
        <w:tc>
          <w:tcPr>
            <w:tcW w:w="5540" w:type="dxa"/>
            <w:vAlign w:val="bottom"/>
            <w:gridSpan w:val="2"/>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8">
              <w:r>
                <w:rPr>
                  <w:rFonts w:ascii="Arial" w:cs="Arial" w:eastAsia="Arial" w:hAnsi="Arial"/>
                  <w:sz w:val="14"/>
                  <w:szCs w:val="14"/>
                  <w:color w:val="0000EE"/>
                  <w:w w:val="89"/>
                </w:rPr>
                <w:t>28</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30">
              <w:r>
                <w:rPr>
                  <w:rFonts w:ascii="Arial" w:cs="Arial" w:eastAsia="Arial" w:hAnsi="Arial"/>
                  <w:sz w:val="14"/>
                  <w:szCs w:val="14"/>
                  <w:color w:val="0000EE"/>
                </w:rPr>
                <w:t>Note 14: Segment Information</w:t>
              </w:r>
            </w:hyperlink>
          </w:p>
        </w:tc>
        <w:tc>
          <w:tcPr>
            <w:tcW w:w="160" w:type="dxa"/>
            <w:vAlign w:val="bottom"/>
          </w:tcPr>
          <w:p>
            <w:pPr>
              <w:jc w:val="right"/>
              <w:spacing w:after="0"/>
              <w:rPr>
                <w:rFonts w:ascii="Arial" w:cs="Arial" w:eastAsia="Arial" w:hAnsi="Arial"/>
                <w:sz w:val="14"/>
                <w:szCs w:val="14"/>
                <w:color w:val="0000EE"/>
                <w:w w:val="89"/>
              </w:rPr>
            </w:pPr>
            <w:hyperlink w:anchor="page30">
              <w:r>
                <w:rPr>
                  <w:rFonts w:ascii="Arial" w:cs="Arial" w:eastAsia="Arial" w:hAnsi="Arial"/>
                  <w:sz w:val="14"/>
                  <w:szCs w:val="14"/>
                  <w:color w:val="0000EE"/>
                  <w:w w:val="89"/>
                </w:rPr>
                <w:t>30</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Note 15: Earnings per Share and Equity</w:t>
              </w:r>
            </w:hyperlink>
          </w:p>
        </w:tc>
        <w:tc>
          <w:tcPr>
            <w:tcW w:w="160" w:type="dxa"/>
            <w:vAlign w:val="bottom"/>
          </w:tcPr>
          <w:p>
            <w:pPr>
              <w:jc w:val="right"/>
              <w:spacing w:after="0"/>
              <w:rPr>
                <w:rFonts w:ascii="Arial" w:cs="Arial" w:eastAsia="Arial" w:hAnsi="Arial"/>
                <w:sz w:val="14"/>
                <w:szCs w:val="14"/>
                <w:color w:val="0000EE"/>
                <w:w w:val="89"/>
              </w:rPr>
            </w:pPr>
            <w:hyperlink w:anchor="page36">
              <w:r>
                <w:rPr>
                  <w:rFonts w:ascii="Arial" w:cs="Arial" w:eastAsia="Arial" w:hAnsi="Arial"/>
                  <w:sz w:val="14"/>
                  <w:szCs w:val="14"/>
                  <w:color w:val="0000EE"/>
                  <w:w w:val="89"/>
                </w:rPr>
                <w:t>36</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Note 16: Commitments and Contingencies</w:t>
              </w:r>
            </w:hyperlink>
          </w:p>
        </w:tc>
        <w:tc>
          <w:tcPr>
            <w:tcW w:w="160" w:type="dxa"/>
            <w:vAlign w:val="bottom"/>
          </w:tcPr>
          <w:p>
            <w:pPr>
              <w:jc w:val="right"/>
              <w:spacing w:after="0"/>
              <w:rPr>
                <w:rFonts w:ascii="Arial" w:cs="Arial" w:eastAsia="Arial" w:hAnsi="Arial"/>
                <w:sz w:val="14"/>
                <w:szCs w:val="14"/>
                <w:color w:val="0000EE"/>
                <w:w w:val="89"/>
              </w:rPr>
            </w:pPr>
            <w:hyperlink w:anchor="page37">
              <w:r>
                <w:rPr>
                  <w:rFonts w:ascii="Arial" w:cs="Arial" w:eastAsia="Arial" w:hAnsi="Arial"/>
                  <w:sz w:val="14"/>
                  <w:szCs w:val="14"/>
                  <w:color w:val="0000EE"/>
                  <w:w w:val="89"/>
                </w:rPr>
                <w:t>37</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Borders>
              <w:top w:val="single" w:sz="8" w:color="0000EE"/>
              <w:bottom w:val="single" w:sz="8" w:color="0000EE"/>
            </w:tcBorders>
            <w:gridSpan w:val="10"/>
          </w:tcPr>
          <w:p>
            <w:pPr>
              <w:spacing w:after="0"/>
              <w:rPr>
                <w:rFonts w:ascii="Arial" w:cs="Arial" w:eastAsia="Arial" w:hAnsi="Arial"/>
                <w:sz w:val="14"/>
                <w:szCs w:val="14"/>
                <w:color w:val="0000EE"/>
              </w:rPr>
            </w:pPr>
            <w:hyperlink w:anchor="page38">
              <w:r>
                <w:rPr>
                  <w:rFonts w:ascii="Arial" w:cs="Arial" w:eastAsia="Arial" w:hAnsi="Arial"/>
                  <w:sz w:val="14"/>
                  <w:szCs w:val="14"/>
                  <w:color w:val="0000EE"/>
                </w:rPr>
                <w:t>Note 17: Subsequent Events</w:t>
              </w:r>
            </w:hyperlink>
          </w:p>
        </w:tc>
        <w:tc>
          <w:tcPr>
            <w:tcW w:w="860" w:type="dxa"/>
            <w:vAlign w:val="bottom"/>
            <w:tcBorders>
              <w:top w:val="single" w:sz="8" w:color="0000EE"/>
            </w:tcBorders>
            <w:gridSpan w:val="6"/>
          </w:tcPr>
          <w:p>
            <w:pPr>
              <w:spacing w:after="0"/>
              <w:rPr>
                <w:sz w:val="21"/>
                <w:szCs w:val="21"/>
                <w:color w:val="auto"/>
              </w:rPr>
            </w:pPr>
          </w:p>
        </w:tc>
        <w:tc>
          <w:tcPr>
            <w:tcW w:w="6660" w:type="dxa"/>
            <w:vAlign w:val="bottom"/>
            <w:gridSpan w:val="8"/>
          </w:tcPr>
          <w:p>
            <w:pPr>
              <w:spacing w:after="0"/>
              <w:rPr>
                <w:sz w:val="21"/>
                <w:szCs w:val="21"/>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38">
              <w:r>
                <w:rPr>
                  <w:rFonts w:ascii="Arial" w:cs="Arial" w:eastAsia="Arial" w:hAnsi="Arial"/>
                  <w:sz w:val="14"/>
                  <w:szCs w:val="14"/>
                  <w:color w:val="0000EE"/>
                  <w:w w:val="89"/>
                </w:rPr>
                <w:t>38</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5660" w:type="dxa"/>
            <w:vAlign w:val="bottom"/>
            <w:tcBorders>
              <w:bottom w:val="single" w:sz="8" w:color="0000EE"/>
            </w:tcBorders>
            <w:gridSpan w:val="25"/>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Management’s Discussion and Analysis of Financial Condition and Results of Operations</w:t>
              </w:r>
            </w:hyperlink>
          </w:p>
        </w:tc>
        <w:tc>
          <w:tcPr>
            <w:tcW w:w="4260" w:type="dxa"/>
            <w:vAlign w:val="bottom"/>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39">
              <w:r>
                <w:rPr>
                  <w:rFonts w:ascii="Arial" w:cs="Arial" w:eastAsia="Arial" w:hAnsi="Arial"/>
                  <w:sz w:val="14"/>
                  <w:szCs w:val="14"/>
                  <w:color w:val="0000EE"/>
                  <w:w w:val="89"/>
                </w:rPr>
                <w:t>39</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9920" w:type="dxa"/>
            <w:vAlign w:val="bottom"/>
            <w:gridSpan w:val="26"/>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Quantitative and Qualitative Disclosures About Market Risk</w:t>
              </w:r>
            </w:hyperlink>
          </w:p>
        </w:tc>
        <w:tc>
          <w:tcPr>
            <w:tcW w:w="160" w:type="dxa"/>
            <w:vAlign w:val="bottom"/>
          </w:tcPr>
          <w:p>
            <w:pPr>
              <w:jc w:val="right"/>
              <w:spacing w:after="0"/>
              <w:rPr>
                <w:rFonts w:ascii="Arial" w:cs="Arial" w:eastAsia="Arial" w:hAnsi="Arial"/>
                <w:sz w:val="14"/>
                <w:szCs w:val="14"/>
                <w:color w:val="0000EE"/>
                <w:w w:val="89"/>
              </w:rPr>
            </w:pPr>
            <w:hyperlink w:anchor="page63">
              <w:r>
                <w:rPr>
                  <w:rFonts w:ascii="Arial" w:cs="Arial" w:eastAsia="Arial" w:hAnsi="Arial"/>
                  <w:sz w:val="14"/>
                  <w:szCs w:val="14"/>
                  <w:color w:val="0000EE"/>
                  <w:w w:val="89"/>
                </w:rPr>
                <w:t>63</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3760" w:type="dxa"/>
            <w:vAlign w:val="bottom"/>
            <w:tcBorders>
              <w:top w:val="single" w:sz="8" w:color="0000EE"/>
            </w:tcBorders>
            <w:gridSpan w:val="21"/>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Controls and Procedures</w:t>
              </w:r>
            </w:hyperlink>
          </w:p>
        </w:tc>
        <w:tc>
          <w:tcPr>
            <w:tcW w:w="6160" w:type="dxa"/>
            <w:vAlign w:val="bottom"/>
            <w:gridSpan w:val="5"/>
          </w:tcPr>
          <w:p>
            <w:pPr>
              <w:spacing w:after="0"/>
              <w:rPr>
                <w:sz w:val="17"/>
                <w:szCs w:val="17"/>
                <w:color w:val="auto"/>
              </w:rPr>
            </w:pPr>
          </w:p>
        </w:tc>
        <w:tc>
          <w:tcPr>
            <w:tcW w:w="160" w:type="dxa"/>
            <w:vAlign w:val="bottom"/>
            <w:tcBorders>
              <w:top w:val="single" w:sz="8" w:color="0000EE"/>
            </w:tcBorders>
          </w:tcPr>
          <w:p>
            <w:pPr>
              <w:jc w:val="right"/>
              <w:spacing w:after="0"/>
              <w:rPr>
                <w:rFonts w:ascii="Arial" w:cs="Arial" w:eastAsia="Arial" w:hAnsi="Arial"/>
                <w:sz w:val="14"/>
                <w:szCs w:val="14"/>
                <w:color w:val="0000EE"/>
                <w:w w:val="89"/>
              </w:rPr>
            </w:pPr>
            <w:hyperlink w:anchor="page65">
              <w:r>
                <w:rPr>
                  <w:rFonts w:ascii="Arial" w:cs="Arial" w:eastAsia="Arial" w:hAnsi="Arial"/>
                  <w:sz w:val="14"/>
                  <w:szCs w:val="14"/>
                  <w:color w:val="0000EE"/>
                  <w:w w:val="89"/>
                </w:rPr>
                <w:t>65</w:t>
              </w:r>
            </w:hyperlink>
          </w:p>
        </w:tc>
      </w:tr>
      <w:tr>
        <w:trPr>
          <w:trHeight w:val="549"/>
        </w:trPr>
        <w:tc>
          <w:tcPr>
            <w:tcW w:w="10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6"/>
          </w:tcPr>
          <w:p>
            <w:pPr>
              <w:ind w:left="360"/>
              <w:spacing w:after="0"/>
              <w:rPr>
                <w:sz w:val="20"/>
                <w:szCs w:val="20"/>
                <w:color w:val="auto"/>
              </w:rPr>
            </w:pPr>
            <w:r>
              <w:rPr>
                <w:rFonts w:ascii="Arial" w:cs="Arial" w:eastAsia="Arial" w:hAnsi="Arial"/>
                <w:sz w:val="14"/>
                <w:szCs w:val="14"/>
                <w:b w:val="1"/>
                <w:bCs w:val="1"/>
                <w:color w:val="006EBF"/>
              </w:rPr>
              <w:t>PART II - OTHER INFORMATION</w:t>
            </w:r>
          </w:p>
        </w:tc>
        <w:tc>
          <w:tcPr>
            <w:tcW w:w="160" w:type="dxa"/>
            <w:vAlign w:val="bottom"/>
            <w:tcBorders>
              <w:top w:val="single" w:sz="8" w:color="0000EE"/>
            </w:tcBorders>
          </w:tcPr>
          <w:p>
            <w:pPr>
              <w:spacing w:after="0"/>
              <w:rPr>
                <w:sz w:val="24"/>
                <w:szCs w:val="24"/>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920" w:type="dxa"/>
            <w:vAlign w:val="bottom"/>
            <w:gridSpan w:val="26"/>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Legal Proceedings</w:t>
              </w:r>
            </w:hyperlink>
          </w:p>
        </w:tc>
        <w:tc>
          <w:tcPr>
            <w:tcW w:w="160" w:type="dxa"/>
            <w:vAlign w:val="bottom"/>
          </w:tcPr>
          <w:p>
            <w:pPr>
              <w:jc w:val="right"/>
              <w:spacing w:after="0"/>
              <w:rPr>
                <w:rFonts w:ascii="Arial" w:cs="Arial" w:eastAsia="Arial" w:hAnsi="Arial"/>
                <w:sz w:val="14"/>
                <w:szCs w:val="14"/>
                <w:color w:val="0000EE"/>
                <w:w w:val="89"/>
              </w:rPr>
            </w:pPr>
            <w:hyperlink w:anchor="page65">
              <w:r>
                <w:rPr>
                  <w:rFonts w:ascii="Arial" w:cs="Arial" w:eastAsia="Arial" w:hAnsi="Arial"/>
                  <w:sz w:val="14"/>
                  <w:szCs w:val="14"/>
                  <w:color w:val="0000EE"/>
                  <w:w w:val="89"/>
                </w:rPr>
                <w:t>65</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00" w:type="dxa"/>
            <w:vAlign w:val="bottom"/>
            <w:tcBorders>
              <w:top w:val="single" w:sz="8" w:color="0000EE"/>
              <w:bottom w:val="single" w:sz="8" w:color="0000EE"/>
            </w:tcBorders>
            <w:gridSpan w:val="3"/>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Risk Factors</w:t>
              </w:r>
            </w:hyperlink>
          </w:p>
        </w:tc>
        <w:tc>
          <w:tcPr>
            <w:tcW w:w="380" w:type="dxa"/>
            <w:vAlign w:val="bottom"/>
            <w:tcBorders>
              <w:top w:val="single" w:sz="8" w:color="0000EE"/>
            </w:tcBorders>
            <w:gridSpan w:val="2"/>
          </w:tcPr>
          <w:p>
            <w:pPr>
              <w:spacing w:after="0"/>
              <w:rPr>
                <w:sz w:val="17"/>
                <w:szCs w:val="17"/>
                <w:color w:val="auto"/>
              </w:rPr>
            </w:pPr>
          </w:p>
        </w:tc>
        <w:tc>
          <w:tcPr>
            <w:tcW w:w="8740" w:type="dxa"/>
            <w:vAlign w:val="bottom"/>
            <w:gridSpan w:val="21"/>
          </w:tcPr>
          <w:p>
            <w:pPr>
              <w:spacing w:after="0"/>
              <w:rPr>
                <w:sz w:val="17"/>
                <w:szCs w:val="17"/>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65">
              <w:r>
                <w:rPr>
                  <w:rFonts w:ascii="Arial" w:cs="Arial" w:eastAsia="Arial" w:hAnsi="Arial"/>
                  <w:sz w:val="14"/>
                  <w:szCs w:val="14"/>
                  <w:color w:val="0000EE"/>
                  <w:w w:val="89"/>
                </w:rPr>
                <w:t>65</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3880" w:type="dxa"/>
            <w:vAlign w:val="bottom"/>
            <w:tcBorders>
              <w:bottom w:val="single" w:sz="8" w:color="0000EE"/>
            </w:tcBorders>
            <w:gridSpan w:val="23"/>
          </w:tcPr>
          <w:p>
            <w:pPr>
              <w:spacing w:after="0"/>
              <w:rPr>
                <w:rFonts w:ascii="Arial" w:cs="Arial" w:eastAsia="Arial" w:hAnsi="Arial"/>
                <w:sz w:val="14"/>
                <w:szCs w:val="14"/>
                <w:color w:val="0000EE"/>
              </w:rPr>
            </w:pPr>
            <w:hyperlink w:anchor="page88">
              <w:r>
                <w:rPr>
                  <w:rFonts w:ascii="Arial" w:cs="Arial" w:eastAsia="Arial" w:hAnsi="Arial"/>
                  <w:sz w:val="14"/>
                  <w:szCs w:val="14"/>
                  <w:color w:val="0000EE"/>
                </w:rPr>
                <w:t>Unregistered Sales of Equity Securities and Use of Proceeds</w:t>
              </w:r>
            </w:hyperlink>
          </w:p>
        </w:tc>
        <w:tc>
          <w:tcPr>
            <w:tcW w:w="6040" w:type="dxa"/>
            <w:vAlign w:val="bottom"/>
            <w:gridSpan w:val="3"/>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88">
              <w:r>
                <w:rPr>
                  <w:rFonts w:ascii="Arial" w:cs="Arial" w:eastAsia="Arial" w:hAnsi="Arial"/>
                  <w:sz w:val="14"/>
                  <w:szCs w:val="14"/>
                  <w:color w:val="0000EE"/>
                  <w:w w:val="89"/>
                </w:rPr>
                <w:t>88</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2040" w:type="dxa"/>
            <w:vAlign w:val="bottom"/>
            <w:tcBorders>
              <w:bottom w:val="single" w:sz="8" w:color="0000EE"/>
            </w:tcBorders>
            <w:gridSpan w:val="10"/>
          </w:tcPr>
          <w:p>
            <w:pPr>
              <w:spacing w:after="0"/>
              <w:rPr>
                <w:rFonts w:ascii="Arial" w:cs="Arial" w:eastAsia="Arial" w:hAnsi="Arial"/>
                <w:sz w:val="14"/>
                <w:szCs w:val="14"/>
                <w:color w:val="0000EE"/>
              </w:rPr>
            </w:pPr>
            <w:hyperlink w:anchor="page88">
              <w:r>
                <w:rPr>
                  <w:rFonts w:ascii="Arial" w:cs="Arial" w:eastAsia="Arial" w:hAnsi="Arial"/>
                  <w:sz w:val="14"/>
                  <w:szCs w:val="14"/>
                  <w:color w:val="0000EE"/>
                </w:rPr>
                <w:t>Defaults Upon Senior Securities</w:t>
              </w:r>
            </w:hyperlink>
          </w:p>
        </w:tc>
        <w:tc>
          <w:tcPr>
            <w:tcW w:w="7880" w:type="dxa"/>
            <w:vAlign w:val="bottom"/>
            <w:gridSpan w:val="16"/>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88">
              <w:r>
                <w:rPr>
                  <w:rFonts w:ascii="Arial" w:cs="Arial" w:eastAsia="Arial" w:hAnsi="Arial"/>
                  <w:sz w:val="14"/>
                  <w:szCs w:val="14"/>
                  <w:color w:val="0000EE"/>
                  <w:w w:val="89"/>
                </w:rPr>
                <w:t>88</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1540" w:type="dxa"/>
            <w:vAlign w:val="bottom"/>
            <w:tcBorders>
              <w:bottom w:val="single" w:sz="8" w:color="0000EE"/>
            </w:tcBorders>
            <w:gridSpan w:val="6"/>
          </w:tcPr>
          <w:p>
            <w:pPr>
              <w:spacing w:after="0"/>
              <w:rPr>
                <w:rFonts w:ascii="Arial" w:cs="Arial" w:eastAsia="Arial" w:hAnsi="Arial"/>
                <w:sz w:val="14"/>
                <w:szCs w:val="14"/>
                <w:color w:val="0000EE"/>
              </w:rPr>
            </w:pPr>
            <w:hyperlink w:anchor="page88">
              <w:r>
                <w:rPr>
                  <w:rFonts w:ascii="Arial" w:cs="Arial" w:eastAsia="Arial" w:hAnsi="Arial"/>
                  <w:sz w:val="14"/>
                  <w:szCs w:val="14"/>
                  <w:color w:val="0000EE"/>
                </w:rPr>
                <w:t>Mine Safety Disclosures</w:t>
              </w:r>
            </w:hyperlink>
          </w:p>
        </w:tc>
        <w:tc>
          <w:tcPr>
            <w:tcW w:w="8380" w:type="dxa"/>
            <w:vAlign w:val="bottom"/>
            <w:gridSpan w:val="20"/>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88">
              <w:r>
                <w:rPr>
                  <w:rFonts w:ascii="Arial" w:cs="Arial" w:eastAsia="Arial" w:hAnsi="Arial"/>
                  <w:sz w:val="14"/>
                  <w:szCs w:val="14"/>
                  <w:color w:val="0000EE"/>
                  <w:w w:val="89"/>
                </w:rPr>
                <w:t>88</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1120" w:type="dxa"/>
            <w:vAlign w:val="bottom"/>
            <w:tcBorders>
              <w:bottom w:val="single" w:sz="8" w:color="0000EE"/>
            </w:tcBorders>
            <w:gridSpan w:val="4"/>
          </w:tcPr>
          <w:p>
            <w:pPr>
              <w:spacing w:after="0"/>
              <w:rPr>
                <w:rFonts w:ascii="Arial" w:cs="Arial" w:eastAsia="Arial" w:hAnsi="Arial"/>
                <w:sz w:val="14"/>
                <w:szCs w:val="14"/>
                <w:color w:val="0000EE"/>
              </w:rPr>
            </w:pPr>
            <w:hyperlink w:anchor="page88">
              <w:r>
                <w:rPr>
                  <w:rFonts w:ascii="Arial" w:cs="Arial" w:eastAsia="Arial" w:hAnsi="Arial"/>
                  <w:sz w:val="14"/>
                  <w:szCs w:val="14"/>
                  <w:color w:val="0000EE"/>
                </w:rPr>
                <w:t>Other Information</w:t>
              </w:r>
            </w:hyperlink>
          </w:p>
        </w:tc>
        <w:tc>
          <w:tcPr>
            <w:tcW w:w="8800" w:type="dxa"/>
            <w:vAlign w:val="bottom"/>
            <w:gridSpan w:val="22"/>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88">
              <w:r>
                <w:rPr>
                  <w:rFonts w:ascii="Arial" w:cs="Arial" w:eastAsia="Arial" w:hAnsi="Arial"/>
                  <w:sz w:val="14"/>
                  <w:szCs w:val="14"/>
                  <w:color w:val="0000EE"/>
                  <w:w w:val="89"/>
                </w:rPr>
                <w:t>88</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500" w:type="dxa"/>
            <w:vAlign w:val="bottom"/>
            <w:tcBorders>
              <w:bottom w:val="single" w:sz="8" w:color="0000EE"/>
            </w:tcBorders>
          </w:tcPr>
          <w:p>
            <w:pPr>
              <w:spacing w:after="0"/>
              <w:rPr>
                <w:rFonts w:ascii="Arial" w:cs="Arial" w:eastAsia="Arial" w:hAnsi="Arial"/>
                <w:sz w:val="14"/>
                <w:szCs w:val="14"/>
                <w:color w:val="0000EE"/>
                <w:w w:val="97"/>
              </w:rPr>
            </w:pPr>
            <w:hyperlink w:anchor="page88">
              <w:r>
                <w:rPr>
                  <w:rFonts w:ascii="Arial" w:cs="Arial" w:eastAsia="Arial" w:hAnsi="Arial"/>
                  <w:sz w:val="14"/>
                  <w:szCs w:val="14"/>
                  <w:color w:val="0000EE"/>
                  <w:w w:val="97"/>
                </w:rPr>
                <w:t>Exhibits</w:t>
              </w:r>
            </w:hyperlink>
          </w:p>
        </w:tc>
        <w:tc>
          <w:tcPr>
            <w:tcW w:w="9420" w:type="dxa"/>
            <w:vAlign w:val="bottom"/>
            <w:gridSpan w:val="25"/>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88">
              <w:r>
                <w:rPr>
                  <w:rFonts w:ascii="Arial" w:cs="Arial" w:eastAsia="Arial" w:hAnsi="Arial"/>
                  <w:sz w:val="14"/>
                  <w:szCs w:val="14"/>
                  <w:color w:val="0000EE"/>
                  <w:w w:val="89"/>
                </w:rPr>
                <w:t>88</w:t>
              </w:r>
            </w:hyperlink>
          </w:p>
        </w:tc>
      </w:tr>
    </w:tbl>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20"/>
          </w:cols>
          <w:pgMar w:left="280" w:top="661"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48" w:lineRule="exact"/>
        <w:rPr>
          <w:sz w:val="20"/>
          <w:szCs w:val="20"/>
          <w:color w:val="auto"/>
        </w:rPr>
      </w:pPr>
    </w:p>
    <w:p>
      <w:pPr>
        <w:ind w:right="3820"/>
        <w:spacing w:after="0" w:line="376" w:lineRule="auto"/>
        <w:rPr>
          <w:sz w:val="20"/>
          <w:szCs w:val="20"/>
          <w:color w:val="auto"/>
        </w:rPr>
      </w:pPr>
      <w:r>
        <w:rPr>
          <w:rFonts w:ascii="Arial" w:cs="Arial" w:eastAsia="Arial" w:hAnsi="Arial"/>
          <w:sz w:val="22"/>
          <w:szCs w:val="22"/>
          <w:b w:val="1"/>
          <w:bCs w:val="1"/>
          <w:color w:val="00497F"/>
        </w:rPr>
        <w:t>FORTRESS TRANSPORTATION AND INFRASTRUCTURE INVESTORS LLC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3"/>
                <w:szCs w:val="23"/>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2"/>
        </w:trPr>
        <w:tc>
          <w:tcPr>
            <w:tcW w:w="70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 except share and per share data)</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280" w:type="dxa"/>
            <w:vAlign w:val="bottom"/>
          </w:tcPr>
          <w:p>
            <w:pPr>
              <w:spacing w:after="0"/>
              <w:rPr>
                <w:sz w:val="19"/>
                <w:szCs w:val="19"/>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Cash and cash equivalents</w:t>
            </w:r>
          </w:p>
        </w:tc>
        <w:tc>
          <w:tcPr>
            <w:tcW w:w="70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80,916</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59,400</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Restricted cash</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25,823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33,406</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Accounts receivable, net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36,847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31,076</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Leasing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1,128,493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1,074,130</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Finance leases, net</w:t>
            </w:r>
          </w:p>
        </w:tc>
        <w:tc>
          <w:tcPr>
            <w:tcW w:w="700" w:type="dxa"/>
            <w:vAlign w:val="bottom"/>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9,115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9,244</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Property, plant, and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512,052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489,949</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Investments</w:t>
            </w:r>
          </w:p>
        </w:tc>
        <w:tc>
          <w:tcPr>
            <w:tcW w:w="7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43,702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42,538</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Intangible assets,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37,978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40,043</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Goodwill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116,584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116,584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assets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56,316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59,436</w:t>
            </w: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2,047,826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and accrued liabilities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56,031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68,226</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Debt, net</w:t>
            </w:r>
          </w:p>
        </w:tc>
        <w:tc>
          <w:tcPr>
            <w:tcW w:w="70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710,638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703,264</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Maintenance deposits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107,444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103,464</w:t>
            </w: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Security deposits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28,921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27,257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18,298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18,520</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921,332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920,731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Commitments and contingencies</w:t>
            </w:r>
          </w:p>
        </w:tc>
        <w:tc>
          <w:tcPr>
            <w:tcW w:w="70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Common shares ($0.01 par value per share; 2,000,000,000 shares authorized; 82,779,232 and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75,771,738 shares issued and outstanding as of March 31, 2018 and December 31, 2017,</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respectively)</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Additional paid in capital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1,085,492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985,009</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deficit</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(38,699)</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Accumulated other comprehensive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0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Shareholders' equity</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1,047,049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947,068</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Non-controlling interest in equity of consolidated subsidiaries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79,445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88,007</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1,126,494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1,035,075</w:t>
            </w:r>
          </w:p>
        </w:tc>
        <w:tc>
          <w:tcPr>
            <w:tcW w:w="0" w:type="dxa"/>
            <w:vAlign w:val="bottom"/>
          </w:tcPr>
          <w:p>
            <w:pPr>
              <w:spacing w:after="0"/>
              <w:rPr>
                <w:sz w:val="1"/>
                <w:szCs w:val="1"/>
                <w:color w:val="auto"/>
              </w:rPr>
            </w:pPr>
          </w:p>
        </w:tc>
      </w:tr>
      <w:tr>
        <w:trPr>
          <w:trHeight w:val="216"/>
        </w:trPr>
        <w:tc>
          <w:tcPr>
            <w:tcW w:w="7080" w:type="dxa"/>
            <w:vAlign w:val="bottom"/>
          </w:tcPr>
          <w:p>
            <w:pPr>
              <w:ind w:left="500"/>
              <w:spacing w:after="0"/>
              <w:rPr>
                <w:sz w:val="20"/>
                <w:szCs w:val="20"/>
                <w:color w:val="auto"/>
              </w:rPr>
            </w:pPr>
            <w:r>
              <w:rPr>
                <w:rFonts w:ascii="Arial" w:cs="Arial" w:eastAsia="Arial" w:hAnsi="Arial"/>
                <w:sz w:val="14"/>
                <w:szCs w:val="14"/>
                <w:color w:val="auto"/>
              </w:rPr>
              <w:t>Total liabilities and 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2,047,826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76" w:right="239" w:bottom="1440" w:gutter="0" w:footer="0" w:header="0"/>
        </w:sectPr>
      </w:pPr>
    </w:p>
    <w:bookmarkStart w:id="5" w:name="page6"/>
    <w:bookmarkEnd w:id="5"/>
    <w:p>
      <w:pPr>
        <w:ind w:right="3820"/>
        <w:spacing w:after="0" w:line="376"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OPERATIONS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 except share and per share data)</w:t>
            </w:r>
          </w:p>
        </w:tc>
        <w:tc>
          <w:tcPr>
            <w:tcW w:w="12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Notes</w:t>
            </w: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16"/>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Equipment leasing revenues</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55,784</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31,388</w:t>
            </w: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Infrastructure revenues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13,060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13,285</w:t>
            </w: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revenues</w:t>
            </w:r>
          </w:p>
        </w:tc>
        <w:tc>
          <w:tcPr>
            <w:tcW w:w="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68,844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44,673</w:t>
            </w:r>
          </w:p>
        </w:tc>
      </w:tr>
      <w:tr>
        <w:trPr>
          <w:trHeight w:val="216"/>
        </w:trPr>
        <w:tc>
          <w:tcPr>
            <w:tcW w:w="7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Operating expenses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27,579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21,013</w:t>
            </w: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General and administrative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3,586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3,835</w:t>
            </w: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Acquisition and transaction expenses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1,452</w:t>
            </w: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Management fees and incentive allocation to affiliate</w:t>
            </w:r>
          </w:p>
        </w:tc>
        <w:tc>
          <w:tcPr>
            <w:tcW w:w="70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3,739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3,893</w:t>
            </w: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3, 5, 7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29,587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17,377</w:t>
            </w: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Interest expense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11,871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4,694</w:t>
            </w: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78,128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52,264</w:t>
            </w:r>
          </w:p>
        </w:tc>
      </w:tr>
      <w:tr>
        <w:trPr>
          <w:trHeight w:val="216"/>
        </w:trPr>
        <w:tc>
          <w:tcPr>
            <w:tcW w:w="7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Equity in earnings (losses) of unconsolidated entities</w:t>
            </w:r>
          </w:p>
        </w:tc>
        <w:tc>
          <w:tcPr>
            <w:tcW w:w="7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(1,266)</w:t>
            </w: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gain on sale of equipment, net</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2,018</w:t>
            </w: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Loss on extinguishment of debt</w:t>
            </w:r>
          </w:p>
        </w:tc>
        <w:tc>
          <w:tcPr>
            <w:tcW w:w="70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(2,456)</w:t>
            </w: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Interest income</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 income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other income (expense)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r>
      <w:tr>
        <w:trPr>
          <w:trHeight w:val="216"/>
        </w:trPr>
        <w:tc>
          <w:tcPr>
            <w:tcW w:w="7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Loss before income taxes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(8,838)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(9,000)</w:t>
            </w: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Provision for income taxes</w:t>
            </w:r>
          </w:p>
        </w:tc>
        <w:tc>
          <w:tcPr>
            <w:tcW w:w="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w:t>
            </w: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Net loss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(9,333)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(9,212)</w:t>
            </w:r>
          </w:p>
        </w:tc>
      </w:tr>
      <w:tr>
        <w:trPr>
          <w:trHeight w:val="210"/>
        </w:trPr>
        <w:tc>
          <w:tcPr>
            <w:tcW w:w="70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(8,761)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(4,798)</w:t>
            </w:r>
          </w:p>
        </w:tc>
      </w:tr>
      <w:tr>
        <w:trPr>
          <w:trHeight w:val="21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(4,414)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per share</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b w:val="1"/>
                <w:bCs w:val="1"/>
                <w:color w:val="auto"/>
              </w:rPr>
              <w:t>Basic and Diluted</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(0.06)</w:t>
            </w:r>
          </w:p>
        </w:tc>
      </w:tr>
      <w:tr>
        <w:trPr>
          <w:trHeight w:val="303"/>
        </w:trPr>
        <w:tc>
          <w:tcPr>
            <w:tcW w:w="70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Basic</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81,534,454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75,762,283</w:t>
            </w:r>
          </w:p>
        </w:tc>
      </w:tr>
      <w:tr>
        <w:trPr>
          <w:trHeight w:val="258"/>
        </w:trPr>
        <w:tc>
          <w:tcPr>
            <w:tcW w:w="7080" w:type="dxa"/>
            <w:vAlign w:val="bottom"/>
          </w:tcPr>
          <w:p>
            <w:pPr>
              <w:ind w:left="500"/>
              <w:spacing w:after="0"/>
              <w:rPr>
                <w:sz w:val="20"/>
                <w:szCs w:val="20"/>
                <w:color w:val="auto"/>
              </w:rPr>
            </w:pPr>
            <w:r>
              <w:rPr>
                <w:rFonts w:ascii="Arial" w:cs="Arial" w:eastAsia="Arial" w:hAnsi="Arial"/>
                <w:sz w:val="14"/>
                <w:szCs w:val="14"/>
                <w:b w:val="1"/>
                <w:bCs w:val="1"/>
                <w:color w:val="auto"/>
              </w:rPr>
              <w:t>Diluted</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81,534,454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75,762,283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right="2940"/>
        <w:spacing w:after="0" w:line="40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STATEMENTS OF COMPREHENSIVE INCOME (LOSS) </w:t>
      </w:r>
      <w:r>
        <w:rPr>
          <w:rFonts w:ascii="Arial" w:cs="Arial" w:eastAsia="Arial" w:hAnsi="Arial"/>
          <w:sz w:val="21"/>
          <w:szCs w:val="21"/>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(9,333)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(9,212)</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7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fair value of available-for-sale securities</w:t>
            </w: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4,859</w:t>
            </w:r>
          </w:p>
        </w:tc>
      </w:tr>
      <w:tr>
        <w:trPr>
          <w:trHeight w:val="250"/>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Comprehensive loss</w:t>
            </w: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(9,333)</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(4,353)</w:t>
            </w:r>
          </w:p>
        </w:tc>
      </w:tr>
      <w:tr>
        <w:trPr>
          <w:trHeight w:val="270"/>
        </w:trPr>
        <w:tc>
          <w:tcPr>
            <w:tcW w:w="7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Comprehensive loss attributable to non-controlling interest</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(8,761)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(4,798)</w:t>
            </w:r>
          </w:p>
        </w:tc>
      </w:tr>
      <w:tr>
        <w:trPr>
          <w:trHeight w:val="243"/>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Comprehensive (loss) income attributable to shareholders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(572)</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445</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3820"/>
        <w:spacing w:after="0" w:line="40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 OF CHANGES IN EQUITY </w:t>
      </w:r>
      <w:r>
        <w:rPr>
          <w:rFonts w:ascii="Arial" w:cs="Arial" w:eastAsia="Arial" w:hAnsi="Arial"/>
          <w:sz w:val="21"/>
          <w:szCs w:val="21"/>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Interest in Equity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Additional Paid In</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6"/>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2017</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985,009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88,007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1,035,075</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for the period</w:t>
            </w: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(9,333)</w:t>
            </w:r>
          </w:p>
        </w:tc>
      </w:tr>
      <w:tr>
        <w:trPr>
          <w:trHeight w:val="26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comprehensive loss</w:t>
            </w: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6"/>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comprehensive loss</w:t>
            </w:r>
          </w:p>
        </w:tc>
        <w:tc>
          <w:tcPr>
            <w:tcW w:w="5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(9,333)</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(27,333)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(27,333)</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w:t>
            </w: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127,807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127,877</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Equity-based compensation</w:t>
            </w: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199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208</w:t>
            </w: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March 31, 2018</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1,085,492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27"/>
              <w:spacing w:after="0"/>
              <w:rPr>
                <w:sz w:val="20"/>
                <w:szCs w:val="20"/>
                <w:color w:val="auto"/>
              </w:rPr>
            </w:pPr>
            <w:r>
              <w:rPr>
                <w:rFonts w:ascii="Arial" w:cs="Arial" w:eastAsia="Arial" w:hAnsi="Arial"/>
                <w:sz w:val="14"/>
                <w:szCs w:val="14"/>
                <w:b w:val="1"/>
                <w:bCs w:val="1"/>
                <w:color w:val="auto"/>
              </w:rPr>
              <w:t>79,445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1,126,494</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80" w:right="239" w:bottom="1440" w:gutter="0" w:footer="0" w:header="0"/>
        </w:sectPr>
      </w:pPr>
    </w:p>
    <w:bookmarkStart w:id="8" w:name="page9"/>
    <w:bookmarkEnd w:id="8"/>
    <w:p>
      <w:pPr>
        <w:ind w:right="3820"/>
        <w:spacing w:after="0" w:line="376"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900" w:type="dxa"/>
            <w:vAlign w:val="bottom"/>
          </w:tcPr>
          <w:p>
            <w:pPr>
              <w:ind w:left="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(9,333)</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(9,212)</w:t>
            </w:r>
          </w:p>
        </w:tc>
      </w:tr>
      <w:tr>
        <w:trPr>
          <w:trHeight w:val="276"/>
        </w:trPr>
        <w:tc>
          <w:tcPr>
            <w:tcW w:w="790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Equity in (earnings) losses of unconsolidated entities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1,266</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Loss (gain) on sale of equipment,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Security deposits and maintenance claims included in earnings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(383)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Loss on extinguishment of debt</w:t>
            </w:r>
          </w:p>
        </w:tc>
        <w:tc>
          <w:tcPr>
            <w:tcW w:w="4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Equity-based compensation</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208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87</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29,587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17,377</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Change in current and deferred income taxes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504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209</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 fair value of non-hedge derivative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Amortization of lease intangibles and incentives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7,226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1,949</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Amortization of deferred financing costs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1,151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Bad debt expense</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1,441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Change in:</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790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Accounts receivable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r>
      <w:tr>
        <w:trPr>
          <w:trHeight w:val="264"/>
        </w:trPr>
        <w:tc>
          <w:tcPr>
            <w:tcW w:w="7900" w:type="dxa"/>
            <w:vAlign w:val="bottom"/>
          </w:tcPr>
          <w:p>
            <w:pPr>
              <w:ind w:left="1300"/>
              <w:spacing w:after="0"/>
              <w:rPr>
                <w:sz w:val="20"/>
                <w:szCs w:val="20"/>
                <w:color w:val="auto"/>
              </w:rPr>
            </w:pPr>
            <w:r>
              <w:rPr>
                <w:rFonts w:ascii="Arial" w:cs="Arial" w:eastAsia="Arial" w:hAnsi="Arial"/>
                <w:sz w:val="14"/>
                <w:szCs w:val="14"/>
                <w:color w:val="auto"/>
              </w:rPr>
              <w:t>Other assets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1,176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11,227</w:t>
            </w:r>
          </w:p>
        </w:tc>
      </w:tr>
      <w:tr>
        <w:trPr>
          <w:trHeight w:val="276"/>
        </w:trPr>
        <w:tc>
          <w:tcPr>
            <w:tcW w:w="790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Accounts payable and accrued liabilities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(9,768)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(4,992)</w:t>
            </w:r>
          </w:p>
        </w:tc>
      </w:tr>
      <w:tr>
        <w:trPr>
          <w:trHeight w:val="264"/>
        </w:trPr>
        <w:tc>
          <w:tcPr>
            <w:tcW w:w="7900" w:type="dxa"/>
            <w:vAlign w:val="bottom"/>
          </w:tcPr>
          <w:p>
            <w:pPr>
              <w:ind w:left="1300"/>
              <w:spacing w:after="0"/>
              <w:rPr>
                <w:sz w:val="20"/>
                <w:szCs w:val="20"/>
                <w:color w:val="auto"/>
              </w:rPr>
            </w:pPr>
            <w:r>
              <w:rPr>
                <w:rFonts w:ascii="Arial" w:cs="Arial" w:eastAsia="Arial" w:hAnsi="Arial"/>
                <w:sz w:val="14"/>
                <w:szCs w:val="14"/>
                <w:color w:val="auto"/>
              </w:rPr>
              <w:t>Management fees payable to affiliate</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(1,300)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270"/>
        </w:trPr>
        <w:tc>
          <w:tcPr>
            <w:tcW w:w="790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Other liabilities</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r>
      <w:tr>
        <w:trPr>
          <w:trHeight w:val="250"/>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Net cash provided by operating activities</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11,470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17,680</w:t>
            </w:r>
          </w:p>
        </w:tc>
      </w:tr>
      <w:tr>
        <w:trPr>
          <w:trHeight w:val="283"/>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7900" w:type="dxa"/>
            <w:vAlign w:val="bottom"/>
          </w:tcPr>
          <w:p>
            <w:pPr>
              <w:ind w:left="80"/>
              <w:spacing w:after="0"/>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Investment in notes receivable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(1,115)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(14,654)</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Principal collections on finance leases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leasing equipment</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(86,043)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(67,695)</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(23,641)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(14,796)</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lease intangibles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(1,029)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Purchase deposits for acquisitions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(6,886)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sale of leasing equipment</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6,136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9,834</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sale of property, plant and equipment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deposit on sale of leasing equipment</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240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60</w:t>
            </w:r>
          </w:p>
        </w:tc>
      </w:tr>
      <w:tr>
        <w:trPr>
          <w:trHeight w:val="270"/>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Return of deposit on sale of engine</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900" w:type="dxa"/>
            <w:vAlign w:val="bottom"/>
          </w:tcPr>
          <w:p>
            <w:pPr>
              <w:ind w:left="80"/>
              <w:spacing w:after="0"/>
              <w:rPr>
                <w:sz w:val="20"/>
                <w:szCs w:val="20"/>
                <w:color w:val="auto"/>
              </w:rPr>
            </w:pPr>
            <w:r>
              <w:rPr>
                <w:rFonts w:ascii="Arial" w:cs="Arial" w:eastAsia="Arial" w:hAnsi="Arial"/>
                <w:sz w:val="14"/>
                <w:szCs w:val="14"/>
                <w:b w:val="1"/>
                <w:bCs w:val="1"/>
                <w:color w:val="auto"/>
              </w:rPr>
              <w:t>Net cash used in investing activities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(113,483)</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(88,209)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80" w:right="239" w:bottom="1440" w:gutter="0" w:footer="0" w:header="0"/>
          <w:type w:val="continuous"/>
        </w:sectPr>
      </w:pPr>
    </w:p>
    <w:bookmarkStart w:id="9" w:name="page10"/>
    <w:bookmarkEnd w:id="9"/>
    <w:p>
      <w:pPr>
        <w:ind w:right="3820"/>
        <w:spacing w:after="0" w:line="376"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financing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debt</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18,600</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235,411</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Repayment of debt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(12,612)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Payment of deferred financing costs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(366)</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Receipt of security deposits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1,864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1,425</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Return of security deposits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Receipt of maintenance deposits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9,720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4,424</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Release of maintenance deposits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(1,840)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128,450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Common shares issuance costs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Cash dividends</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(27,333)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(25,013)</w:t>
            </w:r>
          </w:p>
        </w:tc>
      </w:tr>
      <w:tr>
        <w:trPr>
          <w:trHeight w:val="250"/>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Net cash provided by financing activities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115,946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214,287</w:t>
            </w:r>
          </w:p>
        </w:tc>
      </w:tr>
      <w:tr>
        <w:trPr>
          <w:trHeight w:val="283"/>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7900" w:type="dxa"/>
            <w:vAlign w:val="bottom"/>
          </w:tcPr>
          <w:p>
            <w:pPr>
              <w:ind w:left="80"/>
              <w:spacing w:after="0"/>
              <w:rPr>
                <w:sz w:val="20"/>
                <w:szCs w:val="20"/>
                <w:color w:val="auto"/>
              </w:rPr>
            </w:pPr>
            <w:r>
              <w:rPr>
                <w:rFonts w:ascii="Arial" w:cs="Arial" w:eastAsia="Arial" w:hAnsi="Arial"/>
                <w:sz w:val="14"/>
                <w:szCs w:val="14"/>
                <w:b w:val="1"/>
                <w:bCs w:val="1"/>
                <w:color w:val="auto"/>
              </w:rPr>
              <w:t>Net increase in cash and cash equivalents and restricted cash</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13,933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143,758</w:t>
            </w: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92,806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133,496</w:t>
            </w:r>
          </w:p>
        </w:tc>
      </w:tr>
      <w:tr>
        <w:trPr>
          <w:trHeight w:val="283"/>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106,739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277,254</w:t>
            </w:r>
          </w:p>
        </w:tc>
      </w:tr>
      <w:tr>
        <w:trPr>
          <w:trHeight w:val="264"/>
        </w:trPr>
        <w:tc>
          <w:tcPr>
            <w:tcW w:w="7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4"/>
        </w:trPr>
        <w:tc>
          <w:tcPr>
            <w:tcW w:w="7900" w:type="dxa"/>
            <w:vAlign w:val="bottom"/>
          </w:tcPr>
          <w:p>
            <w:pPr>
              <w:ind w:left="8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borrowings of debt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108,089</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Repayment and settlement of debt</w:t>
            </w:r>
          </w:p>
        </w:tc>
        <w:tc>
          <w:tcPr>
            <w:tcW w:w="4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(100,000)</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leasing equipment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(2,938)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(18,324)</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(5,849)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Settled and assumed security deposits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Billed, assumed and settled maintenance deposits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(3,517)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2,398</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Deferred financing costs</w:t>
            </w:r>
          </w:p>
        </w:tc>
        <w:tc>
          <w:tcPr>
            <w:tcW w:w="4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(9,117)</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Issuance of common shares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160</w:t>
            </w:r>
          </w:p>
        </w:tc>
      </w:tr>
      <w:tr>
        <w:trPr>
          <w:trHeight w:val="263"/>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Common share issuance costs</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35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00497F"/>
        </w:rPr>
      </w:pPr>
      <w:r>
        <w:rPr>
          <w:rFonts w:ascii="Arial" w:cs="Arial" w:eastAsia="Arial" w:hAnsi="Arial"/>
          <w:sz w:val="22"/>
          <w:szCs w:val="22"/>
          <w:b w:val="1"/>
          <w:bCs w:val="1"/>
          <w:color w:val="00497F"/>
        </w:rPr>
        <w:t>ORGANIZATION</w:t>
      </w:r>
    </w:p>
    <w:p>
      <w:pPr>
        <w:spacing w:after="0" w:line="295"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Fortress Transportation and Infrastructure Investors LLC (the “Company”) is a Delaware limited liability company which, through its subsidiary, Fortress Worldwide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 multi-modal crude oil and refined products terminal in Beaumont, Texas (“Jefferson Terminal”), a deep-water port located along the Delaware River with an underground storage cavern and multiple industrial development opportunities (“Repauno”), and a multi-modal terminal located along the Ohio River with multiple industrial development opportunities (“Long Ridge”). The Company has six reportable segments, (i) Aviation Leasing, (ii) Offshore Energy, (iii) Shipping Containers, (iv) Jefferson Terminal, (v) Railroad, and (vi) Ports and Terminals, which operate in two primary businesses, Equipment Leasing and Infrastructure (Note 14).</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2. SUMMARY OF SIGNIFICANT ACCOUNTING POLICIES</w:t>
      </w:r>
    </w:p>
    <w:p>
      <w:pPr>
        <w:spacing w:after="0" w:line="167"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principles (“GAAP”) and include the accounts of the Company and its subsidiaries.</w:t>
      </w:r>
    </w:p>
    <w:p>
      <w:pPr>
        <w:spacing w:after="0" w:line="102"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The Company consolidates all entities in which it has a controlling financial interest and in which it has control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14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127"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118"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b w:val="1"/>
          <w:bCs w:val="1"/>
          <w:i w:val="1"/>
          <w:iCs w:val="1"/>
          <w:color w:val="00497F"/>
        </w:rPr>
        <w:t xml:space="preserve">Risks and Uncertainties </w:t>
      </w:r>
      <w:r>
        <w:rPr>
          <w:rFonts w:ascii="Arial" w:cs="Arial" w:eastAsia="Arial" w:hAnsi="Arial"/>
          <w:sz w:val="16"/>
          <w:szCs w:val="16"/>
          <w:color w:val="00497F"/>
        </w:rPr>
        <w:t>—</w:t>
      </w:r>
      <w:r>
        <w:rPr>
          <w:rFonts w:ascii="Arial" w:cs="Arial" w:eastAsia="Arial" w:hAnsi="Arial"/>
          <w:sz w:val="16"/>
          <w:szCs w:val="16"/>
          <w:color w:val="000000"/>
        </w:rPr>
        <w:t>In the normal course of business, the Company encounters several significant types of economic risk including credit, market,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134"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JGP Energy Partners LLC</w:t>
      </w:r>
    </w:p>
    <w:p>
      <w:pPr>
        <w:spacing w:after="0" w:line="183"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During the quarter ended September 30, 2016, the Company initiated activities in its 50% owned joint venture, JGP Energy Partners LLC (“JGP”). The other 50% member to the joint venture is a third party ethanol producer. The purpose of the venture is to build storage capacity with capabilities to receive and/or distribute ethanol via water, rail or truck. Each member agreed to contribute up to $27,000 (for a total of $54,000) for the development and construction of the ethanol terminal facilities. JGP is governed by a designated operating committee selected by the members in proportion to their equity interests. JGP is solely reliant on its members to finance its activities and therefore is a VIE. The Company concluded that it is not the primary beneficiary of JGP as the members share equally in the risks and rewards and decision making authority of the entity; therefore, the Company does not consolidate JGP and accounts for this investment in accordance with the equity method. Refer to Note 6 for details.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Delaware River Partners LLC</w:t>
      </w:r>
    </w:p>
    <w:p>
      <w:pPr>
        <w:spacing w:after="0" w:line="183"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On July 1, 2016, the Company, through Delaware River Partners LLC (“DRP”), a consolidated subsidiary,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The Company currently holds a 90% economic interest and a 100% voting interest in DRP. DRP is solely reliant on the Company to finance its activities and therefore is a VIE. The Company concluded it was the primary beneficiary; and accordingly, DRP has been presented on a consolidated basis in the accompanying financial statements. The Company has the right to purchase an additional 8% economic interest from the non-controlling party after the second anniversary but prior to the fifth year anniversary of the acquisition of Repauno. At the time of the purchase, the Company concluded that 8% of the 10% interest held by the non-controlling party does not share in the risks or rewards of true equity.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Ohio River Partners LLC</w:t>
      </w:r>
    </w:p>
    <w:p>
      <w:pPr>
        <w:spacing w:after="0" w:line="183"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On June 16, 2017, the Company, through Ohio River Partners LLC (“ORP”), a consolidated subsidiary, purchased the assets of Long Ridge which consisted primarily of land, buildings, railroad track, docks, water rights, site improvements and other rights. The Company purchased 100% of the interests in these assets. ORP is solely reliant on the Company to finance its activities and therefore is a VIE. The Company concluded it was the primary beneficiary; accordingly, ORP has been presented on a consolidated basis in the accompanying financial statements.</w:t>
      </w:r>
    </w:p>
    <w:p>
      <w:pPr>
        <w:spacing w:after="0" w:line="129"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The Company considers all highly liquid short-term investments with a maturity of 90 days or less when purchased to be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cash equivalents.</w:t>
      </w:r>
    </w:p>
    <w:p>
      <w:pPr>
        <w:spacing w:after="0" w:line="102"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of $25,823 and $33,406 as of March 31, 2018 and December 31, 2017, respectively, consists of prepaid interest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pursuant to the requirements of certain of the Company’s debt agreements (Note 8), and funds set aside for qualifying construction projects at Jefferson Terminal.</w:t>
      </w:r>
    </w:p>
    <w:p>
      <w:pPr>
        <w:spacing w:after="0" w:line="118"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i w:val="1"/>
          <w:iCs w:val="1"/>
          <w:color w:val="00497F"/>
        </w:rPr>
        <w:t>Available-For-Sale Securities</w:t>
      </w:r>
      <w:r>
        <w:rPr>
          <w:rFonts w:ascii="Arial" w:cs="Arial" w:eastAsia="Arial" w:hAnsi="Arial"/>
          <w:sz w:val="16"/>
          <w:szCs w:val="16"/>
          <w:color w:val="00497F"/>
        </w:rPr>
        <w:t>—</w:t>
      </w:r>
      <w:r>
        <w:rPr>
          <w:rFonts w:ascii="Arial" w:cs="Arial" w:eastAsia="Arial" w:hAnsi="Arial"/>
          <w:sz w:val="16"/>
          <w:szCs w:val="16"/>
          <w:color w:val="000000"/>
        </w:rPr>
        <w:t>The Company considers listed equity securities as available-for-sale securities recorded at fair value with unrealized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gains (losses) recorded in other comprehensive income (loss) and realized gains (losses) recorded in earnings. The Company’s basis on which the cost of the security sold or the amount reclassified out of other comprehensive income into earnings is determined using specific identification. Available-for-sale securities are included as a component of investments on the accompanying Consolidated Balance Sheets. At each balance sheet date, the Company evaluates its available for sale securities holdings with unrealized losses to determine if an other-than-temporary impairment has occurred. Refer to Note 6 and Note 9 for details.</w:t>
      </w:r>
    </w:p>
    <w:p>
      <w:pPr>
        <w:spacing w:after="0" w:line="128"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Crude oil is carried at the lower of cost or net realizable value on the Company’s balance sheet. Crude oil is removed from inventory based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average cost at the time of sale. At March 31, 2018 and December 31, 2017, the Company had crude oil inventory of $4,892 and $8,877, respectively. The Company records its inventory as a component of other assets on the accompanying Consolidated Balance Sheets.</w:t>
      </w:r>
    </w:p>
    <w:p>
      <w:pPr>
        <w:spacing w:after="0" w:line="118"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term of the underlying loans. Unamortized deferred financing costs of $10,559 and $11,423 as of March 31, 2018 and December 31, 2017, respectively, are recorded as a component of debt in the accompanying Consolidated Balance Sheets. In connection with the Jefferson Revolver, the Company incurred $511 of deferred financing costs as of March 31, 2018 which are recorded as a component of other assets in the accompanying Consolidated Balance Sheet. Refer to Note 8 for details.</w:t>
      </w:r>
    </w:p>
    <w:p>
      <w:pPr>
        <w:spacing w:after="0" w:line="146"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Amortization expense was $1,151 and $1,133 for the three months ended March 31, 2018 and 2017, respectively. Amortization expense is included as a component of interest expense in the accompanying Consolidated Statements of Operations.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7" w:lineRule="exact"/>
        <w:rPr>
          <w:sz w:val="20"/>
          <w:szCs w:val="20"/>
          <w:color w:val="auto"/>
        </w:rPr>
      </w:pPr>
    </w:p>
    <w:p>
      <w:pPr>
        <w:ind w:left="340" w:right="60"/>
        <w:spacing w:after="0" w:line="255" w:lineRule="auto"/>
        <w:rPr>
          <w:sz w:val="20"/>
          <w:szCs w:val="20"/>
          <w:color w:val="auto"/>
        </w:rPr>
      </w:pPr>
      <w:r>
        <w:rPr>
          <w:rFonts w:ascii="Arial" w:cs="Arial" w:eastAsia="Arial" w:hAnsi="Arial"/>
          <w:sz w:val="16"/>
          <w:szCs w:val="16"/>
          <w:color w:val="auto"/>
        </w:rPr>
        <w:t xml:space="preserve">Effective January 1, 2018, the Company adopted FASB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and related updates. The standard’s core principle is that a Company will recognize revenue when it transfers promised goods or services to customers in an amount that reflect the consideration to which a company expects to be entitled in exchange for those goods or services. The adoption of this standard is applied using the modified retrospective approach. See below for a detailed description of revenue recognition by our two strategic business units, Equipment Leasing and Infrastructure.</w:t>
      </w:r>
    </w:p>
    <w:p>
      <w:pPr>
        <w:spacing w:after="0" w:line="76" w:lineRule="exact"/>
        <w:rPr>
          <w:sz w:val="20"/>
          <w:szCs w:val="20"/>
          <w:color w:val="auto"/>
        </w:rPr>
      </w:pPr>
    </w:p>
    <w:p>
      <w:pPr>
        <w:ind w:left="340" w:right="160"/>
        <w:spacing w:after="0" w:line="258" w:lineRule="auto"/>
        <w:rPr>
          <w:sz w:val="20"/>
          <w:szCs w:val="20"/>
          <w:color w:val="auto"/>
        </w:rPr>
      </w:pPr>
      <w:r>
        <w:rPr>
          <w:rFonts w:ascii="Arial" w:cs="Arial" w:eastAsia="Arial" w:hAnsi="Arial"/>
          <w:sz w:val="16"/>
          <w:szCs w:val="16"/>
          <w:color w:val="auto"/>
        </w:rPr>
        <w:t xml:space="preserve">Lease contracts, within the scope of ASC 840, </w:t>
      </w:r>
      <w:r>
        <w:rPr>
          <w:rFonts w:ascii="Arial" w:cs="Arial" w:eastAsia="Arial" w:hAnsi="Arial"/>
          <w:sz w:val="16"/>
          <w:szCs w:val="16"/>
          <w:i w:val="1"/>
          <w:iCs w:val="1"/>
          <w:color w:val="auto"/>
        </w:rPr>
        <w:t>Leases</w:t>
      </w:r>
      <w:r>
        <w:rPr>
          <w:rFonts w:ascii="Arial" w:cs="Arial" w:eastAsia="Arial" w:hAnsi="Arial"/>
          <w:sz w:val="16"/>
          <w:szCs w:val="16"/>
          <w:color w:val="auto"/>
        </w:rPr>
        <w:t>, are specifically excluded from ASU 2014-09. Infrastructure revenues that do not qualify as leases or leases that are combined with other services are recognized as revenue only when the services have been performed or goods transferred and the Company expects to be entitled in exchange for the goods delivered or services performed in accordance with contractual obligations. See Note 11 for additional details regarding the disaggregation of our revenues by segment.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adoption of the standard did not have a material impact on our consolidated financial statements and related disclosures.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ind w:left="340"/>
        <w:spacing w:after="0" w:line="262"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—The Company leases equipment pursuant to net operating leases. Operating leases with fixed rentals and step rentals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228"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Company also recognizes maintenance revenue related to the portion of maintenance payments received from lessees of aviation equipment that are not expected to be reimbursed in connection with major maintenance events.</w:t>
      </w:r>
    </w:p>
    <w:p>
      <w:pPr>
        <w:spacing w:after="0" w:line="14"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i w:val="1"/>
          <w:iCs w:val="1"/>
          <w:color w:val="00497F"/>
        </w:rPr>
        <w:t>Finance Lease</w:t>
      </w:r>
      <w:r>
        <w:rPr>
          <w:rFonts w:ascii="Arial" w:cs="Arial" w:eastAsia="Arial" w:hAnsi="Arial"/>
          <w:sz w:val="16"/>
          <w:szCs w:val="16"/>
          <w:color w:val="000000"/>
        </w:rPr>
        <w:t>—The Company owns one anchor handling tug supply vessel subject to a finance lease, as of March 31, 2018 and 2017. This lease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generally includes a lessee obligation to purchase the leased equipment at the end of the lease term, a bargain purchase option, or provides for minimum lease payments with a present value of 90% or more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Infrastructure Revenues</w:t>
      </w:r>
    </w:p>
    <w:p>
      <w:pPr>
        <w:spacing w:after="0" w:line="221"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Rail Revenues</w:t>
      </w:r>
      <w:r>
        <w:rPr>
          <w:rFonts w:ascii="Arial" w:cs="Arial" w:eastAsia="Arial" w:hAnsi="Arial"/>
          <w:sz w:val="16"/>
          <w:szCs w:val="16"/>
          <w:color w:val="000000"/>
        </w:rPr>
        <w:t>—Rail revenues are recognized proportionally as freight moves from origin to destination. Other miscellaneous revenues, such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unloading and switching revenue, are recognized as the service is performed or contractual obligations are met.</w:t>
      </w:r>
    </w:p>
    <w:p>
      <w:pPr>
        <w:spacing w:after="0" w:line="156"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revenues are recognized when services have been provided to the customer, the product has been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delivered, the price is considered to be fixed or determinable and collectability is reasonably assured. Prepayments for services are deferred until the period in which the above criteria are met. Terminal services fees include services provided to third-party customers related to receipt and redelivery of crude oil products.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Lease Revenues</w:t>
      </w:r>
      <w:r>
        <w:rPr>
          <w:rFonts w:ascii="Arial" w:cs="Arial" w:eastAsia="Arial" w:hAnsi="Arial"/>
          <w:sz w:val="16"/>
          <w:szCs w:val="16"/>
          <w:color w:val="000000"/>
        </w:rPr>
        <w:t>—Ports and Terminals revenue are recognized as various tenants lease out storage space including equipment, piping and frac sand.</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Lease revenue is recognized based on the terms of the lease agreement.</w:t>
      </w:r>
    </w:p>
    <w:p>
      <w:pPr>
        <w:spacing w:after="0" w:line="147"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The Company is subject to concentrations of credit risk with respect to amounts due from customers on its finance lease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operating leases. The Company attempts to limit its credit risk by performing ongoing credit evaluations. During the three months ended March 31, 2018 and 2017, the Company had no revenue concentration over 10% of total revenue from any one customer.</w:t>
      </w:r>
    </w:p>
    <w:p>
      <w:pPr>
        <w:spacing w:after="0" w:line="138"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As of March 31, 2018, accounts receivable from two customers in the Offshore Energy segment each represented 12% of total accounts receivable, net. As of December 31, 2017, accounts receivable from two customers in the Offshore Segment represented 17% and 10%, respectively, of total accounts receivable, net.</w:t>
      </w:r>
    </w:p>
    <w:p>
      <w:pPr>
        <w:spacing w:after="0" w:line="14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141"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b w:val="1"/>
          <w:bCs w:val="1"/>
          <w:i w:val="1"/>
          <w:iCs w:val="1"/>
          <w:color w:val="00497F"/>
        </w:rPr>
        <w:t>Provision for Doubtful Accounts</w:t>
      </w:r>
      <w:r>
        <w:rPr>
          <w:rFonts w:ascii="Arial" w:cs="Arial" w:eastAsia="Arial" w:hAnsi="Arial"/>
          <w:sz w:val="16"/>
          <w:szCs w:val="16"/>
          <w:color w:val="00497F"/>
        </w:rPr>
        <w:t>—</w:t>
      </w:r>
      <w:r>
        <w:rPr>
          <w:rFonts w:ascii="Arial" w:cs="Arial" w:eastAsia="Arial" w:hAnsi="Arial"/>
          <w:sz w:val="16"/>
          <w:szCs w:val="16"/>
          <w:color w:val="000000"/>
        </w:rPr>
        <w:t>The Company determines the provision for doubtful accounts based on its assessment of the collectability of its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receivables on a customer-by-customer basis. The provision for doubtful accounts at March 31, 2018 and December 31, 2017 was $2,084 and $983, respectively. Bad debt expense was $1,441 and $31 for the three months ended March 31, 2018 and 2017, respectively.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The Company’s comprehensive income (loss) represents net income (loss), as presented in the Consolidated Statements of Operations, adjusted for fair value changes related to the available-for-sale securities and derivatives accounted for as cash flow hedges.</w:t>
      </w:r>
    </w:p>
    <w:p>
      <w:pPr>
        <w:spacing w:after="0" w:line="70"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Derivative Financial Instruments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In 2017 the Company entered into short-term crude forward contracts. The fair value of the short-term derivative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asset at March 31, 2018 and December 31, 2017 was $398 and $1,022, respectively, recorded in other assets.</w:t>
      </w:r>
    </w:p>
    <w:p>
      <w:pPr>
        <w:spacing w:after="0" w:line="102"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crude oil of $4,892 and $8,877, notes receivable of $3,367 and $2,623, purchase deposits for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acquisitions of $13,535 and $12,299, lease incentives of $23,176 and $23,811, and prepaid expenses of $4,291 and $4,149 as of March 31, 2018 and December 31, 2017, respectively.</w:t>
      </w:r>
    </w:p>
    <w:p>
      <w:pPr>
        <w:spacing w:after="0" w:line="118"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months ended March 31, 2018 and 2017,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Board of Directors declared a cash dividend of $0.33 per share.</w:t>
      </w:r>
    </w:p>
    <w:p>
      <w:pPr>
        <w:spacing w:after="0" w:line="102"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October 2016, the FASB issued ASU 2016-17,</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Consolidation (Topic 810): Interests Held through Related</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 xml:space="preserve">Parties That Are under Common Control (“ASU 2016-17”). ASU 2016-17 </w:t>
      </w:r>
      <w:r>
        <w:rPr>
          <w:rFonts w:ascii="Arial" w:cs="Arial" w:eastAsia="Arial" w:hAnsi="Arial"/>
          <w:sz w:val="16"/>
          <w:szCs w:val="16"/>
          <w:color w:val="000000"/>
        </w:rPr>
        <w:t>amends the consolidation guidance on how a reporting entity that is the single</w:t>
      </w:r>
      <w:r>
        <w:rPr>
          <w:rFonts w:ascii="Arial" w:cs="Arial" w:eastAsia="Arial" w:hAnsi="Arial"/>
          <w:sz w:val="16"/>
          <w:szCs w:val="16"/>
          <w:i w:val="1"/>
          <w:iCs w:val="1"/>
          <w:color w:val="000000"/>
        </w:rPr>
        <w:t xml:space="preserve"> </w:t>
      </w:r>
      <w:r>
        <w:rPr>
          <w:rFonts w:ascii="Arial" w:cs="Arial" w:eastAsia="Arial" w:hAnsi="Arial"/>
          <w:sz w:val="16"/>
          <w:szCs w:val="16"/>
          <w:color w:val="000000"/>
        </w:rPr>
        <w:t>decision maker of a VIE should treat indirect interests in the entity held through related parties that are under common control with the reporting entity when determining whether it is the primary beneficiary of that VIE. Under the amendments, a single decision maker is not required to consider indirect interests held through related parties that are under common control with the single decision maker to be the equivalent of direct interests in their entirety. Instead, a single decision maker is required to include those interests on a proportionate basis consistent with indirect interests held through other related parties. ASU 2016-17 is effective for fiscal years beginning after December 15, 2016, and interim periods within those fiscal years. Early adoption is permitted, including adoption in an interim period. The Company adopted ASU 2016-17 as of January 1, 2017 and the adoption of this guidance did not have a material impact on the Company’s consolidated financial statements.</w:t>
      </w:r>
    </w:p>
    <w:p>
      <w:pPr>
        <w:spacing w:after="0" w:line="136"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(“ASU 2017-01”)</w:t>
      </w:r>
      <w:r>
        <w:rPr>
          <w:rFonts w:ascii="Arial" w:cs="Arial" w:eastAsia="Arial" w:hAnsi="Arial"/>
          <w:sz w:val="16"/>
          <w:szCs w:val="16"/>
          <w:color w:val="auto"/>
        </w:rPr>
        <w:t xml:space="preserve"> . ASU 2017-01 clarifying the definition of a business with the objective of adding guidance to assist entities with evaluating whether transactions should be accounted for as acquisitions (or disposals) of businesses or assets. ASU 2017-01 is effective for fiscal years beginning after December 15, 2017, and interim periods within those fiscal years. Early adoption is permitted. The Company adopted ASU 2017-01 as of January 1, 2017 and the adoption of this guidance did not have a material impact on the Company’s consolidated financial statements.</w:t>
      </w:r>
    </w:p>
    <w:p>
      <w:pPr>
        <w:spacing w:after="0" w:line="238"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Revenues from Contracts with Customers (Topic 606)</w:t>
      </w:r>
      <w:r>
        <w:rPr>
          <w:rFonts w:ascii="Arial" w:cs="Arial" w:eastAsia="Arial" w:hAnsi="Arial"/>
          <w:sz w:val="16"/>
          <w:szCs w:val="16"/>
          <w:color w:val="auto"/>
        </w:rPr>
        <w:t xml:space="preserve"> (“ASU 2014-09”)</w:t>
      </w:r>
      <w:r>
        <w:rPr>
          <w:rFonts w:ascii="Arial" w:cs="Arial" w:eastAsia="Arial" w:hAnsi="Arial"/>
          <w:sz w:val="16"/>
          <w:szCs w:val="16"/>
          <w:i w:val="1"/>
          <w:iCs w:val="1"/>
          <w:color w:val="auto"/>
        </w:rPr>
        <w:t>.</w:t>
      </w:r>
      <w:r>
        <w:rPr>
          <w:rFonts w:ascii="Arial" w:cs="Arial" w:eastAsia="Arial" w:hAnsi="Arial"/>
          <w:sz w:val="16"/>
          <w:szCs w:val="16"/>
          <w:color w:val="auto"/>
        </w:rPr>
        <w:t xml:space="preserve"> ASU 2014-09 requires that a company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In August 2015, the FASB deferred the effective date of this standard by one year, which will be for fiscal years, and interim periods within those years, beginning after December 15, 2017. Additionally, the FASB issued ASU 2016-08, </w:t>
      </w:r>
      <w:r>
        <w:rPr>
          <w:rFonts w:ascii="Arial" w:cs="Arial" w:eastAsia="Arial" w:hAnsi="Arial"/>
          <w:sz w:val="16"/>
          <w:szCs w:val="16"/>
          <w:i w:val="1"/>
          <w:iCs w:val="1"/>
          <w:color w:val="auto"/>
        </w:rPr>
        <w:t>Revenue from Contracts with Customers, Principal versus Agent Considerations,</w:t>
      </w:r>
      <w:r>
        <w:rPr>
          <w:rFonts w:ascii="Arial" w:cs="Arial" w:eastAsia="Arial" w:hAnsi="Arial"/>
          <w:sz w:val="16"/>
          <w:szCs w:val="16"/>
          <w:color w:val="auto"/>
        </w:rPr>
        <w:t xml:space="preserve"> ASU 2016-10,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Identifying Performance Obligations and Licensing </w:t>
      </w:r>
      <w:r>
        <w:rPr>
          <w:rFonts w:ascii="Arial" w:cs="Arial" w:eastAsia="Arial" w:hAnsi="Arial"/>
          <w:sz w:val="16"/>
          <w:szCs w:val="16"/>
          <w:color w:val="auto"/>
        </w:rPr>
        <w:t>and ASU 2016-12,</w:t>
      </w:r>
      <w:r>
        <w:rPr>
          <w:rFonts w:ascii="Arial" w:cs="Arial" w:eastAsia="Arial" w:hAnsi="Arial"/>
          <w:sz w:val="16"/>
          <w:szCs w:val="16"/>
          <w:i w:val="1"/>
          <w:iCs w:val="1"/>
          <w:color w:val="auto"/>
        </w:rPr>
        <w:t xml:space="preserve"> Revenue from Contracts with Customers, Narrow-Scope Improvements and Practical Expedients</w:t>
      </w:r>
      <w:r>
        <w:rPr>
          <w:rFonts w:ascii="Arial" w:cs="Arial" w:eastAsia="Arial" w:hAnsi="Arial"/>
          <w:sz w:val="16"/>
          <w:szCs w:val="16"/>
          <w:color w:val="auto"/>
        </w:rPr>
        <w:t>, ASU 2016-20,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ASU 2017-14,</w:t>
      </w:r>
      <w:r>
        <w:rPr>
          <w:rFonts w:ascii="Arial" w:cs="Arial" w:eastAsia="Arial" w:hAnsi="Arial"/>
          <w:sz w:val="16"/>
          <w:szCs w:val="16"/>
          <w:i w:val="1"/>
          <w:iCs w:val="1"/>
          <w:color w:val="auto"/>
        </w:rPr>
        <w:t xml:space="preserve"> Income Statement-Reporting Comprehensive Income (Topic 220), Revenue Recognition (Topic 605), Revenue from Contracts with Customers (Topic 606) </w:t>
      </w:r>
      <w:r>
        <w:rPr>
          <w:rFonts w:ascii="Arial" w:cs="Arial" w:eastAsia="Arial" w:hAnsi="Arial"/>
          <w:sz w:val="16"/>
          <w:szCs w:val="16"/>
          <w:color w:val="auto"/>
        </w:rPr>
        <w:t xml:space="preserve">and ASU 2016-11, </w:t>
      </w:r>
      <w:r>
        <w:rPr>
          <w:rFonts w:ascii="Arial" w:cs="Arial" w:eastAsia="Arial" w:hAnsi="Arial"/>
          <w:sz w:val="16"/>
          <w:szCs w:val="16"/>
          <w:i w:val="1"/>
          <w:iCs w:val="1"/>
          <w:color w:val="auto"/>
        </w:rPr>
        <w:t>Revenue Recognition (Topic 605) and Derivatives and Hedging (Topic 815): Rescission of SEC Guidance Because of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Standards Updates 2014-09 and 2014-16 Pursuant to Staff Announcements at the March 3, 2016 EITF Meeting </w:t>
      </w:r>
      <w:r>
        <w:rPr>
          <w:rFonts w:ascii="Arial" w:cs="Arial" w:eastAsia="Arial" w:hAnsi="Arial"/>
          <w:sz w:val="16"/>
          <w:szCs w:val="16"/>
          <w:color w:val="auto"/>
        </w:rPr>
        <w:t>which clarify the guidance on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as a principal versus agent, identifying and disclosing performance obligations, accounting for intellectual property licenses, and assessing collectibility, present sales tax, treating noncash consideration. The Company has identified and evaluated relevant revenue contracts within the scope of the guidance. The Company adopted ASU 2014-09 as of January 1, 2018 and the adoption of this guidance did not have a material impact on the Company’s consolidated financial statements.</w:t>
      </w:r>
    </w:p>
    <w:p>
      <w:pPr>
        <w:spacing w:after="0" w:line="253"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ASU 2016-01 requires (i) equity investments, except those accounted for under the equity method of accounting or</w:t>
      </w:r>
      <w:r>
        <w:rPr>
          <w:rFonts w:ascii="Arial" w:cs="Arial" w:eastAsia="Arial" w:hAnsi="Arial"/>
          <w:sz w:val="16"/>
          <w:szCs w:val="16"/>
          <w:i w:val="1"/>
          <w:iCs w:val="1"/>
          <w:color w:val="auto"/>
        </w:rPr>
        <w:t xml:space="preserve"> </w:t>
      </w:r>
      <w:r>
        <w:rPr>
          <w:rFonts w:ascii="Arial" w:cs="Arial" w:eastAsia="Arial" w:hAnsi="Arial"/>
          <w:sz w:val="16"/>
          <w:szCs w:val="16"/>
          <w:color w:val="auto"/>
        </w:rPr>
        <w:t>those that result in consolidation of the investee, to be measured at fair value with changes in fair value recognized in net income, (ii) 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periods within those years, beginning after December 15, 2017, with early adoption permitted. The Company adopted ASU 2016-01 as of January 1, 2018 and the adoption of this guidance did not have any impact on the Company’s consolidated financial statements.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w:t>
      </w:r>
      <w:r>
        <w:rPr>
          <w:rFonts w:ascii="Arial" w:cs="Arial" w:eastAsia="Arial" w:hAnsi="Arial"/>
          <w:sz w:val="16"/>
          <w:szCs w:val="16"/>
          <w:i w:val="1"/>
          <w:iCs w:val="1"/>
          <w:color w:val="auto"/>
        </w:rPr>
        <w:t>.</w:t>
      </w:r>
    </w:p>
    <w:p>
      <w:pPr>
        <w:spacing w:after="0" w:line="21"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ASU 2016-15 addresses the following eight specific cash flow issues: (i) debt prepayment or debt extinguishment costs; (ii) settlement of zero-coupon debt instruments or other debt instruments with coupon interest rates that are insignificant in relation to the effective interest rate of the borrowing; (iii) contingent consideration payments made after a business combination; (iv) proceeds from the settlement of insurance claims; (v) proceeds from the settlement of corporate-owned life insurance policies (COLIs); (vi) distributions received from equity method investees; (vii) beneficial interests in securitization transactions; (viii) and separately identifiable cash flows and application of the predominance principle. ASU 2016-15 will be effective for fiscal years beginning after December 15, 2017, and interim periods within those fiscal years. Early adoption is permitted, including adoption in an interim period. The Company adopted ASU 2016-15 as of January 1, 2018 and the adoption of this guidance did not have a material impact on the presentation of the Company’s Statements of Cash Flows.</w:t>
      </w:r>
    </w:p>
    <w:p>
      <w:pPr>
        <w:spacing w:after="0" w:line="246"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 (“ASU 2016-16”).</w:t>
      </w:r>
      <w:r>
        <w:rPr>
          <w:rFonts w:ascii="Arial" w:cs="Arial" w:eastAsia="Arial" w:hAnsi="Arial"/>
          <w:sz w:val="16"/>
          <w:szCs w:val="16"/>
          <w:color w:val="auto"/>
        </w:rPr>
        <w:t xml:space="preserve"> ASU 2016-16 prohibits the recognition of current and deferred income taxes for an intra-entity asset transfer until the asset has been sold to an outside party. In addition, interpretations of this guidance have developed in practice for transfers of certain intangible and tangible assets. This prohibition on recognition is an exception to the principle of comprehensive recognition of current and deferred income taxes in GAAP. To more faithfully represent the economics of intra-entity asset transfers, the amendments ASU 2016-16 require that entities recognize the income tax consequences of an intra-entity transfer of an asset other than inventory when the transfer occurs. The amendments in ASU 2016-16 do not change GAAP for the pre-tax effects of an intra-entity asset transfer under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or for an intra-entity transfer of inventory. ASU 2016-16 will be effective for annual reporting periods beginning after December 15, 2017, and interim periods within those annual reporting periods. Early adoption is permitted, including adoption in an interim period. The Company adopted ASU 2016-16 as of January 1, 2018 and the adoption of this guidance did not have a material impact on the Company’s consolidated financial statements.</w:t>
      </w:r>
    </w:p>
    <w:p>
      <w:pPr>
        <w:spacing w:after="0" w:line="244"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(“ASU 2016-18”)</w:t>
      </w:r>
      <w:r>
        <w:rPr>
          <w:rFonts w:ascii="Arial" w:cs="Arial" w:eastAsia="Arial" w:hAnsi="Arial"/>
          <w:sz w:val="16"/>
          <w:szCs w:val="16"/>
          <w:color w:val="auto"/>
        </w:rPr>
        <w:t>. ASU 2016-18 addresses the diversity in the classification and presentation of changes in restricted cash on the statement of cash flows under Topic 230, Statement of Cash Flows. The amendments in ASU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apply to all entities that have restricted cash or restricted cash equivalents and are required to present a statement of cash flows under Topic 230. ASU 2016-18 will be effective for fiscal years beginning after December 15, 2017, and interim periods within those fiscal years. Early adoption is permitted, including adoption in an interim period. The Company adopted ASU 2016-18 as of January 1, 2018 and the adoption of this guidance included changes in restricted cash in the Company’s Statements of Cash Flows for all periods presented.</w:t>
      </w:r>
    </w:p>
    <w:p>
      <w:pPr>
        <w:spacing w:after="0" w:line="247"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Other Income—Gains and Losses from the Derecognition of Nonfinancial Assets (Subtopic 610-20):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Scope of Asset Derecognition Guidance and Accounting for Partial Sales of Nonfinancial Assets (“ASU 2017-05”). </w:t>
      </w:r>
      <w:r>
        <w:rPr>
          <w:rFonts w:ascii="Arial" w:cs="Arial" w:eastAsia="Arial" w:hAnsi="Arial"/>
          <w:sz w:val="16"/>
          <w:szCs w:val="16"/>
          <w:color w:val="auto"/>
        </w:rPr>
        <w:t>ASU 2017-05 amends the</w:t>
      </w:r>
      <w:r>
        <w:rPr>
          <w:rFonts w:ascii="Arial" w:cs="Arial" w:eastAsia="Arial" w:hAnsi="Arial"/>
          <w:sz w:val="16"/>
          <w:szCs w:val="16"/>
          <w:i w:val="1"/>
          <w:iCs w:val="1"/>
          <w:color w:val="auto"/>
        </w:rPr>
        <w:t xml:space="preserve"> </w:t>
      </w:r>
      <w:r>
        <w:rPr>
          <w:rFonts w:ascii="Arial" w:cs="Arial" w:eastAsia="Arial" w:hAnsi="Arial"/>
          <w:sz w:val="16"/>
          <w:szCs w:val="16"/>
          <w:color w:val="auto"/>
        </w:rPr>
        <w:t>scope of the nonfinancial asset guidance in Subtopic 610-20. The amendments also clarify that the derecognition of all businesses and nonprofit activities (except those related to conveyances of oil and gas mineral rights or contracts with customers) should be accounted for in accordance with the derecognition and deconsolidation guidance in Subtopic 810-10. In addition, the amendments eliminate the exception in the financial asset guidance for transfers of investments (including equity method investments) in real estate entities and supersede the guidance in the Exchanges of a Nonfinancial Asset for a Noncontrolling Ownership Interest Subsection within Topic 845. The amendments in ASU 2017-05 also provide guidance on the accounting for what often are referred to as partial sales of nonfinancial assets within the scope of Subtopic 610-20 and contributions of nonfinancial assets to a joint venture or other noncontrolled investee. ASU 2017-05 will be effective for annual reporting periods beginning after December 15, 2017, and interim periods within those fiscal years. The Company adopted ASU 2017-05 as of January 1, 2018 and the adoption of this guidance did not have a material impact on the Company’s consolidated financial statements.</w:t>
      </w:r>
    </w:p>
    <w:p>
      <w:pPr>
        <w:spacing w:after="0" w:line="13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In May 2017, the FASB issued Accounting Standards Update No. 2017-09, </w:t>
      </w:r>
      <w:r>
        <w:rPr>
          <w:rFonts w:ascii="Arial" w:cs="Arial" w:eastAsia="Arial" w:hAnsi="Arial"/>
          <w:sz w:val="16"/>
          <w:szCs w:val="16"/>
          <w:i w:val="1"/>
          <w:iCs w:val="1"/>
          <w:color w:val="auto"/>
        </w:rPr>
        <w:t>Compensation - Stock Compensation (Topic 718): Scope of Modification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("ASU 2017-09")</w:t>
      </w:r>
      <w:r>
        <w:rPr>
          <w:rFonts w:ascii="Arial" w:cs="Arial" w:eastAsia="Arial" w:hAnsi="Arial"/>
          <w:sz w:val="16"/>
          <w:szCs w:val="16"/>
          <w:color w:val="auto"/>
        </w:rPr>
        <w:t>, which provides guidance about which changes to the terms or conditions of a share-based payment award require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to apply modification accounting in Topic 718. ASU 2017-09 is effective for fiscal years beginning after December 15, 2017 and interim periods within those fiscal years, and early adoption is permitted, including in an interim period. ASU 2017-09 is to be applied on a prospective basis to an award modified on or after the adoption date. The Company adopted ASU 2017-09 as of January 1, 2018 and the adoption of this guidance did not have a material impact on the Company’s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February 2016, the FASB issued ASU 2016-02,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(“ASU 2016-02”). ASU 2016-02 amends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 xml:space="preserve">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Company’s evaluation of the impact of the new guidance on its consolidated financial statements is ongoing. The Company is currently identifying the lease arrangements within the scope of the new guidance, and evaluating the impact of the lease arrangements. In September 2017, the FASB issued ASU 2017-13, </w:t>
      </w:r>
      <w:r>
        <w:rPr>
          <w:rFonts w:ascii="Arial" w:cs="Arial" w:eastAsia="Arial" w:hAnsi="Arial"/>
          <w:sz w:val="16"/>
          <w:szCs w:val="16"/>
          <w:i w:val="1"/>
          <w:iCs w:val="1"/>
          <w:color w:val="000000"/>
        </w:rPr>
        <w:t>Revenue Recognition (Topic 605), Revenue from contracts from customers (Topic 606), Leases (Topic 840) and</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Leases (Topic 842) </w:t>
      </w:r>
      <w:r>
        <w:rPr>
          <w:rFonts w:ascii="Arial" w:cs="Arial" w:eastAsia="Arial" w:hAnsi="Arial"/>
          <w:sz w:val="16"/>
          <w:szCs w:val="16"/>
          <w:color w:val="000000"/>
        </w:rPr>
        <w:t>(“ASU 2017-13”), which adds SEC paragraphs to the new revenue and lease sections of the codification on the announcement of the</w:t>
      </w:r>
      <w:r>
        <w:rPr>
          <w:rFonts w:ascii="Arial" w:cs="Arial" w:eastAsia="Arial" w:hAnsi="Arial"/>
          <w:sz w:val="16"/>
          <w:szCs w:val="16"/>
          <w:i w:val="1"/>
          <w:iCs w:val="1"/>
          <w:color w:val="000000"/>
        </w:rPr>
        <w:t xml:space="preserve"> </w:t>
      </w:r>
      <w:r>
        <w:rPr>
          <w:rFonts w:ascii="Arial" w:cs="Arial" w:eastAsia="Arial" w:hAnsi="Arial"/>
          <w:sz w:val="16"/>
          <w:szCs w:val="16"/>
          <w:color w:val="000000"/>
        </w:rPr>
        <w:t>SEC observer made at the July 2017 EITF meeting</w:t>
      </w:r>
      <w:r>
        <w:rPr>
          <w:rFonts w:ascii="Arial" w:cs="Arial" w:eastAsia="Arial" w:hAnsi="Arial"/>
          <w:sz w:val="16"/>
          <w:szCs w:val="16"/>
          <w:i w:val="1"/>
          <w:iCs w:val="1"/>
          <w:color w:val="000000"/>
        </w:rPr>
        <w:t>.</w:t>
      </w:r>
    </w:p>
    <w:p>
      <w:pPr>
        <w:spacing w:after="0" w:line="244"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w:t>
      </w:r>
      <w:r>
        <w:rPr>
          <w:rFonts w:ascii="Arial" w:cs="Arial" w:eastAsia="Arial" w:hAnsi="Arial"/>
          <w:sz w:val="16"/>
          <w:szCs w:val="16"/>
          <w:i w:val="1"/>
          <w:iCs w:val="1"/>
          <w:color w:val="auto"/>
        </w:rPr>
        <w:t>.</w:t>
      </w:r>
      <w:r>
        <w:rPr>
          <w:rFonts w:ascii="Arial" w:cs="Arial" w:eastAsia="Arial" w:hAnsi="Arial"/>
          <w:sz w:val="16"/>
          <w:szCs w:val="16"/>
          <w:color w:val="auto"/>
        </w:rPr>
        <w:t xml:space="preserve"> For assets held at amortized cost basis, ASU 2016-13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ASU 2016-13 will be effective for fiscal years beginning after December 15, 2019, including interim periods within those fiscal years. The Company is currently evaluating the impact of adopting this new guidance on its consolidated financial statements.</w:t>
      </w:r>
    </w:p>
    <w:p>
      <w:pPr>
        <w:spacing w:after="0" w:line="24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 xml:space="preserve">Intangibles—Goodwill and Other (Topic 350): Simplifying the Test for Goodwill Impairment (“ASU 2017-04”). </w:t>
      </w:r>
      <w:r>
        <w:rPr>
          <w:rFonts w:ascii="Arial" w:cs="Arial" w:eastAsia="Arial" w:hAnsi="Arial"/>
          <w:sz w:val="16"/>
          <w:szCs w:val="16"/>
          <w:color w:val="auto"/>
        </w:rPr>
        <w:t>ASU 2017-04 addresses concerns over the cost and complexity of the two-step goodwill impairment test by removing the second step of the test.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The Company is currently evaluating the impact of adopting this new guidance on its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3. LEASING EQUIPMENT, NET</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Leasing equipment, net is summarized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7"/>
                <w:szCs w:val="17"/>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6680" w:type="dxa"/>
            <w:vAlign w:val="bottom"/>
          </w:tcPr>
          <w:p>
            <w:pPr>
              <w:ind w:left="20"/>
              <w:spacing w:after="0"/>
              <w:rPr>
                <w:sz w:val="20"/>
                <w:szCs w:val="20"/>
                <w:color w:val="auto"/>
              </w:rPr>
            </w:pPr>
            <w:r>
              <w:rPr>
                <w:rFonts w:ascii="Arial" w:cs="Arial" w:eastAsia="Arial" w:hAnsi="Arial"/>
                <w:sz w:val="14"/>
                <w:szCs w:val="14"/>
                <w:color w:val="auto"/>
              </w:rPr>
              <w:t>Leasing equipment</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1,292,473</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1,217,862</w:t>
            </w:r>
          </w:p>
        </w:tc>
      </w:tr>
      <w:tr>
        <w:trPr>
          <w:trHeight w:val="270"/>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2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(163,980)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(143,732)</w:t>
            </w:r>
          </w:p>
        </w:tc>
      </w:tr>
      <w:tr>
        <w:trPr>
          <w:trHeight w:val="243"/>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1,128,493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1,074,130</w:t>
            </w: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During the three months ended March 31, 2018, the Company acquired eight aircraft and three commercial jet engines, and sold four commercial jet engines. During the three months ended March 31, 2017, the Company acquired six aircraft and 12 commercial jet engines, and sold one aircraft.</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220"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26035</wp:posOffset>
            </wp:positionV>
            <wp:extent cx="18180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8740"/>
        <w:spacing w:after="0"/>
        <w:tabs>
          <w:tab w:leader="none" w:pos="102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26035</wp:posOffset>
            </wp:positionV>
            <wp:extent cx="679196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89" w:lineRule="exact"/>
        <w:rPr>
          <w:sz w:val="20"/>
          <w:szCs w:val="20"/>
          <w:color w:val="auto"/>
        </w:rPr>
      </w:pPr>
    </w:p>
    <w:p>
      <w:pPr>
        <w:ind w:left="360"/>
        <w:spacing w:after="0"/>
        <w:tabs>
          <w:tab w:leader="none" w:pos="8180" w:val="left"/>
          <w:tab w:leader="none" w:pos="9100" w:val="left"/>
          <w:tab w:leader="none" w:pos="9760" w:val="left"/>
          <w:tab w:leader="none" w:pos="10480" w:val="left"/>
        </w:tabs>
        <w:rPr>
          <w:sz w:val="20"/>
          <w:szCs w:val="20"/>
          <w:color w:val="auto"/>
        </w:rPr>
      </w:pPr>
      <w:r>
        <w:rPr>
          <w:rFonts w:ascii="Arial" w:cs="Arial" w:eastAsia="Arial" w:hAnsi="Arial"/>
          <w:sz w:val="14"/>
          <w:szCs w:val="14"/>
          <w:color w:val="auto"/>
        </w:rPr>
        <w:t>Depreciation expense for leasing equipment</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23,691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13,173</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ind w:right="380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40" w:type="dxa"/>
            <w:vAlign w:val="bottom"/>
          </w:tcPr>
          <w:p>
            <w:pPr>
              <w:jc w:val="right"/>
              <w:ind w:right="52"/>
              <w:spacing w:after="0"/>
              <w:rPr>
                <w:sz w:val="20"/>
                <w:szCs w:val="20"/>
                <w:color w:val="auto"/>
              </w:rPr>
            </w:pPr>
            <w:r>
              <w:rPr>
                <w:rFonts w:ascii="Arial" w:cs="Arial" w:eastAsia="Arial" w:hAnsi="Arial"/>
                <w:sz w:val="22"/>
                <w:szCs w:val="22"/>
                <w:b w:val="1"/>
                <w:bCs w:val="1"/>
                <w:color w:val="00497F"/>
                <w:w w:val="86"/>
              </w:rPr>
              <w:t>4.</w:t>
            </w:r>
          </w:p>
        </w:tc>
        <w:tc>
          <w:tcPr>
            <w:tcW w:w="6940" w:type="dxa"/>
            <w:vAlign w:val="bottom"/>
          </w:tcPr>
          <w:p>
            <w:pPr>
              <w:ind w:left="140"/>
              <w:spacing w:after="0"/>
              <w:rPr>
                <w:sz w:val="20"/>
                <w:szCs w:val="20"/>
                <w:color w:val="auto"/>
              </w:rPr>
            </w:pPr>
            <w:r>
              <w:rPr>
                <w:rFonts w:ascii="Arial" w:cs="Arial" w:eastAsia="Arial" w:hAnsi="Arial"/>
                <w:sz w:val="22"/>
                <w:szCs w:val="22"/>
                <w:b w:val="1"/>
                <w:bCs w:val="1"/>
                <w:color w:val="00497F"/>
              </w:rPr>
              <w:t>FINANCE LEASES, NET</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62"/>
        </w:trPr>
        <w:tc>
          <w:tcPr>
            <w:tcW w:w="34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16"/>
                <w:szCs w:val="16"/>
                <w:color w:val="auto"/>
              </w:rPr>
              <w:t>Finance leases, net are summarized as follows:</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72"/>
        </w:trPr>
        <w:tc>
          <w:tcPr>
            <w:tcW w:w="3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24"/>
                <w:szCs w:val="24"/>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2017</w:t>
            </w:r>
          </w:p>
        </w:tc>
      </w:tr>
      <w:tr>
        <w:trPr>
          <w:trHeight w:val="39"/>
        </w:trPr>
        <w:tc>
          <w:tcPr>
            <w:tcW w:w="340" w:type="dxa"/>
            <w:vAlign w:val="bottom"/>
          </w:tcPr>
          <w:p>
            <w:pPr>
              <w:spacing w:after="0"/>
              <w:rPr>
                <w:sz w:val="3"/>
                <w:szCs w:val="3"/>
                <w:color w:val="auto"/>
              </w:rPr>
            </w:pPr>
          </w:p>
        </w:tc>
        <w:tc>
          <w:tcPr>
            <w:tcW w:w="69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4"/>
        </w:trPr>
        <w:tc>
          <w:tcPr>
            <w:tcW w:w="340" w:type="dxa"/>
            <w:vAlign w:val="bottom"/>
          </w:tcPr>
          <w:p>
            <w:pPr>
              <w:spacing w:after="0"/>
              <w:rPr>
                <w:sz w:val="21"/>
                <w:szCs w:val="21"/>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Finance leases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b w:val="1"/>
                <w:bCs w:val="1"/>
                <w:color w:val="auto"/>
              </w:rPr>
              <w:t>15,520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16,015</w:t>
            </w:r>
          </w:p>
        </w:tc>
      </w:tr>
      <w:tr>
        <w:trPr>
          <w:trHeight w:val="270"/>
        </w:trPr>
        <w:tc>
          <w:tcPr>
            <w:tcW w:w="340" w:type="dxa"/>
            <w:vAlign w:val="bottom"/>
          </w:tcPr>
          <w:p>
            <w:pPr>
              <w:spacing w:after="0"/>
              <w:rPr>
                <w:sz w:val="23"/>
                <w:szCs w:val="23"/>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Unearned revenue</w:t>
            </w: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(6,771)</w:t>
            </w:r>
          </w:p>
        </w:tc>
      </w:tr>
      <w:tr>
        <w:trPr>
          <w:trHeight w:val="243"/>
        </w:trPr>
        <w:tc>
          <w:tcPr>
            <w:tcW w:w="340" w:type="dxa"/>
            <w:vAlign w:val="bottom"/>
          </w:tcPr>
          <w:p>
            <w:pPr>
              <w:spacing w:after="0"/>
              <w:rPr>
                <w:sz w:val="21"/>
                <w:szCs w:val="21"/>
                <w:color w:val="auto"/>
              </w:rPr>
            </w:pPr>
          </w:p>
        </w:tc>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Finance leases,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9,115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9,244</w:t>
            </w:r>
          </w:p>
        </w:tc>
      </w:tr>
      <w:tr>
        <w:trPr>
          <w:trHeight w:val="20"/>
        </w:trPr>
        <w:tc>
          <w:tcPr>
            <w:tcW w:w="3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2018, future minimum lease payments to be received under finance leases for the remainder of the lease terms are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8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216"/>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1,513</w:t>
            </w:r>
          </w:p>
        </w:tc>
      </w:tr>
      <w:tr>
        <w:trPr>
          <w:trHeight w:val="210"/>
        </w:trPr>
        <w:tc>
          <w:tcPr>
            <w:tcW w:w="8940" w:type="dxa"/>
            <w:vAlign w:val="bottom"/>
          </w:tcPr>
          <w:p>
            <w:pPr>
              <w:ind w:left="20"/>
              <w:spacing w:after="0"/>
              <w:rPr>
                <w:sz w:val="20"/>
                <w:szCs w:val="20"/>
                <w:color w:val="auto"/>
              </w:rPr>
            </w:pPr>
            <w:r>
              <w:rPr>
                <w:rFonts w:ascii="Arial" w:cs="Arial" w:eastAsia="Arial" w:hAnsi="Arial"/>
                <w:sz w:val="14"/>
                <w:szCs w:val="14"/>
                <w:color w:val="auto"/>
              </w:rPr>
              <w:t>2019</w:t>
            </w:r>
          </w:p>
        </w:tc>
        <w:tc>
          <w:tcPr>
            <w:tcW w:w="38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2,008</w:t>
            </w:r>
          </w:p>
        </w:tc>
      </w:tr>
      <w:tr>
        <w:trPr>
          <w:trHeight w:val="222"/>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2,013</w:t>
            </w:r>
          </w:p>
        </w:tc>
      </w:tr>
      <w:tr>
        <w:trPr>
          <w:trHeight w:val="210"/>
        </w:trPr>
        <w:tc>
          <w:tcPr>
            <w:tcW w:w="8940" w:type="dxa"/>
            <w:vAlign w:val="bottom"/>
          </w:tcPr>
          <w:p>
            <w:pPr>
              <w:ind w:left="20"/>
              <w:spacing w:after="0"/>
              <w:rPr>
                <w:sz w:val="20"/>
                <w:szCs w:val="20"/>
                <w:color w:val="auto"/>
              </w:rPr>
            </w:pPr>
            <w:r>
              <w:rPr>
                <w:rFonts w:ascii="Arial" w:cs="Arial" w:eastAsia="Arial" w:hAnsi="Arial"/>
                <w:sz w:val="14"/>
                <w:szCs w:val="14"/>
                <w:color w:val="auto"/>
              </w:rPr>
              <w:t>2021</w:t>
            </w:r>
          </w:p>
        </w:tc>
        <w:tc>
          <w:tcPr>
            <w:tcW w:w="38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2,008</w:t>
            </w:r>
          </w:p>
        </w:tc>
      </w:tr>
      <w:tr>
        <w:trPr>
          <w:trHeight w:val="222"/>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r>
      <w:tr>
        <w:trPr>
          <w:trHeight w:val="210"/>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5,970</w:t>
            </w:r>
          </w:p>
        </w:tc>
      </w:tr>
      <w:tr>
        <w:trPr>
          <w:trHeight w:val="216"/>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15,520</w:t>
            </w:r>
          </w:p>
        </w:tc>
      </w:tr>
      <w:tr>
        <w:trPr>
          <w:trHeight w:val="20"/>
        </w:trPr>
        <w:tc>
          <w:tcPr>
            <w:tcW w:w="8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5. PROPERTY, PLANT AND EQUIPMENT, NET</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7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74,268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74,268</w:t>
            </w:r>
          </w:p>
        </w:tc>
      </w:tr>
      <w:tr>
        <w:trPr>
          <w:trHeight w:val="264"/>
        </w:trPr>
        <w:tc>
          <w:tcPr>
            <w:tcW w:w="716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24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b w:val="1"/>
                <w:bCs w:val="1"/>
                <w:color w:val="auto"/>
              </w:rPr>
              <w:t>86,844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100,420</w:t>
            </w:r>
          </w:p>
        </w:tc>
      </w:tr>
      <w:tr>
        <w:trPr>
          <w:trHeight w:val="276"/>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9,807</w:t>
            </w:r>
          </w:p>
        </w:tc>
      </w:tr>
      <w:tr>
        <w:trPr>
          <w:trHeight w:val="264"/>
        </w:trPr>
        <w:tc>
          <w:tcPr>
            <w:tcW w:w="716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24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b w:val="1"/>
                <w:bCs w:val="1"/>
                <w:color w:val="auto"/>
              </w:rPr>
              <w:t>339,639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299,444</w:t>
            </w:r>
          </w:p>
        </w:tc>
      </w:tr>
      <w:tr>
        <w:trPr>
          <w:trHeight w:val="276"/>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35,396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35,371</w:t>
            </w:r>
          </w:p>
        </w:tc>
      </w:tr>
      <w:tr>
        <w:trPr>
          <w:trHeight w:val="264"/>
        </w:trPr>
        <w:tc>
          <w:tcPr>
            <w:tcW w:w="716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24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b w:val="1"/>
                <w:bCs w:val="1"/>
                <w:color w:val="auto"/>
              </w:rPr>
              <w:t>1,058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1,057</w:t>
            </w:r>
          </w:p>
        </w:tc>
      </w:tr>
      <w:tr>
        <w:trPr>
          <w:trHeight w:val="276"/>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Railcars and locomotives</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3,429</w:t>
            </w:r>
          </w:p>
        </w:tc>
      </w:tr>
      <w:tr>
        <w:trPr>
          <w:trHeight w:val="264"/>
        </w:trPr>
        <w:tc>
          <w:tcPr>
            <w:tcW w:w="7160" w:type="dxa"/>
            <w:vAlign w:val="bottom"/>
          </w:tcPr>
          <w:p>
            <w:pPr>
              <w:ind w:left="20"/>
              <w:spacing w:after="0"/>
              <w:rPr>
                <w:sz w:val="20"/>
                <w:szCs w:val="20"/>
                <w:color w:val="auto"/>
              </w:rPr>
            </w:pPr>
            <w:r>
              <w:rPr>
                <w:rFonts w:ascii="Arial" w:cs="Arial" w:eastAsia="Arial" w:hAnsi="Arial"/>
                <w:sz w:val="14"/>
                <w:szCs w:val="14"/>
                <w:color w:val="auto"/>
              </w:rPr>
              <w:t>Computer hardware and software</w:t>
            </w:r>
          </w:p>
        </w:tc>
        <w:tc>
          <w:tcPr>
            <w:tcW w:w="24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b w:val="1"/>
                <w:bCs w:val="1"/>
                <w:color w:val="auto"/>
              </w:rPr>
              <w:t>3,490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3,105</w:t>
            </w:r>
          </w:p>
        </w:tc>
      </w:tr>
      <w:tr>
        <w:trPr>
          <w:trHeight w:val="276"/>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544</w:t>
            </w:r>
          </w:p>
        </w:tc>
      </w:tr>
      <w:tr>
        <w:trPr>
          <w:trHeight w:val="264"/>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Vehicles</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1,480</w:t>
            </w:r>
          </w:p>
        </w:tc>
      </w:tr>
      <w:tr>
        <w:trPr>
          <w:trHeight w:val="256"/>
        </w:trPr>
        <w:tc>
          <w:tcPr>
            <w:tcW w:w="7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555,955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528,925</w:t>
            </w:r>
          </w:p>
        </w:tc>
      </w:tr>
      <w:tr>
        <w:trPr>
          <w:trHeight w:val="264"/>
        </w:trPr>
        <w:tc>
          <w:tcPr>
            <w:tcW w:w="716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(45,595)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(40,605)</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Spare parts</w:t>
            </w:r>
          </w:p>
        </w:tc>
        <w:tc>
          <w:tcPr>
            <w:tcW w:w="2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1,692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1,629</w:t>
            </w:r>
          </w:p>
        </w:tc>
      </w:tr>
      <w:tr>
        <w:trPr>
          <w:trHeight w:val="243"/>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512,052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489,949</w:t>
            </w:r>
          </w:p>
        </w:tc>
      </w:tr>
      <w:tr>
        <w:trPr>
          <w:trHeight w:val="20"/>
        </w:trPr>
        <w:tc>
          <w:tcPr>
            <w:tcW w:w="7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During the three months ended March 31, 2018 and 2017, additional property, plant and equipment of $27,131 and $14,960 was acquired, respectively. Acquisitions primarily consist of terminal machinery and equipment, and computer hardware and software due to the ongoing development of Jefferson Terminal and Repauno.</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March 31, 2018 and 2017, disposals of property, plant and equipment totaled $38 and $52,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220"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26035</wp:posOffset>
            </wp:positionV>
            <wp:extent cx="16808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8860"/>
        <w:spacing w:after="0"/>
        <w:tabs>
          <w:tab w:leader="none" w:pos="102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26035</wp:posOffset>
            </wp:positionV>
            <wp:extent cx="679196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89" w:lineRule="exact"/>
        <w:rPr>
          <w:sz w:val="20"/>
          <w:szCs w:val="20"/>
          <w:color w:val="auto"/>
        </w:rPr>
      </w:pPr>
    </w:p>
    <w:p>
      <w:pPr>
        <w:ind w:left="360"/>
        <w:spacing w:after="0"/>
        <w:tabs>
          <w:tab w:leader="none" w:pos="8380" w:val="left"/>
          <w:tab w:leader="none" w:pos="9180" w:val="left"/>
          <w:tab w:leader="none" w:pos="9760" w:val="left"/>
          <w:tab w:leader="none" w:pos="10560" w:val="left"/>
        </w:tabs>
        <w:rPr>
          <w:sz w:val="20"/>
          <w:szCs w:val="20"/>
          <w:color w:val="auto"/>
        </w:rPr>
      </w:pPr>
      <w:r>
        <w:rPr>
          <w:rFonts w:ascii="Arial" w:cs="Arial" w:eastAsia="Arial" w:hAnsi="Arial"/>
          <w:sz w:val="14"/>
          <w:szCs w:val="14"/>
          <w:color w:val="auto"/>
        </w:rPr>
        <w:t>Depreciation expense for property, plant and equipment</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4,996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3,304</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6. INVESTMENTS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ownership interests and carrying values of the Company’s investments: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1148"/>
              <w:spacing w:after="0"/>
              <w:rPr>
                <w:sz w:val="20"/>
                <w:szCs w:val="20"/>
                <w:color w:val="auto"/>
              </w:rPr>
            </w:pPr>
            <w:r>
              <w:rPr>
                <w:rFonts w:ascii="Arial" w:cs="Arial" w:eastAsia="Arial" w:hAnsi="Arial"/>
                <w:sz w:val="14"/>
                <w:szCs w:val="14"/>
                <w:b w:val="1"/>
                <w:bCs w:val="1"/>
                <w:color w:val="auto"/>
              </w:rPr>
              <w:t>Carrying Value</w:t>
            </w:r>
          </w:p>
        </w:tc>
      </w:tr>
      <w:tr>
        <w:trPr>
          <w:trHeight w:val="264"/>
        </w:trPr>
        <w:tc>
          <w:tcPr>
            <w:tcW w:w="268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13,724</w:t>
            </w:r>
          </w:p>
        </w:tc>
      </w:tr>
      <w:tr>
        <w:trPr>
          <w:trHeight w:val="264"/>
        </w:trPr>
        <w:tc>
          <w:tcPr>
            <w:tcW w:w="2680" w:type="dxa"/>
            <w:vAlign w:val="bottom"/>
          </w:tcPr>
          <w:p>
            <w:pPr>
              <w:ind w:left="20"/>
              <w:spacing w:after="0"/>
              <w:rPr>
                <w:sz w:val="20"/>
                <w:szCs w:val="20"/>
                <w:color w:val="auto"/>
              </w:rPr>
            </w:pPr>
            <w:r>
              <w:rPr>
                <w:rFonts w:ascii="Arial" w:cs="Arial" w:eastAsia="Arial" w:hAnsi="Arial"/>
                <w:sz w:val="14"/>
                <w:szCs w:val="14"/>
                <w:color w:val="auto"/>
              </w:rPr>
              <w:t>JGP Energy Partners LLC</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b w:val="1"/>
                <w:bCs w:val="1"/>
                <w:color w:val="auto"/>
              </w:rPr>
              <w:t>26,184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24,920</w:t>
            </w:r>
          </w:p>
        </w:tc>
      </w:tr>
      <w:tr>
        <w:trPr>
          <w:trHeight w:val="270"/>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4,018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3,894</w:t>
            </w:r>
          </w:p>
        </w:tc>
      </w:tr>
      <w:tr>
        <w:trPr>
          <w:trHeight w:val="243"/>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Investments</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43,702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42,538</w:t>
            </w:r>
          </w:p>
        </w:tc>
      </w:tr>
      <w:tr>
        <w:trPr>
          <w:trHeight w:val="20"/>
        </w:trPr>
        <w:tc>
          <w:tcPr>
            <w:tcW w:w="2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recognize any other-than-temporary impairments for the three months ended March 31, 2018 and 2017.</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Equity Method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Advanced Engine Repair JV</w:t>
      </w:r>
    </w:p>
    <w:p>
      <w:pPr>
        <w:spacing w:after="0" w:line="183"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In December 2016, the Company invested $15,000 for 25% interest in an advanced engine repair joint venture. The Company will initially focus on developing new costs savings programs for engine repairs. The Company exercises significant influence over this investment and accounts for this investment as an equity method investment. The Company’s proportionate share of equity in losses was $224 and $736 for the three months ended March 31, 2018 and 2017,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JGP</w:t>
      </w:r>
    </w:p>
    <w:p>
      <w:pPr>
        <w:spacing w:after="0" w:line="183"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In 2016, the Company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The Company concluded it is not the primary beneficiary of JGP as the members share equally in the risks and rewards and decision making authority of the entity; therefore, the Company does not consolidate JGP and instead accounts for this investment in accordance with the equity method. The Company’s proportionate share of equity in earnings (losses) was $148 and $(65) for the three months ended March 31, 2018 and 2017, respectively.</w:t>
      </w:r>
    </w:p>
    <w:p>
      <w:pPr>
        <w:spacing w:after="0" w:line="32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Intermodal Finance I, Ltd.</w:t>
      </w:r>
    </w:p>
    <w:p>
      <w:pPr>
        <w:spacing w:after="0" w:line="183"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In 2012, the Company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the Company does not have unilateral rights over this investment; therefore, the Company does not consolidate Intermodal but accounts for this investment in accordance with the equity method. The Company does not have a variable interest in this investment as none of the criteria of ASC 810-10-15-14 were met.</w:t>
      </w:r>
    </w:p>
    <w:p>
      <w:pPr>
        <w:spacing w:after="0" w:line="155"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As of March 31, 2018, Intermodal owns a portfolio of multiple finance leases, representing five customers and comprising approximately 24,000 shipping containers, as well as a portfolio of approximately 8,000 shipping containers subject to multiple operating leases. The Company’s proportionate share of equity in earnings (losses) was $171 and $(465) for the three months ended March 31, 2018 and 2017, respectively.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ind w:right="380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presents summarized financial information for the Company’s equity method investments:</w:t>
      </w:r>
    </w:p>
    <w:p>
      <w:pPr>
        <w:spacing w:after="0" w:line="300" w:lineRule="exact"/>
        <w:rPr>
          <w:sz w:val="20"/>
          <w:szCs w:val="20"/>
          <w:color w:val="auto"/>
        </w:rPr>
      </w:pPr>
    </w:p>
    <w:tbl>
      <w:tblPr>
        <w:tblLayout w:type="fixed"/>
        <w:tblInd w:w="380" w:type="dxa"/>
        <w:tblCellMar>
          <w:top w:w="0" w:type="dxa"/>
          <w:left w:w="0" w:type="dxa"/>
          <w:bottom w:w="0" w:type="dxa"/>
          <w:right w:w="0" w:type="dxa"/>
        </w:tblCellMar>
      </w:tblPr>
      <w:tr>
        <w:trPr>
          <w:trHeight w:val="264"/>
        </w:trPr>
        <w:tc>
          <w:tcPr>
            <w:tcW w:w="66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4080" w:type="dxa"/>
            <w:vAlign w:val="bottom"/>
            <w:tcBorders>
              <w:bottom w:val="single" w:sz="8" w:color="auto"/>
            </w:tcBorders>
            <w:gridSpan w:val="4"/>
            <w:shd w:val="clear" w:color="auto" w:fill="CCEEFF"/>
          </w:tcPr>
          <w:p>
            <w:pPr>
              <w:jc w:val="right"/>
              <w:ind w:right="1408"/>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Income Statement</w:t>
            </w:r>
          </w:p>
        </w:tc>
        <w:tc>
          <w:tcPr>
            <w:tcW w:w="320" w:type="dxa"/>
            <w:vAlign w:val="bottom"/>
          </w:tcPr>
          <w:p>
            <w:pPr>
              <w:spacing w:after="0"/>
              <w:rPr>
                <w:sz w:val="22"/>
                <w:szCs w:val="22"/>
                <w:color w:val="auto"/>
              </w:rPr>
            </w:pP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2018</w:t>
            </w:r>
          </w:p>
        </w:tc>
        <w:tc>
          <w:tcPr>
            <w:tcW w:w="340" w:type="dxa"/>
            <w:vAlign w:val="bottom"/>
          </w:tcPr>
          <w:p>
            <w:pPr>
              <w:spacing w:after="0"/>
              <w:rPr>
                <w:sz w:val="22"/>
                <w:szCs w:val="22"/>
                <w:color w:val="auto"/>
              </w:rPr>
            </w:pPr>
          </w:p>
        </w:tc>
        <w:tc>
          <w:tcPr>
            <w:tcW w:w="1860" w:type="dxa"/>
            <w:vAlign w:val="bottom"/>
          </w:tcPr>
          <w:p>
            <w:pPr>
              <w:jc w:val="right"/>
              <w:ind w:right="528"/>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4,100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1,621</w:t>
            </w:r>
          </w:p>
        </w:tc>
      </w:tr>
      <w:tr>
        <w:trPr>
          <w:trHeight w:val="25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4,100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1,621</w:t>
            </w:r>
          </w:p>
        </w:tc>
      </w:tr>
      <w:tr>
        <w:trPr>
          <w:trHeight w:val="264"/>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spacing w:after="0"/>
              <w:rPr>
                <w:sz w:val="22"/>
                <w:szCs w:val="22"/>
                <w:color w:val="auto"/>
              </w:rPr>
            </w:pPr>
          </w:p>
        </w:tc>
      </w:tr>
      <w:tr>
        <w:trPr>
          <w:trHeight w:val="250"/>
        </w:trPr>
        <w:tc>
          <w:tcPr>
            <w:tcW w:w="6620" w:type="dxa"/>
            <w:vAlign w:val="bottom"/>
            <w:tcBorders>
              <w:bottom w:val="single" w:sz="8" w:color="CCEEFF"/>
            </w:tcBorders>
          </w:tcPr>
          <w:p>
            <w:pPr>
              <w:ind w:left="240"/>
              <w:spacing w:after="0"/>
              <w:rPr>
                <w:sz w:val="20"/>
                <w:szCs w:val="20"/>
                <w:color w:val="auto"/>
              </w:rPr>
            </w:pPr>
            <w:r>
              <w:rPr>
                <w:rFonts w:ascii="Arial" w:cs="Arial" w:eastAsia="Arial" w:hAnsi="Arial"/>
                <w:sz w:val="14"/>
                <w:szCs w:val="14"/>
                <w:b w:val="1"/>
                <w:bCs w:val="1"/>
                <w:color w:val="auto"/>
              </w:rPr>
              <w:t>Total Expenses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5,709</w:t>
            </w:r>
          </w:p>
        </w:tc>
      </w:tr>
      <w:tr>
        <w:trPr>
          <w:trHeight w:val="324"/>
        </w:trPr>
        <w:tc>
          <w:tcPr>
            <w:tcW w:w="66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spacing w:after="0"/>
              <w:rPr>
                <w:sz w:val="24"/>
                <w:szCs w:val="24"/>
                <w:color w:val="auto"/>
              </w:rPr>
            </w:pPr>
          </w:p>
        </w:tc>
      </w:tr>
      <w:tr>
        <w:trPr>
          <w:trHeight w:val="27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(4,088)</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Company’s portion</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(1,266)</w:t>
            </w: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7. INTANGIBLE ASSETS AND LIABILITIES, NET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intangible assets and liabilities, net are summarized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March 31, 2018</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4"/>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Jefferson Terminal</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7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b w:val="1"/>
                <w:bCs w:val="1"/>
                <w:color w:val="auto"/>
              </w:rPr>
              <w:t>37,775</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37,775</w:t>
            </w: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(22,645)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(22,645)</w:t>
            </w:r>
          </w:p>
        </w:tc>
      </w:tr>
      <w:tr>
        <w:trPr>
          <w:trHeight w:val="25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15,130</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15,130</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35,738</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(12,714)</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(12,890)</w:t>
            </w:r>
          </w:p>
        </w:tc>
      </w:tr>
      <w:tr>
        <w:trPr>
          <w:trHeight w:val="25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22,799</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22,848</w:t>
            </w:r>
          </w:p>
        </w:tc>
      </w:tr>
      <w:tr>
        <w:trPr>
          <w:trHeight w:val="28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15,130</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22,799</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37,978</w:t>
            </w:r>
          </w:p>
        </w:tc>
      </w:tr>
      <w:tr>
        <w:trPr>
          <w:trHeight w:val="278"/>
        </w:trPr>
        <w:tc>
          <w:tcPr>
            <w:tcW w:w="4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2,732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2,732</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(1,576)</w:t>
            </w:r>
          </w:p>
        </w:tc>
      </w:tr>
      <w:tr>
        <w:trPr>
          <w:trHeight w:val="243"/>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1,156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ind w:right="380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December 31, 2017</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4"/>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Jefferson Terminal</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7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36,747</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36,747</w:t>
            </w:r>
          </w:p>
        </w:tc>
      </w:tr>
      <w:tr>
        <w:trPr>
          <w:trHeight w:val="2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(20,452)</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(20,452)</w:t>
            </w:r>
          </w:p>
        </w:tc>
      </w:tr>
      <w:tr>
        <w:trPr>
          <w:trHeight w:val="24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16,295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16,295</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35,738</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(11,825)</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(11,990)</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23,688</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23,748</w:t>
            </w:r>
          </w:p>
        </w:tc>
      </w:tr>
      <w:tr>
        <w:trPr>
          <w:trHeight w:val="277"/>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16,295</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23,688</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40,043</w:t>
            </w:r>
          </w:p>
        </w:tc>
      </w:tr>
      <w:tr>
        <w:trPr>
          <w:trHeight w:val="278"/>
        </w:trPr>
        <w:tc>
          <w:tcPr>
            <w:tcW w:w="4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2,732</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r>
      <w:tr>
        <w:trPr>
          <w:trHeight w:val="243"/>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1,358</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accompanying Consolidated Balance Sheets.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intangible assets and liabilities is recorded in the Consolidated Statements of Operations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494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rPr>
              <w:t>Classification in Consolidated Statements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3100" w:type="dxa"/>
            <w:vAlign w:val="bottom"/>
          </w:tcPr>
          <w:p>
            <w:pPr>
              <w:spacing w:after="0"/>
              <w:rPr>
                <w:sz w:val="17"/>
                <w:szCs w:val="17"/>
                <w:color w:val="auto"/>
              </w:rPr>
            </w:pPr>
          </w:p>
        </w:tc>
        <w:tc>
          <w:tcPr>
            <w:tcW w:w="494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rPr>
              <w:t>of Operations</w:t>
            </w:r>
          </w:p>
        </w:tc>
        <w:tc>
          <w:tcPr>
            <w:tcW w:w="200" w:type="dxa"/>
            <w:vAlign w:val="bottom"/>
          </w:tcPr>
          <w:p>
            <w:pPr>
              <w:spacing w:after="0"/>
              <w:rPr>
                <w:sz w:val="17"/>
                <w:szCs w:val="17"/>
                <w:color w:val="auto"/>
              </w:rPr>
            </w:pPr>
          </w:p>
        </w:tc>
        <w:tc>
          <w:tcPr>
            <w:tcW w:w="244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100" w:type="dxa"/>
            <w:vAlign w:val="bottom"/>
            <w:tcBorders>
              <w:bottom w:val="single" w:sz="8" w:color="CCEEFF"/>
            </w:tcBorders>
          </w:tcPr>
          <w:p>
            <w:pPr>
              <w:spacing w:after="0"/>
              <w:rPr>
                <w:sz w:val="22"/>
                <w:szCs w:val="22"/>
                <w:color w:val="auto"/>
              </w:rPr>
            </w:pPr>
          </w:p>
        </w:tc>
        <w:tc>
          <w:tcPr>
            <w:tcW w:w="3000" w:type="dxa"/>
            <w:vAlign w:val="bottom"/>
            <w:tcBorders>
              <w:top w:val="single" w:sz="8" w:color="auto"/>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25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1,992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1,282</w:t>
            </w:r>
          </w:p>
        </w:tc>
      </w:tr>
      <w:tr>
        <w:trPr>
          <w:trHeight w:val="264"/>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900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900</w:t>
            </w:r>
          </w:p>
        </w:tc>
      </w:tr>
      <w:tr>
        <w:trPr>
          <w:trHeight w:val="24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0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2,182</w:t>
            </w:r>
          </w:p>
        </w:tc>
      </w:tr>
      <w:tr>
        <w:trPr>
          <w:trHeight w:val="20"/>
        </w:trPr>
        <w:tc>
          <w:tcPr>
            <w:tcW w:w="3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2018, estimated net annual amortization of intangibles is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89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216"/>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8,176</w:t>
            </w:r>
          </w:p>
        </w:tc>
      </w:tr>
      <w:tr>
        <w:trPr>
          <w:trHeight w:val="210"/>
        </w:trPr>
        <w:tc>
          <w:tcPr>
            <w:tcW w:w="8980" w:type="dxa"/>
            <w:vAlign w:val="bottom"/>
          </w:tcPr>
          <w:p>
            <w:pPr>
              <w:ind w:left="20"/>
              <w:spacing w:after="0"/>
              <w:rPr>
                <w:sz w:val="20"/>
                <w:szCs w:val="20"/>
                <w:color w:val="auto"/>
              </w:rPr>
            </w:pPr>
            <w:r>
              <w:rPr>
                <w:rFonts w:ascii="Arial" w:cs="Arial" w:eastAsia="Arial" w:hAnsi="Arial"/>
                <w:sz w:val="14"/>
                <w:szCs w:val="14"/>
                <w:color w:val="auto"/>
              </w:rPr>
              <w:t>2019</w:t>
            </w:r>
          </w:p>
        </w:tc>
        <w:tc>
          <w:tcPr>
            <w:tcW w:w="40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7,733</w:t>
            </w:r>
          </w:p>
        </w:tc>
      </w:tr>
      <w:tr>
        <w:trPr>
          <w:trHeight w:val="22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6,383</w:t>
            </w:r>
          </w:p>
        </w:tc>
      </w:tr>
      <w:tr>
        <w:trPr>
          <w:trHeight w:val="210"/>
        </w:trPr>
        <w:tc>
          <w:tcPr>
            <w:tcW w:w="8980" w:type="dxa"/>
            <w:vAlign w:val="bottom"/>
          </w:tcPr>
          <w:p>
            <w:pPr>
              <w:ind w:left="20"/>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5,003</w:t>
            </w:r>
          </w:p>
        </w:tc>
      </w:tr>
      <w:tr>
        <w:trPr>
          <w:trHeight w:val="22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3,596</w:t>
            </w:r>
          </w:p>
        </w:tc>
      </w:tr>
      <w:tr>
        <w:trPr>
          <w:trHeight w:val="21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5,931</w:t>
            </w:r>
          </w:p>
        </w:tc>
      </w:tr>
      <w:tr>
        <w:trPr>
          <w:trHeight w:val="216"/>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36,822</w:t>
            </w:r>
          </w:p>
        </w:tc>
      </w:tr>
      <w:tr>
        <w:trPr>
          <w:trHeight w:val="20"/>
        </w:trPr>
        <w:tc>
          <w:tcPr>
            <w:tcW w:w="8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20" w:right="25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 xml:space="preserve">NOTES TO CONSOLIDATED FINANCIAL STATEMENTS </w:t>
      </w:r>
      <w:r>
        <w:rPr>
          <w:rFonts w:ascii="Arial" w:cs="Arial" w:eastAsia="Arial" w:hAnsi="Arial"/>
          <w:sz w:val="22"/>
          <w:szCs w:val="22"/>
          <w:b w:val="1"/>
          <w:bCs w:val="1"/>
          <w:i w:val="1"/>
          <w:iCs w:val="1"/>
          <w:color w:val="00497F"/>
        </w:rPr>
        <w:t>(unaudited)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8. DEBT, NET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debt, net is summarized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7"/>
                <w:szCs w:val="17"/>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Loans payable</w:t>
            </w:r>
          </w:p>
        </w:tc>
        <w:tc>
          <w:tcPr>
            <w:tcW w:w="28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r>
      <w:tr>
        <w:trPr>
          <w:trHeight w:val="276"/>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FTAI Pride Credit Agreement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52,431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53,993</w:t>
            </w:r>
          </w:p>
        </w:tc>
      </w:tr>
      <w:tr>
        <w:trPr>
          <w:trHeight w:val="264"/>
        </w:trPr>
        <w:tc>
          <w:tcPr>
            <w:tcW w:w="6740" w:type="dxa"/>
            <w:vAlign w:val="bottom"/>
          </w:tcPr>
          <w:p>
            <w:pPr>
              <w:ind w:left="480"/>
              <w:spacing w:after="0"/>
              <w:rPr>
                <w:sz w:val="20"/>
                <w:szCs w:val="20"/>
                <w:color w:val="auto"/>
              </w:rPr>
            </w:pPr>
            <w:r>
              <w:rPr>
                <w:rFonts w:ascii="Arial" w:cs="Arial" w:eastAsia="Arial" w:hAnsi="Arial"/>
                <w:sz w:val="14"/>
                <w:szCs w:val="14"/>
                <w:color w:val="auto"/>
              </w:rPr>
              <w:t>CMQR Credit Agreement</w:t>
            </w:r>
          </w:p>
        </w:tc>
        <w:tc>
          <w:tcPr>
            <w:tcW w:w="2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17,350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22,800</w:t>
            </w:r>
          </w:p>
        </w:tc>
      </w:tr>
      <w:tr>
        <w:trPr>
          <w:trHeight w:val="276"/>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Revolving Credit Facility</w:t>
            </w:r>
          </w:p>
        </w:tc>
        <w:tc>
          <w:tcPr>
            <w:tcW w:w="28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Jefferson Revolver</w:t>
            </w: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13,511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56"/>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loans payable</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83,292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76,793</w:t>
            </w:r>
          </w:p>
        </w:tc>
      </w:tr>
      <w:tr>
        <w:trPr>
          <w:trHeight w:val="264"/>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Bonds payable</w:t>
            </w: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6"/>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Series 2012 Bonds</w:t>
            </w:r>
            <w:r>
              <w:rPr>
                <w:rFonts w:ascii="Arial" w:cs="Arial" w:eastAsia="Arial" w:hAnsi="Arial"/>
                <w:sz w:val="17"/>
                <w:szCs w:val="17"/>
                <w:color w:val="auto"/>
                <w:vertAlign w:val="superscript"/>
              </w:rPr>
              <w:t>(1)</w:t>
            </w: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44,389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44,404</w:t>
            </w:r>
          </w:p>
        </w:tc>
      </w:tr>
      <w:tr>
        <w:trPr>
          <w:trHeight w:val="264"/>
        </w:trPr>
        <w:tc>
          <w:tcPr>
            <w:tcW w:w="6740" w:type="dxa"/>
            <w:vAlign w:val="bottom"/>
          </w:tcPr>
          <w:p>
            <w:pPr>
              <w:ind w:left="480"/>
              <w:spacing w:after="0"/>
              <w:rPr>
                <w:sz w:val="20"/>
                <w:szCs w:val="20"/>
                <w:color w:val="auto"/>
              </w:rPr>
            </w:pPr>
            <w:r>
              <w:rPr>
                <w:rFonts w:ascii="Arial" w:cs="Arial" w:eastAsia="Arial" w:hAnsi="Arial"/>
                <w:sz w:val="14"/>
                <w:szCs w:val="14"/>
                <w:color w:val="auto"/>
              </w:rPr>
              <w:t>Series 2016 Bonds</w:t>
            </w:r>
          </w:p>
        </w:tc>
        <w:tc>
          <w:tcPr>
            <w:tcW w:w="2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144,200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144,200</w:t>
            </w:r>
          </w:p>
        </w:tc>
      </w:tr>
      <w:tr>
        <w:trPr>
          <w:trHeight w:val="276"/>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Senior Notes</w:t>
            </w:r>
            <w:r>
              <w:rPr>
                <w:rFonts w:ascii="Arial" w:cs="Arial" w:eastAsia="Arial" w:hAnsi="Arial"/>
                <w:sz w:val="17"/>
                <w:szCs w:val="17"/>
                <w:color w:val="auto"/>
                <w:vertAlign w:val="superscript"/>
              </w:rPr>
              <w:t>(2)</w:t>
            </w:r>
          </w:p>
        </w:tc>
        <w:tc>
          <w:tcPr>
            <w:tcW w:w="2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449,316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449,290</w:t>
            </w:r>
          </w:p>
        </w:tc>
      </w:tr>
      <w:tr>
        <w:trPr>
          <w:trHeight w:val="244"/>
        </w:trPr>
        <w:tc>
          <w:tcPr>
            <w:tcW w:w="6740" w:type="dxa"/>
            <w:vAlign w:val="bottom"/>
          </w:tcPr>
          <w:p>
            <w:pPr>
              <w:ind w:left="480"/>
              <w:spacing w:after="0"/>
              <w:rPr>
                <w:sz w:val="20"/>
                <w:szCs w:val="20"/>
                <w:color w:val="auto"/>
              </w:rPr>
            </w:pPr>
            <w:r>
              <w:rPr>
                <w:rFonts w:ascii="Arial" w:cs="Arial" w:eastAsia="Arial" w:hAnsi="Arial"/>
                <w:sz w:val="14"/>
                <w:szCs w:val="14"/>
                <w:color w:val="auto"/>
              </w:rPr>
              <w:t>Total bonds payable</w:t>
            </w:r>
          </w:p>
        </w:tc>
        <w:tc>
          <w:tcPr>
            <w:tcW w:w="28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637,905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637,894</w:t>
            </w:r>
          </w:p>
        </w:tc>
      </w:tr>
      <w:tr>
        <w:trPr>
          <w:trHeight w:val="276"/>
        </w:trPr>
        <w:tc>
          <w:tcPr>
            <w:tcW w:w="674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spacing w:after="0"/>
              <w:rPr>
                <w:sz w:val="24"/>
                <w:szCs w:val="24"/>
                <w:color w:val="auto"/>
              </w:rPr>
            </w:pPr>
          </w:p>
        </w:tc>
      </w:tr>
      <w:tr>
        <w:trPr>
          <w:trHeight w:val="244"/>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721,197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b w:val="1"/>
                <w:bCs w:val="1"/>
                <w:color w:val="auto"/>
              </w:rPr>
              <w:t>714,687</w:t>
            </w:r>
          </w:p>
        </w:tc>
      </w:tr>
      <w:tr>
        <w:trPr>
          <w:trHeight w:val="270"/>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Less: Debt issuance costs</w:t>
            </w:r>
          </w:p>
        </w:tc>
        <w:tc>
          <w:tcPr>
            <w:tcW w:w="2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(10,559)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(11,423)</w:t>
            </w:r>
          </w:p>
        </w:tc>
      </w:tr>
      <w:tr>
        <w:trPr>
          <w:trHeight w:val="28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debt, net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710,638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703,264</w:t>
            </w:r>
          </w:p>
        </w:tc>
      </w:tr>
      <w:tr>
        <w:trPr>
          <w:trHeight w:val="278"/>
        </w:trPr>
        <w:tc>
          <w:tcPr>
            <w:tcW w:w="6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7,795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7,795</w:t>
            </w:r>
          </w:p>
        </w:tc>
      </w:tr>
    </w:tbl>
    <w:p>
      <w:pPr>
        <w:spacing w:after="0" w:line="78" w:lineRule="exact"/>
        <w:rPr>
          <w:sz w:val="20"/>
          <w:szCs w:val="20"/>
          <w:color w:val="auto"/>
        </w:rPr>
      </w:pPr>
    </w:p>
    <w:p>
      <w:pPr>
        <w:ind w:left="480" w:hanging="148"/>
        <w:spacing w:after="0"/>
        <w:tabs>
          <w:tab w:leader="none" w:pos="48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unamortized premium of $1,624 and $1,639 at March 31, 2018 and December 31, 2017, respectively.</w:t>
      </w:r>
    </w:p>
    <w:p>
      <w:pPr>
        <w:spacing w:after="0" w:line="97" w:lineRule="exact"/>
        <w:rPr>
          <w:rFonts w:ascii="Arial" w:cs="Arial" w:eastAsia="Arial" w:hAnsi="Arial"/>
          <w:sz w:val="18"/>
          <w:szCs w:val="18"/>
          <w:color w:val="auto"/>
          <w:vertAlign w:val="superscript"/>
        </w:rPr>
      </w:pPr>
    </w:p>
    <w:p>
      <w:pPr>
        <w:ind w:left="340" w:right="60" w:hanging="8"/>
        <w:spacing w:after="0" w:line="218" w:lineRule="auto"/>
        <w:tabs>
          <w:tab w:leader="none" w:pos="49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$6,177 and $6,506 at March 31, 2018 and December 31, 2017, respectively and an unamortized premium of $5,493 and $5,796 at March 31, 2018 and December 31, 2017, respectively.</w:t>
      </w:r>
    </w:p>
    <w:p>
      <w:pPr>
        <w:spacing w:after="0" w:line="75" w:lineRule="exact"/>
        <w:rPr>
          <w:sz w:val="20"/>
          <w:szCs w:val="20"/>
          <w:color w:val="auto"/>
        </w:rPr>
      </w:pPr>
    </w:p>
    <w:p>
      <w:pPr>
        <w:ind w:left="340" w:right="40"/>
        <w:spacing w:after="0" w:line="254" w:lineRule="auto"/>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497F"/>
        </w:rPr>
        <w:t>—</w:t>
      </w:r>
      <w:r>
        <w:rPr>
          <w:rFonts w:ascii="Arial" w:cs="Arial" w:eastAsia="Arial" w:hAnsi="Arial"/>
          <w:sz w:val="16"/>
          <w:szCs w:val="16"/>
          <w:color w:val="000000"/>
        </w:rPr>
        <w:t>On September 15, 2014, FTAI Pride, LLC, (“FTAI Pride”) a subsidiary of the Company entered into a credit agreement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in September 2019 and can be prepaid without penalty at any time. The FTAI Pride Credit Agreement is secured on a first priority basis by the offshore construction vessel. Borrowings under the FTAI Pride Credit Agreement bear interest at the LIBOR rate plus a spread of 4.50%.</w:t>
      </w:r>
    </w:p>
    <w:p>
      <w:pPr>
        <w:spacing w:after="0" w:line="148"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127"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b w:val="1"/>
          <w:bCs w:val="1"/>
          <w:i w:val="1"/>
          <w:iCs w:val="1"/>
          <w:color w:val="00497F"/>
        </w:rPr>
        <w:t>CMQR Credit Agreement</w:t>
      </w:r>
      <w:r>
        <w:rPr>
          <w:rFonts w:ascii="Arial" w:cs="Arial" w:eastAsia="Arial" w:hAnsi="Arial"/>
          <w:sz w:val="16"/>
          <w:szCs w:val="16"/>
          <w:color w:val="00497F"/>
        </w:rPr>
        <w:t>—</w:t>
      </w:r>
      <w:r>
        <w:rPr>
          <w:rFonts w:ascii="Arial" w:cs="Arial" w:eastAsia="Arial" w:hAnsi="Arial"/>
          <w:sz w:val="16"/>
          <w:szCs w:val="16"/>
          <w:color w:val="000000"/>
        </w:rPr>
        <w:t>On June 30, 2017, CMQR amended its credit agreement (the “CMQR Credit Agreement”) with a financial institution for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revolving line of credit to increase the aggregate amount from $20,000 to $25,000 and to extend the maturity date to September 18, 2019. Borrowings under the CMQR Credit Agreement bear interest at either (i) Adjusted LIBOR plus a spread of 2.50% or 4.50%, (ii) the U.S. or Canadian Base Rate plus a spread of 1.50% or 3.50%, or (iii) the Canadian Fixed Rate plus a spread of 2.50% or 4.50%, as defined by the CMQR Credit Agreement. The weighted-average effective interest rate as of March 31, 2018 and December 31, 2017 was 4.28% and 3.95%, respectively.</w:t>
      </w:r>
    </w:p>
    <w:p>
      <w:pPr>
        <w:spacing w:after="0" w:line="146"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The CMQR Credit Agreement is also indirectly supported by Fortress Transportation and Infrastructure Investors LLC (the “Sponsor”). In the event of a default under the credit agreement, CMQR’s lenders can cause CMQR to call up to a total of $29,000 in capital from the Sponsor, and in the event of CMQR’s bankruptcy, the lenders can put the debt back to the Sponsor. The CMQR Credit Agreement contains affirmative and negative covenants which limit certain actions of CMQR.</w:t>
      </w:r>
    </w:p>
    <w:p>
      <w:pPr>
        <w:spacing w:after="0" w:line="129"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i w:val="1"/>
          <w:iCs w:val="1"/>
          <w:color w:val="00497F"/>
        </w:rPr>
        <w:t>Series 2012 Bonds</w:t>
      </w:r>
      <w:r>
        <w:rPr>
          <w:rFonts w:ascii="Arial" w:cs="Arial" w:eastAsia="Arial" w:hAnsi="Arial"/>
          <w:sz w:val="16"/>
          <w:szCs w:val="16"/>
          <w:color w:val="00497F"/>
        </w:rPr>
        <w:t>—</w:t>
      </w:r>
      <w:r>
        <w:rPr>
          <w:rFonts w:ascii="Arial" w:cs="Arial" w:eastAsia="Arial" w:hAnsi="Arial"/>
          <w:sz w:val="16"/>
          <w:szCs w:val="16"/>
          <w:color w:val="000000"/>
        </w:rPr>
        <w:t>On August 1, 2012, Jefferson County Development Corporation issued $46,875 of tax-exempt industrial bonds (“Series 2012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In connection with the Company’s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spacing w:after="0" w:line="147"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Series 2012 Bond agreement contains a financial covenant requiring a subsidiary of the Company to maintain a long-term debt service coverage ratio, as defined in the agreement, of 1.25 to 1, in each fiscal year, beginning with December 31, 2014.</w:t>
      </w:r>
    </w:p>
    <w:p>
      <w:pPr>
        <w:spacing w:after="0" w:line="122"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b w:val="1"/>
          <w:bCs w:val="1"/>
          <w:i w:val="1"/>
          <w:iCs w:val="1"/>
          <w:color w:val="00497F"/>
        </w:rPr>
        <w:t>Series 2016 Bonds</w:t>
      </w:r>
      <w:r>
        <w:rPr>
          <w:rFonts w:ascii="Arial" w:cs="Arial" w:eastAsia="Arial" w:hAnsi="Arial"/>
          <w:sz w:val="16"/>
          <w:szCs w:val="16"/>
          <w:color w:val="00497F"/>
        </w:rPr>
        <w:t>—</w:t>
      </w:r>
      <w:r>
        <w:rPr>
          <w:rFonts w:ascii="Arial" w:cs="Arial" w:eastAsia="Arial" w:hAnsi="Arial"/>
          <w:sz w:val="16"/>
          <w:szCs w:val="16"/>
          <w:color w:val="000000"/>
        </w:rPr>
        <w:t>On March 7, 2016, the Port of Beaumont Navigation District of Jefferson County, Texas (the “District”) issued $144,200 of Dock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342"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151"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therein, as well as maintenance of a minimum total asset value of Aviation Assets and minimum total equity of the Company. In connection with the above, and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affiliate of the Manager will effectively guarantee a pro rata portion of the obligations under the Standby Bond Purchase Agreement in return for a guarantee fee of $6,873 (shared on the same pro rata basis). This fee will be amortized as interest expense to the earlier of the redemption date or February 13, 2020.</w:t>
      </w:r>
    </w:p>
    <w:p>
      <w:pPr>
        <w:spacing w:after="0" w:line="154"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134"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b w:val="1"/>
          <w:bCs w:val="1"/>
          <w:i w:val="1"/>
          <w:iCs w:val="1"/>
          <w:color w:val="00497F"/>
        </w:rPr>
        <w:t>Term Loan</w:t>
      </w:r>
      <w:r>
        <w:rPr>
          <w:rFonts w:ascii="Arial" w:cs="Arial" w:eastAsia="Arial" w:hAnsi="Arial"/>
          <w:sz w:val="16"/>
          <w:szCs w:val="16"/>
          <w:color w:val="00497F"/>
        </w:rPr>
        <w:t>—</w:t>
      </w:r>
      <w:r>
        <w:rPr>
          <w:rFonts w:ascii="Arial" w:cs="Arial" w:eastAsia="Arial" w:hAnsi="Arial"/>
          <w:sz w:val="16"/>
          <w:szCs w:val="16"/>
          <w:color w:val="000000"/>
        </w:rPr>
        <w:t>On January 23, 2017, the Company entered into an unsecured credit agreement under which the Company, through its wholly owned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subsidiaries, including the Partnership and WWTAI Finance Ltd., an exempted company incorporated with limited liability under the laws of Bermuda, borrowed $100,000 in term loans denominated in U.S. dollars (the “Term Loans”). The proceeds of the Term Loan are to be used for general corporate purposes, including future acquisitions by the Company and its subsidiaries of certain aviation and infrastructure assets. The Term Loans bear interest at the Base Rate (determined in accordance with the agreement) plus 2.75% per annum, or at the Adjusted Eurodollar Rate (determined in accordance with the agreement) plus 3.75% per annum, if the Company chooses to make Eurodollar Rate borrowings. The Term Loans mature on January 22, 2018, subject to the Company’s right to elect a one year extension, and require amortization payments in the amount of $250 on the last day of each fiscal quarter beginning on March 31, 2017. On March 15, 2017, all amounts outstanding under the Term Loan were repaid in full and the agreement was terminated. Accordingly, during the three months ended March 31, 2017, the Company recorded a loss on extinguishment of debt of $2,456.</w:t>
      </w:r>
    </w:p>
    <w:p>
      <w:pPr>
        <w:spacing w:after="0" w:line="132"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i w:val="1"/>
          <w:iCs w:val="1"/>
          <w:color w:val="00497F"/>
        </w:rPr>
        <w:t>Senior Notes</w:t>
      </w:r>
      <w:r>
        <w:rPr>
          <w:rFonts w:ascii="Arial" w:cs="Arial" w:eastAsia="Arial" w:hAnsi="Arial"/>
          <w:sz w:val="16"/>
          <w:szCs w:val="16"/>
          <w:color w:val="00497F"/>
        </w:rPr>
        <w:t>—</w:t>
      </w:r>
      <w:r>
        <w:rPr>
          <w:rFonts w:ascii="Arial" w:cs="Arial" w:eastAsia="Arial" w:hAnsi="Arial"/>
          <w:sz w:val="16"/>
          <w:szCs w:val="16"/>
          <w:color w:val="000000"/>
        </w:rPr>
        <w:t>On March 15, 2017, the Company issued $250,000 aggregate principal amount of 6.75% senior unsecured notes due 2022 (the “Senior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Notes”). The Senior Notes were issued pursuant to an indenture, dated as of March 15, 2017, between the Company and U.S. Bank National Association, as trustee. On August 23, 2017, the Company issued an additional $100,000 of Senior Notes. The additional notes were issued at an offering price of 102.75% of the principal amount plus accrued interest from March 15, 2017 to the date of issuance. On December 20, 2017, the Company issued an additional $100,000 of Senior Notes. The additional notes issued on December 20, 2017 were issued at an offering price of 103.25% of the principal amount plus accrued interest from September 15,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Senior Notes bear interest at a rate of 6.75% per annum, payable semi-annually in arrears on March 15 and September 15 of each year, commencing on September 15, 2017, to persons who are registered holders of the Senior Notes on the immediately preceding March 1 and September 1, respectively.</w:t>
      </w:r>
    </w:p>
    <w:p>
      <w:pPr>
        <w:spacing w:after="0" w:line="142"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Senior Notes mature on March 15, 2022. Prior to March 15, 2020, the Company may redeem some or all of the Senior Notes at a redemption price equal to 100.00% of the principal amount of the Senior Notes redeemed, plus accrued and unpaid interest, if any, to, but not including, the applicable redemption date, plus a “make-whole” premium. On or after March 15, 2020, the Company may redeem some or all of the Senior Notes at any time at declining redemption prices equal to (i) 105.063% beginning on March 15, 2020, and (ii) 100.000% beginning on March 15, 2021 and thereafter, plus, in each case, accrued and unpaid interest, if any, to, but not including, the applicable redemption date. In addition, at any time on or prior to March 15, 2020, the Company may at any time redeem up to 40% of the aggregate principal amount of the Senior Notes using net proceeds from certain equity offerings at a redemption price equal to 106.75% of the principal amount of the Senior Notes redeemed, plus accrued and unpaid interest, if any, to, but not including, the applicable redemption date.</w:t>
      </w:r>
    </w:p>
    <w:p>
      <w:pPr>
        <w:spacing w:after="0" w:line="15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used a portion of the proceeds to fully repay all outstanding indebtedness under the Company’s Term Loan in the amount of $100,000, payment of fees related to the issuance of Senior Notes, and to fund the purchase of additional investments. The Company intends to use the remainder of the proceeds for general corporate purposes, including the funding of future investments.</w:t>
      </w:r>
    </w:p>
    <w:p>
      <w:pPr>
        <w:spacing w:after="0" w:line="127"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497F"/>
        </w:rPr>
        <w:t>—</w:t>
      </w:r>
      <w:r>
        <w:rPr>
          <w:rFonts w:ascii="Arial" w:cs="Arial" w:eastAsia="Arial" w:hAnsi="Arial"/>
          <w:sz w:val="16"/>
          <w:szCs w:val="16"/>
          <w:color w:val="000000"/>
        </w:rPr>
        <w:t>On June 16, 2017, the Company entered into a revolving credit facility (the “Revolving Credit Facility”) with certain lenders.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Revolving Credit Facility provides for revolving loans in the aggregate principal amount of up to $75,000, of which $25,000 may be utilized for the issuance of letters of credit. The proceeds drawn on this facility will be used for working capital and general corporate purposes, including, without limitation, permitted acquisitions and other investments. The Revolving Credit Facility is secured by the capital stock of certain direct subsidiaries of the Company as defined in the related credit agreement.</w:t>
      </w:r>
    </w:p>
    <w:p>
      <w:pPr>
        <w:spacing w:after="0" w:line="146"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Borrowings outstanding under the Revolving Credit Facility bear interest at the Adjusted Eurodollar Rate (determined in accordance with the credit agreement) plus 3.00% per annum, if the Company chooses to make Eurodollar Rate borrowings, or at the Base Rate (determined in accordance with the credit agreement) plus 2.00% per annum. The Company will also be required to pay a quarterly commitment fee at a rate per annum equal to 0.50% on the average daily unused portion of the Revolving Credit Facility, as well as customary letter of credit fees and agency fees.</w:t>
      </w:r>
    </w:p>
    <w:p>
      <w:pPr>
        <w:spacing w:after="0" w:line="149"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Revolving Credit Facility will mature, and commitments in respect of the Revolving Credit Facility will terminate, on June 16, 2020. Any amount borrowed under the Revolving Credit Facility may be voluntarily prepaid without penalty or premium, other than customary breakage costs related to prepayments of Eurodollar Rate borrowings.</w:t>
      </w:r>
    </w:p>
    <w:p>
      <w:pPr>
        <w:spacing w:after="0" w:line="14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Revolving Credit Facility includes financial covenants requiring the maintenance of (1) a minimum ratio of the appraised value of certain aviation assets to the aggregate commitments under the revolving credit facility of 3.00 to 1.00 and (2) a maximum ratio of debt to total equity (before reduction for minority interests) for the Company and its subsidiaries of 1.65 to 1.00 per the terms of the credit agreement.</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2018 and December 31, 2017, the Company had no borrowings outstanding under the Revolving Credit Facility.</w:t>
      </w:r>
    </w:p>
    <w:p>
      <w:pPr>
        <w:spacing w:after="0" w:line="161"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Jefferson Revolving Credit Facility</w:t>
      </w:r>
      <w:r>
        <w:rPr>
          <w:rFonts w:ascii="Arial" w:cs="Arial" w:eastAsia="Arial" w:hAnsi="Arial"/>
          <w:sz w:val="16"/>
          <w:szCs w:val="16"/>
          <w:color w:val="00497F"/>
        </w:rPr>
        <w:t>—</w:t>
      </w:r>
      <w:r>
        <w:rPr>
          <w:rFonts w:ascii="Arial" w:cs="Arial" w:eastAsia="Arial" w:hAnsi="Arial"/>
          <w:sz w:val="16"/>
          <w:szCs w:val="16"/>
          <w:color w:val="000000"/>
        </w:rPr>
        <w:t>On March 7, 2018, a subsidiary of the Company entered into a revolving credit facility (the “Jefferson Revolver”)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with certain lenders. The Jefferson Revolver provides for revolving loans in the aggregate principal amount of up to $50,000. The proceeds drawn on this facility will be used for working capital and general purposes. The Jefferson Revolver is secured by the capital stock of certain direct subsidiaries of the Company as defined in the related credit agreement.</w:t>
      </w:r>
    </w:p>
    <w:p>
      <w:pPr>
        <w:spacing w:after="0" w:line="158"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Borrowings outstanding under the Jefferson Revolver bear interest at the Base Rate (determined in accordance with the credit agreement) plus 1.50% per annum, or if the Company chooses to make Eurodollar Rate borrowings, at the Base Rate (determined in accordance with the credit agreement) plus 2.50% per annum. The Company will also be required to pay a quarterly commitment fee at a rate per annum equal to 0.50% on the average daily unused portion of the Jefferson Revolver, as well as customary letter of credit fees and agency fees.</w:t>
      </w:r>
    </w:p>
    <w:p>
      <w:pPr>
        <w:spacing w:after="0" w:line="162"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Jefferson Revolver will mature, and commitments in respect to the Jefferson Revolver will terminate, on March 7, 2021. Any amount borrowed under the Jefferson Revolver may be voluntarily prepaid without penalty or premium, other than customary breakage costs related to prepayments of Eurodollar Rate borrowings.</w:t>
      </w:r>
    </w:p>
    <w:p>
      <w:pPr>
        <w:spacing w:after="0" w:line="161"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Jefferson Revolver includes financial covenants requiring the maintenance of a maximum ratio of debt to total equity (before reduction for minority interests) for the Company and its subsidiaries of 1.65 to 1.00.</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2018, the Company had $13,511 in borrowings outstanding under the Jefferson Revolver.</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was in compliance with all debt covenants as of March 31, 2018.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0" w:right="239" w:bottom="1440" w:gutter="0" w:footer="0" w:header="0"/>
        </w:sectPr>
      </w:pPr>
    </w:p>
    <w:bookmarkStart w:id="23" w:name="page24"/>
    <w:bookmarkEnd w:id="23"/>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9. FAIR VALUE MEASUREMENTS</w:t>
      </w:r>
    </w:p>
    <w:p>
      <w:pPr>
        <w:spacing w:after="0" w:line="187" w:lineRule="exact"/>
        <w:rPr>
          <w:sz w:val="20"/>
          <w:szCs w:val="20"/>
          <w:color w:val="auto"/>
        </w:rPr>
      </w:pPr>
    </w:p>
    <w:p>
      <w:pPr>
        <w:ind w:left="340"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4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6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141"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the Company to develop its own assumptions about how market participants price the asset or liability.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6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6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6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following tables set forth the Company’s financial assets measured at fair value on a recurring basis as of March 31, 2018 and December 31, 2017, by level within the fair value hierarchy. Assets measured at fair value are classified in their entirety based on the lowest level of input that is significant to their fair value measurement.</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as of</w:t>
            </w:r>
          </w:p>
        </w:tc>
        <w:tc>
          <w:tcPr>
            <w:tcW w:w="160" w:type="dxa"/>
            <w:vAlign w:val="bottom"/>
          </w:tcPr>
          <w:p>
            <w:pPr>
              <w:spacing w:after="0"/>
              <w:rPr>
                <w:sz w:val="16"/>
                <w:szCs w:val="16"/>
                <w:color w:val="auto"/>
              </w:rPr>
            </w:pPr>
          </w:p>
        </w:tc>
        <w:tc>
          <w:tcPr>
            <w:tcW w:w="42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76"/>
        </w:trPr>
        <w:tc>
          <w:tcPr>
            <w:tcW w:w="25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4"/>
        </w:trPr>
        <w:tc>
          <w:tcPr>
            <w:tcW w:w="2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ind w:right="28"/>
              <w:spacing w:after="0"/>
              <w:rPr>
                <w:sz w:val="20"/>
                <w:szCs w:val="20"/>
                <w:color w:val="auto"/>
              </w:rPr>
            </w:pPr>
            <w:r>
              <w:rPr>
                <w:rFonts w:ascii="Arial" w:cs="Arial" w:eastAsia="Arial" w:hAnsi="Arial"/>
                <w:sz w:val="14"/>
                <w:szCs w:val="14"/>
                <w:b w:val="1"/>
                <w:bCs w:val="1"/>
                <w:color w:val="auto"/>
              </w:rPr>
              <w:t>80,916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80,916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ind w:left="10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0"/>
        </w:trPr>
        <w:tc>
          <w:tcPr>
            <w:tcW w:w="2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25,823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25,823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43"/>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106,739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106,739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522"/>
        </w:trPr>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as of</w:t>
            </w:r>
          </w:p>
        </w:tc>
        <w:tc>
          <w:tcPr>
            <w:tcW w:w="160" w:type="dxa"/>
            <w:vAlign w:val="bottom"/>
          </w:tcPr>
          <w:p>
            <w:pPr>
              <w:spacing w:after="0"/>
              <w:rPr>
                <w:sz w:val="24"/>
                <w:szCs w:val="24"/>
                <w:color w:val="auto"/>
              </w:rPr>
            </w:pPr>
          </w:p>
        </w:tc>
        <w:tc>
          <w:tcPr>
            <w:tcW w:w="42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6"/>
        </w:trPr>
        <w:tc>
          <w:tcPr>
            <w:tcW w:w="25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4"/>
        </w:trPr>
        <w:tc>
          <w:tcPr>
            <w:tcW w:w="2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64"/>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r>
      <w:tr>
        <w:trPr>
          <w:trHeight w:val="276"/>
        </w:trPr>
        <w:tc>
          <w:tcPr>
            <w:tcW w:w="2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59,400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4"/>
        </w:trPr>
        <w:tc>
          <w:tcPr>
            <w:tcW w:w="25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33,406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33,406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Market</w:t>
            </w: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92,806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2018 and December 31, 2017, the Company had no liabilities that were measured at fair value on a recurring basis.</w:t>
      </w:r>
    </w:p>
    <w:p>
      <w:pPr>
        <w:spacing w:after="0" w:line="16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Company’s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14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Except as discussed below, the Company’s financial instruments other than cash and cash equivalents and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As of March 31, 2018 and December 31, 2017, the Company recorded a derivative asset related to short-term forward crude contracts in other assets. The fair value of the short-term derivative asset was $398 and $1,022 at March 31, 2018 and December 31, 2017, respectively, and was classified as Level 3 within the fair value hierarchy.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the Company’s bonds and notes payable reported as debt, net in the Consolidated Balance Sheet are presented in the table below:</w:t>
      </w:r>
    </w:p>
    <w:p>
      <w:pPr>
        <w:spacing w:after="0" w:line="368"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60" w:type="dxa"/>
            <w:vAlign w:val="bottom"/>
            <w:gridSpan w:val="4"/>
          </w:tcPr>
          <w:p>
            <w:pPr>
              <w:jc w:val="right"/>
              <w:ind w:right="1588"/>
              <w:spacing w:after="0"/>
              <w:rPr>
                <w:sz w:val="20"/>
                <w:szCs w:val="20"/>
                <w:color w:val="auto"/>
              </w:rPr>
            </w:pPr>
            <w:r>
              <w:rPr>
                <w:rFonts w:ascii="Arial" w:cs="Arial" w:eastAsia="Arial" w:hAnsi="Arial"/>
                <w:sz w:val="14"/>
                <w:szCs w:val="14"/>
                <w:b w:val="1"/>
                <w:bCs w:val="1"/>
                <w:color w:val="auto"/>
              </w:rPr>
              <w:t>Fair Value as of</w:t>
            </w:r>
          </w:p>
        </w:tc>
      </w:tr>
      <w:tr>
        <w:trPr>
          <w:trHeight w:val="276"/>
        </w:trPr>
        <w:tc>
          <w:tcPr>
            <w:tcW w:w="6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24"/>
                <w:szCs w:val="24"/>
                <w:color w:val="auto"/>
              </w:rPr>
            </w:pPr>
          </w:p>
        </w:tc>
        <w:tc>
          <w:tcPr>
            <w:tcW w:w="1880" w:type="dxa"/>
            <w:vAlign w:val="bottom"/>
          </w:tcPr>
          <w:p>
            <w:pPr>
              <w:jc w:val="right"/>
              <w:ind w:right="34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2012 Bonds</w:t>
            </w:r>
            <w:r>
              <w:rPr>
                <w:rFonts w:ascii="Arial" w:cs="Arial" w:eastAsia="Arial" w:hAnsi="Arial"/>
                <w:sz w:val="17"/>
                <w:szCs w:val="17"/>
                <w:color w:val="auto"/>
                <w:vertAlign w:val="superscript"/>
              </w:rPr>
              <w:t>(1)</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44,670</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45,691</w:t>
            </w:r>
          </w:p>
        </w:tc>
      </w:tr>
      <w:tr>
        <w:trPr>
          <w:trHeight w:val="270"/>
        </w:trPr>
        <w:tc>
          <w:tcPr>
            <w:tcW w:w="6320" w:type="dxa"/>
            <w:vAlign w:val="bottom"/>
          </w:tcPr>
          <w:p>
            <w:pPr>
              <w:ind w:left="20"/>
              <w:spacing w:after="0"/>
              <w:rPr>
                <w:sz w:val="20"/>
                <w:szCs w:val="20"/>
                <w:color w:val="auto"/>
              </w:rPr>
            </w:pPr>
            <w:r>
              <w:rPr>
                <w:rFonts w:ascii="Arial" w:cs="Arial" w:eastAsia="Arial" w:hAnsi="Arial"/>
                <w:sz w:val="14"/>
                <w:szCs w:val="14"/>
                <w:color w:val="auto"/>
              </w:rPr>
              <w:t>Series 2016 Bonds</w:t>
            </w:r>
            <w:r>
              <w:rPr>
                <w:rFonts w:ascii="Arial" w:cs="Arial" w:eastAsia="Arial" w:hAnsi="Arial"/>
                <w:sz w:val="17"/>
                <w:szCs w:val="17"/>
                <w:color w:val="auto"/>
                <w:vertAlign w:val="superscript"/>
              </w:rPr>
              <w:t>(1)</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jc w:val="right"/>
              <w:ind w:right="28"/>
              <w:spacing w:after="0"/>
              <w:rPr>
                <w:sz w:val="20"/>
                <w:szCs w:val="20"/>
                <w:color w:val="auto"/>
              </w:rPr>
            </w:pPr>
            <w:r>
              <w:rPr>
                <w:rFonts w:ascii="Arial" w:cs="Arial" w:eastAsia="Arial" w:hAnsi="Arial"/>
                <w:sz w:val="14"/>
                <w:szCs w:val="14"/>
                <w:b w:val="1"/>
                <w:bCs w:val="1"/>
                <w:color w:val="auto"/>
              </w:rPr>
              <w:t>149,545</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48"/>
              <w:spacing w:after="0"/>
              <w:rPr>
                <w:sz w:val="20"/>
                <w:szCs w:val="20"/>
                <w:color w:val="auto"/>
              </w:rPr>
            </w:pPr>
            <w:r>
              <w:rPr>
                <w:rFonts w:ascii="Arial" w:cs="Arial" w:eastAsia="Arial" w:hAnsi="Arial"/>
                <w:sz w:val="14"/>
                <w:szCs w:val="14"/>
                <w:color w:val="auto"/>
              </w:rPr>
              <w:t>150,329</w:t>
            </w: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w:t>
            </w:r>
            <w:r>
              <w:rPr>
                <w:rFonts w:ascii="Arial" w:cs="Arial" w:eastAsia="Arial" w:hAnsi="Arial"/>
                <w:sz w:val="17"/>
                <w:szCs w:val="17"/>
                <w:color w:val="auto"/>
                <w:vertAlign w:val="superscript"/>
              </w:rPr>
              <w:t>(2)</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449,316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449,290</w:t>
            </w:r>
          </w:p>
        </w:tc>
      </w:tr>
    </w:tbl>
    <w:p>
      <w:pPr>
        <w:spacing w:after="0" w:line="159" w:lineRule="exact"/>
        <w:rPr>
          <w:sz w:val="20"/>
          <w:szCs w:val="20"/>
          <w:color w:val="auto"/>
        </w:rPr>
      </w:pPr>
    </w:p>
    <w:p>
      <w:pPr>
        <w:ind w:left="280"/>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90" w:lineRule="exact"/>
        <w:rPr>
          <w:sz w:val="20"/>
          <w:szCs w:val="20"/>
          <w:color w:val="auto"/>
        </w:rPr>
      </w:pPr>
    </w:p>
    <w:p>
      <w:pPr>
        <w:ind w:left="480" w:hanging="148"/>
        <w:spacing w:after="0"/>
        <w:tabs>
          <w:tab w:leader="none" w:pos="4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Fair value is based upon market prices for similar municipal securities</w:t>
      </w:r>
    </w:p>
    <w:p>
      <w:pPr>
        <w:spacing w:after="0" w:line="43" w:lineRule="exact"/>
        <w:rPr>
          <w:rFonts w:ascii="Arial" w:cs="Arial" w:eastAsia="Arial" w:hAnsi="Arial"/>
          <w:sz w:val="18"/>
          <w:szCs w:val="18"/>
          <w:color w:val="auto"/>
          <w:vertAlign w:val="superscript"/>
        </w:rPr>
      </w:pPr>
    </w:p>
    <w:p>
      <w:pPr>
        <w:ind w:left="480" w:hanging="148"/>
        <w:spacing w:after="0" w:line="199" w:lineRule="auto"/>
        <w:tabs>
          <w:tab w:leader="none" w:pos="4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Carrying value approximates the market prices</w:t>
      </w:r>
    </w:p>
    <w:p>
      <w:pPr>
        <w:spacing w:after="0" w:line="150"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142"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ind w:right="344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10. REVENUES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Components of revenue are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March 31, 2018</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5"/>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4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29,308</w:t>
            </w: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2,249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31,557</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23,427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23,427</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367</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433</w:t>
            </w:r>
          </w:p>
        </w:tc>
      </w:tr>
      <w:tr>
        <w:trPr>
          <w:trHeight w:val="156"/>
        </w:trPr>
        <w:tc>
          <w:tcPr>
            <w:tcW w:w="2580" w:type="dxa"/>
            <w:vAlign w:val="bottom"/>
          </w:tcPr>
          <w:p>
            <w:pPr>
              <w:ind w:left="38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96"/>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52,735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55,784</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382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382</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11,047</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1,253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1,253</w:t>
            </w:r>
          </w:p>
        </w:tc>
      </w:tr>
      <w:tr>
        <w:trPr>
          <w:trHeight w:val="270"/>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378</w:t>
            </w:r>
          </w:p>
        </w:tc>
      </w:tr>
      <w:tr>
        <w:trPr>
          <w:trHeight w:val="250"/>
        </w:trPr>
        <w:tc>
          <w:tcPr>
            <w:tcW w:w="2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1,253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11,047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760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13,060</w:t>
            </w: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52,735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68,844</w:t>
            </w: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80"/>
        </w:trPr>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March 31, 2017</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5"/>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4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17,635</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18,246</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12,669</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386</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r>
      <w:tr>
        <w:trPr>
          <w:trHeight w:val="156"/>
        </w:trPr>
        <w:tc>
          <w:tcPr>
            <w:tcW w:w="2580" w:type="dxa"/>
            <w:vAlign w:val="bottom"/>
          </w:tcPr>
          <w:p>
            <w:pPr>
              <w:ind w:left="38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96"/>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30,306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31,388</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42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6"/>
        </w:trPr>
        <w:tc>
          <w:tcPr>
            <w:tcW w:w="2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8,403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8,403</w:t>
            </w:r>
          </w:p>
        </w:tc>
      </w:tr>
      <w:tr>
        <w:trPr>
          <w:trHeight w:val="264"/>
        </w:trPr>
        <w:tc>
          <w:tcPr>
            <w:tcW w:w="258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Terminal services revenues</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4,866</w:t>
            </w:r>
          </w:p>
        </w:tc>
      </w:tr>
      <w:tr>
        <w:trPr>
          <w:trHeight w:val="25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8,403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13,285</w:t>
            </w:r>
          </w:p>
        </w:tc>
      </w:tr>
      <w:tr>
        <w:trPr>
          <w:trHeight w:val="237"/>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30,306</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4,866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8,403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44,673</w:t>
            </w:r>
          </w:p>
        </w:tc>
      </w:tr>
      <w:tr>
        <w:trPr>
          <w:trHeight w:val="20"/>
        </w:trPr>
        <w:tc>
          <w:tcPr>
            <w:tcW w:w="2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40"/>
          </w:cols>
          <w:pgMar w:left="240" w:top="121" w:right="619" w:bottom="1440" w:gutter="0" w:footer="0" w:header="0"/>
        </w:sectPr>
      </w:pPr>
    </w:p>
    <w:bookmarkStart w:id="26" w:name="page27"/>
    <w:bookmarkEnd w:id="26"/>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across several market sectors as of</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March 31, 2018:</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89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Total</w:t>
            </w: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103,657</w:t>
            </w: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2019</w:t>
            </w:r>
          </w:p>
        </w:tc>
        <w:tc>
          <w:tcPr>
            <w:tcW w:w="42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89,129</w:t>
            </w: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58,598</w:t>
            </w: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2021</w:t>
            </w:r>
          </w:p>
        </w:tc>
        <w:tc>
          <w:tcPr>
            <w:tcW w:w="42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37,443</w:t>
            </w: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19,437</w:t>
            </w:r>
          </w:p>
        </w:tc>
      </w:tr>
      <w:tr>
        <w:trPr>
          <w:trHeight w:val="210"/>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8,617</w:t>
            </w:r>
          </w:p>
        </w:tc>
      </w:tr>
      <w:tr>
        <w:trPr>
          <w:trHeight w:val="216"/>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316,881</w:t>
            </w:r>
          </w:p>
        </w:tc>
      </w:tr>
      <w:tr>
        <w:trPr>
          <w:trHeight w:val="20"/>
        </w:trPr>
        <w:tc>
          <w:tcPr>
            <w:tcW w:w="8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11. EQUITY-BASED COMPENSATION</w:t>
      </w:r>
    </w:p>
    <w:p>
      <w:pPr>
        <w:spacing w:after="0" w:line="18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In 2015,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w:t>
      </w:r>
    </w:p>
    <w:p>
      <w:pPr>
        <w:spacing w:after="0" w:line="14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As of March 31, 2018, the Incentive Plan provides for the issuance of up to 30 million shares. The Company accounts for equity-based compensation expense in accordance with Accounting Standards Codification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and is reported within operating expenses and general and administrative in the Consolidated Statements of Operations.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Consolidated Statements of Operations includes the following expense related to its stock-based compensation arrangements:</w:t>
      </w:r>
    </w:p>
    <w:p>
      <w:pPr>
        <w:spacing w:after="0" w:line="328"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24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900" w:type="dxa"/>
            <w:vAlign w:val="bottom"/>
          </w:tcPr>
          <w:p>
            <w:pPr>
              <w:jc w:val="center"/>
              <w:ind w:right="28"/>
              <w:spacing w:after="0"/>
              <w:rPr>
                <w:sz w:val="20"/>
                <w:szCs w:val="20"/>
                <w:color w:val="auto"/>
              </w:rPr>
            </w:pPr>
            <w:r>
              <w:rPr>
                <w:rFonts w:ascii="Arial" w:cs="Arial" w:eastAsia="Arial" w:hAnsi="Arial"/>
                <w:sz w:val="14"/>
                <w:szCs w:val="14"/>
                <w:b w:val="1"/>
                <w:bCs w:val="1"/>
                <w:color w:val="auto"/>
              </w:rPr>
              <w:t>Remaining Expense To Be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Recognized, If All Vesting</w:t>
            </w: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61"/>
        </w:trPr>
        <w:tc>
          <w:tcPr>
            <w:tcW w:w="4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Conditions Are Met</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0" w:type="dxa"/>
            <w:vAlign w:val="bottom"/>
          </w:tcPr>
          <w:p>
            <w:pPr>
              <w:spacing w:after="0"/>
              <w:rPr>
                <w:sz w:val="1"/>
                <w:szCs w:val="1"/>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800" w:type="dxa"/>
            <w:vAlign w:val="bottom"/>
          </w:tcPr>
          <w:p>
            <w:pPr>
              <w:jc w:val="right"/>
              <w:ind w:right="62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8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8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901</w:t>
            </w: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Stock Options</w:t>
      </w:r>
    </w:p>
    <w:p>
      <w:pPr>
        <w:spacing w:after="0" w:line="18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In the three months ended March 31, 2018, the Company granted equity-based compensation awards of 10,000 stock options to its two new independent directors (5,000 options each) pursuant to the Incentive Plan with a grant date fair value of $9 which immediately vested upon grant and expire after 10 years. The fair value of each option was estimated on the grant date using a Black-Scholes option valuation model using the following weighted average assumptions:</w:t>
      </w:r>
    </w:p>
    <w:p>
      <w:pPr>
        <w:spacing w:after="0" w:line="282" w:lineRule="exact"/>
        <w:rPr>
          <w:sz w:val="20"/>
          <w:szCs w:val="20"/>
          <w:color w:val="auto"/>
        </w:rPr>
      </w:pPr>
    </w:p>
    <w:tbl>
      <w:tblPr>
        <w:tblLayout w:type="fixed"/>
        <w:tblInd w:w="540" w:type="dxa"/>
        <w:tblCellMar>
          <w:top w:w="0" w:type="dxa"/>
          <w:left w:w="0" w:type="dxa"/>
          <w:bottom w:w="0" w:type="dxa"/>
          <w:right w:w="0" w:type="dxa"/>
        </w:tblCellMar>
      </w:tblPr>
      <w:tr>
        <w:trPr>
          <w:trHeight w:val="194"/>
        </w:trPr>
        <w:tc>
          <w:tcPr>
            <w:tcW w:w="1720" w:type="dxa"/>
            <w:vAlign w:val="bottom"/>
            <w:shd w:val="clear" w:color="auto" w:fill="CCEEFF"/>
          </w:tcPr>
          <w:p>
            <w:pPr>
              <w:spacing w:after="0"/>
              <w:rPr>
                <w:sz w:val="16"/>
                <w:szCs w:val="16"/>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 expected stock volatility is based on an assessment of the stock volatility of the Company’s publicly</w:t>
            </w:r>
          </w:p>
        </w:tc>
        <w:tc>
          <w:tcPr>
            <w:tcW w:w="1420" w:type="dxa"/>
            <w:vAlign w:val="bottom"/>
            <w:shd w:val="clear" w:color="auto" w:fill="CCEEFF"/>
          </w:tcPr>
          <w:p>
            <w:pPr>
              <w:spacing w:after="0"/>
              <w:rPr>
                <w:sz w:val="16"/>
                <w:szCs w:val="16"/>
                <w:color w:val="auto"/>
              </w:rPr>
            </w:pPr>
          </w:p>
        </w:tc>
      </w:tr>
      <w:tr>
        <w:trPr>
          <w:trHeight w:val="184"/>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7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traded stock over the preceding 12-month period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194"/>
        </w:trPr>
        <w:tc>
          <w:tcPr>
            <w:tcW w:w="1720" w:type="dxa"/>
            <w:vAlign w:val="bottom"/>
          </w:tcPr>
          <w:p>
            <w:pPr>
              <w:spacing w:after="0"/>
              <w:rPr>
                <w:sz w:val="16"/>
                <w:szCs w:val="16"/>
                <w:color w:val="auto"/>
              </w:rPr>
            </w:pPr>
          </w:p>
        </w:tc>
        <w:tc>
          <w:tcPr>
            <w:tcW w:w="7560" w:type="dxa"/>
            <w:vAlign w:val="bottom"/>
          </w:tcPr>
          <w:p>
            <w:pPr>
              <w:ind w:left="200"/>
              <w:spacing w:after="0"/>
              <w:rPr>
                <w:sz w:val="20"/>
                <w:szCs w:val="20"/>
                <w:color w:val="auto"/>
              </w:rPr>
            </w:pPr>
            <w:r>
              <w:rPr>
                <w:rFonts w:ascii="Arial" w:cs="Arial" w:eastAsia="Arial" w:hAnsi="Arial"/>
                <w:sz w:val="14"/>
                <w:szCs w:val="14"/>
                <w:color w:val="auto"/>
              </w:rPr>
              <w:t>The risk-free rate is determined using the implied yield currently available on U.S. government bonds</w:t>
            </w:r>
          </w:p>
        </w:tc>
        <w:tc>
          <w:tcPr>
            <w:tcW w:w="1420" w:type="dxa"/>
            <w:vAlign w:val="bottom"/>
          </w:tcPr>
          <w:p>
            <w:pPr>
              <w:spacing w:after="0"/>
              <w:rPr>
                <w:sz w:val="16"/>
                <w:szCs w:val="16"/>
                <w:color w:val="auto"/>
              </w:rPr>
            </w:pPr>
          </w:p>
        </w:tc>
      </w:tr>
      <w:tr>
        <w:trPr>
          <w:trHeight w:val="178"/>
        </w:trPr>
        <w:tc>
          <w:tcPr>
            <w:tcW w:w="1720" w:type="dxa"/>
            <w:vAlign w:val="bottom"/>
          </w:tcPr>
          <w:p>
            <w:pPr>
              <w:ind w:left="20"/>
              <w:spacing w:after="0"/>
              <w:rPr>
                <w:sz w:val="20"/>
                <w:szCs w:val="20"/>
                <w:color w:val="auto"/>
              </w:rPr>
            </w:pPr>
            <w:r>
              <w:rPr>
                <w:rFonts w:ascii="Arial" w:cs="Arial" w:eastAsia="Arial" w:hAnsi="Arial"/>
                <w:sz w:val="14"/>
                <w:szCs w:val="14"/>
                <w:color w:val="auto"/>
              </w:rPr>
              <w:t>Risk free interest rate</w:t>
            </w:r>
          </w:p>
        </w:tc>
        <w:tc>
          <w:tcPr>
            <w:tcW w:w="7560" w:type="dxa"/>
            <w:vAlign w:val="bottom"/>
          </w:tcPr>
          <w:p>
            <w:pPr>
              <w:ind w:left="200"/>
              <w:spacing w:after="0"/>
              <w:rPr>
                <w:sz w:val="20"/>
                <w:szCs w:val="20"/>
                <w:color w:val="auto"/>
              </w:rPr>
            </w:pPr>
            <w:r>
              <w:rPr>
                <w:rFonts w:ascii="Arial" w:cs="Arial" w:eastAsia="Arial" w:hAnsi="Arial"/>
                <w:sz w:val="14"/>
                <w:szCs w:val="14"/>
                <w:color w:val="auto"/>
              </w:rPr>
              <w:t>with a term consistent with the expected term on the date of grant</w:t>
            </w:r>
          </w:p>
        </w:tc>
        <w:tc>
          <w:tcPr>
            <w:tcW w:w="14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22"/>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7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 expected dividend yield is based on management’s currently expected dividend rate</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204"/>
        </w:trPr>
        <w:tc>
          <w:tcPr>
            <w:tcW w:w="1720" w:type="dxa"/>
            <w:vAlign w:val="bottom"/>
          </w:tcPr>
          <w:p>
            <w:pPr>
              <w:ind w:left="20"/>
              <w:spacing w:after="0"/>
              <w:rPr>
                <w:sz w:val="20"/>
                <w:szCs w:val="20"/>
                <w:color w:val="auto"/>
              </w:rPr>
            </w:pPr>
            <w:r>
              <w:rPr>
                <w:rFonts w:ascii="Arial" w:cs="Arial" w:eastAsia="Arial" w:hAnsi="Arial"/>
                <w:sz w:val="14"/>
                <w:szCs w:val="14"/>
                <w:color w:val="auto"/>
              </w:rPr>
              <w:t>Expected term</w:t>
            </w:r>
          </w:p>
        </w:tc>
        <w:tc>
          <w:tcPr>
            <w:tcW w:w="7560" w:type="dxa"/>
            <w:vAlign w:val="bottom"/>
          </w:tcPr>
          <w:p>
            <w:pPr>
              <w:ind w:left="200"/>
              <w:spacing w:after="0"/>
              <w:rPr>
                <w:sz w:val="20"/>
                <w:szCs w:val="20"/>
                <w:color w:val="auto"/>
              </w:rPr>
            </w:pPr>
            <w:r>
              <w:rPr>
                <w:rFonts w:ascii="Arial" w:cs="Arial" w:eastAsia="Arial" w:hAnsi="Arial"/>
                <w:sz w:val="14"/>
                <w:szCs w:val="14"/>
                <w:color w:val="auto"/>
              </w:rPr>
              <w:t>Expected term used represents the period of time the options granted are expected to be outstanding</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5 years</w:t>
            </w: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12. INCOME TAXES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and deferred components of the income tax provision included in the Consolidated Statements of Operations are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7"/>
                <w:szCs w:val="17"/>
                <w:color w:val="auto"/>
              </w:rPr>
            </w:pPr>
          </w:p>
        </w:tc>
      </w:tr>
      <w:tr>
        <w:trPr>
          <w:trHeight w:val="264"/>
        </w:trPr>
        <w:tc>
          <w:tcPr>
            <w:tcW w:w="76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r>
      <w:tr>
        <w:trPr>
          <w:trHeight w:val="264"/>
        </w:trPr>
        <w:tc>
          <w:tcPr>
            <w:tcW w:w="7600" w:type="dxa"/>
            <w:vAlign w:val="bottom"/>
          </w:tcPr>
          <w:p>
            <w:pPr>
              <w:ind w:left="260"/>
              <w:spacing w:after="0"/>
              <w:rPr>
                <w:sz w:val="20"/>
                <w:szCs w:val="20"/>
                <w:color w:val="auto"/>
              </w:rPr>
            </w:pPr>
            <w:r>
              <w:rPr>
                <w:rFonts w:ascii="Arial" w:cs="Arial" w:eastAsia="Arial" w:hAnsi="Arial"/>
                <w:sz w:val="14"/>
                <w:szCs w:val="14"/>
                <w:color w:val="auto"/>
              </w:rPr>
              <w:t>Federal</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22"/>
                <w:szCs w:val="22"/>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121</w:t>
            </w:r>
          </w:p>
        </w:tc>
      </w:tr>
      <w:tr>
        <w:trPr>
          <w:trHeight w:val="276"/>
        </w:trPr>
        <w:tc>
          <w:tcPr>
            <w:tcW w:w="76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State and local</w:t>
            </w: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r>
      <w:tr>
        <w:trPr>
          <w:trHeight w:val="264"/>
        </w:trPr>
        <w:tc>
          <w:tcPr>
            <w:tcW w:w="76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r>
      <w:tr>
        <w:trPr>
          <w:trHeight w:val="25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165</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w:t>
            </w:r>
          </w:p>
        </w:tc>
      </w:tr>
      <w:tr>
        <w:trPr>
          <w:trHeight w:val="324"/>
        </w:trPr>
        <w:tc>
          <w:tcPr>
            <w:tcW w:w="7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r>
      <w:tr>
        <w:trPr>
          <w:trHeight w:val="264"/>
        </w:trPr>
        <w:tc>
          <w:tcPr>
            <w:tcW w:w="7600" w:type="dxa"/>
            <w:vAlign w:val="bottom"/>
          </w:tcPr>
          <w:p>
            <w:pPr>
              <w:ind w:left="260"/>
              <w:spacing w:after="0"/>
              <w:rPr>
                <w:sz w:val="20"/>
                <w:szCs w:val="20"/>
                <w:color w:val="auto"/>
              </w:rPr>
            </w:pPr>
            <w:r>
              <w:rPr>
                <w:rFonts w:ascii="Arial" w:cs="Arial" w:eastAsia="Arial" w:hAnsi="Arial"/>
                <w:sz w:val="14"/>
                <w:szCs w:val="14"/>
                <w:color w:val="auto"/>
              </w:rPr>
              <w:t>Federal</w:t>
            </w:r>
          </w:p>
        </w:tc>
        <w:tc>
          <w:tcPr>
            <w:tcW w:w="104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b w:val="1"/>
                <w:bCs w:val="1"/>
                <w:color w:val="auto"/>
              </w:rPr>
              <w:t>288</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4</w:t>
            </w:r>
          </w:p>
        </w:tc>
      </w:tr>
      <w:tr>
        <w:trPr>
          <w:trHeight w:val="276"/>
        </w:trPr>
        <w:tc>
          <w:tcPr>
            <w:tcW w:w="76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State and local</w:t>
            </w: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7600" w:type="dxa"/>
            <w:vAlign w:val="bottom"/>
          </w:tcPr>
          <w:p>
            <w:pPr>
              <w:ind w:left="260"/>
              <w:spacing w:after="0"/>
              <w:rPr>
                <w:sz w:val="20"/>
                <w:szCs w:val="20"/>
                <w:color w:val="auto"/>
              </w:rPr>
            </w:pPr>
            <w:r>
              <w:rPr>
                <w:rFonts w:ascii="Arial" w:cs="Arial" w:eastAsia="Arial" w:hAnsi="Arial"/>
                <w:sz w:val="14"/>
                <w:szCs w:val="14"/>
                <w:color w:val="auto"/>
              </w:rPr>
              <w:t>Foreign</w:t>
            </w:r>
          </w:p>
        </w:tc>
        <w:tc>
          <w:tcPr>
            <w:tcW w:w="104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22"/>
                <w:szCs w:val="22"/>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13</w:t>
            </w:r>
          </w:p>
        </w:tc>
      </w:tr>
      <w:tr>
        <w:trPr>
          <w:trHeight w:val="250"/>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provision</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330</w:t>
            </w: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r>
      <w:tr>
        <w:trPr>
          <w:trHeight w:val="324"/>
        </w:trPr>
        <w:tc>
          <w:tcPr>
            <w:tcW w:w="7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provision for income taxes</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212</w:t>
            </w:r>
          </w:p>
        </w:tc>
      </w:tr>
      <w:tr>
        <w:trPr>
          <w:trHeight w:val="20"/>
        </w:trPr>
        <w:tc>
          <w:tcPr>
            <w:tcW w:w="7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is taxed as a flow-through entity for U.S. income tax purposes and its taxable income or loss generated is the responsibility of its owners. Taxable income or loss generated by the Company’s corporate subsidiaries is subject to U.S. federal, state and foreign corporate income tax in locations where they conduct business.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effective tax rate differs from the U.S. federal tax rate of 21% primarily due to a significant portion of its income not being subject to U.S.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corporate tax rates, or being deemed to be foreign sourced and thus either not taxable or taxable at effectively lower tax rates.</w:t>
      </w:r>
    </w:p>
    <w:p>
      <w:pPr>
        <w:spacing w:after="0" w:line="167"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As of and for the three month period ended March 31, 2018, the Company had not established a liability for uncertain tax positions as no such positions existed. In general, the Company’s tax returns and the tax returns of its corporate subsidiaries are subject to U.S. federal, state, local and foreign income tax examinations by tax authorities. Generally, the Company is not subject to examination by taxing authorities for tax years prior to 2014. The Company does not believe that it is reasonably possible that the total amount of unrecognized tax benefits will significantly change within 12 months of the reporting date of March 31, 2018.</w:t>
      </w:r>
    </w:p>
    <w:p>
      <w:pPr>
        <w:spacing w:after="0" w:line="149"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On December 22, 2017, legislation referred to as the “Tax Cuts and Jobs Act” (the “TCJA”) was signed into law. The TCJA significantly revises the U.S. corporate income tax regime by, among other things, lowering corporate income tax rates. The Company has accounted for the effects of the TCJA for the year ended December 31, 2017 which relates to the remeasurement of deferred tax assets and liabilities due to the reduction in the corporate income tax rate. Due to the significant portion of the Company’s income that is not subject to entity level tax and the presence of a significant valuation allowance, the effects of the TCJA have had a minimal impact on the income tax provision for the year ended December 31, 2017.</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13. MANAGEMENT AGREEMENT AND AFFILIATE TRANSACTIONS</w:t>
      </w:r>
    </w:p>
    <w:p>
      <w:pPr>
        <w:spacing w:after="0" w:line="187"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 Additionally, the Company has entered into certain incentive allocation arrangements with Master GP, which owns 0.05% of the Partnership and is the general partner of the Partnership.</w:t>
      </w:r>
    </w:p>
    <w:p>
      <w:pPr>
        <w:spacing w:after="0" w:line="149"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management fees for the three months ended March 31, 2018 and 2017 were $3,739 and $3,893, respectively.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46"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the Company’s pro rata share of</w:t>
      </w:r>
    </w:p>
    <w:p>
      <w:pPr>
        <w:spacing w:after="0" w:line="1" w:lineRule="exact"/>
        <w:rPr>
          <w:sz w:val="20"/>
          <w:szCs w:val="20"/>
          <w:color w:val="auto"/>
        </w:rPr>
      </w:pPr>
    </w:p>
    <w:p>
      <w:pPr>
        <w:jc w:val="both"/>
        <w:ind w:left="340" w:hanging="8"/>
        <w:spacing w:after="0" w:line="253" w:lineRule="auto"/>
        <w:tabs>
          <w:tab w:leader="none" w:pos="61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realized or unrealized gains and losses, and (2) certain non-cash or one-time items, and (3) any other adjustments as may be approved by the Company’s independent directors. Pre-incentive allocation net income does not include any Income Incentive Allocation or Capital Gains Incentive Allocation (described below) paid to the Master GP during the relevant quarter.</w:t>
      </w:r>
    </w:p>
    <w:p>
      <w:pPr>
        <w:spacing w:after="0" w:line="147" w:lineRule="exact"/>
        <w:rPr>
          <w:sz w:val="20"/>
          <w:szCs w:val="20"/>
          <w:color w:val="auto"/>
        </w:rPr>
      </w:pPr>
    </w:p>
    <w:p>
      <w:pPr>
        <w:jc w:val="both"/>
        <w:ind w:left="340"/>
        <w:spacing w:after="0" w:line="246" w:lineRule="auto"/>
        <w:rPr>
          <w:sz w:val="20"/>
          <w:szCs w:val="20"/>
          <w:color w:val="auto"/>
        </w:rPr>
      </w:pPr>
      <w:r>
        <w:rPr>
          <w:rFonts w:ascii="Arial" w:cs="Arial" w:eastAsia="Arial" w:hAnsi="Arial"/>
          <w:sz w:val="16"/>
          <w:szCs w:val="16"/>
          <w:color w:val="auto"/>
        </w:rPr>
        <w:t>A subsidiary of the Company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the Company’s net equity capital (excluding non-controlling interests) at the end of the two most recently completed calendar quarters, does not exceed 2% for such quarter (8% annualized); (2) 100% of pre -incentive allocation net income with respect to that portion of such pre-incentive allocation net income, if any, that is equal to or exceeds 2% but does not exceed 2.2223% for such quarter; and</w:t>
      </w:r>
    </w:p>
    <w:p>
      <w:pPr>
        <w:spacing w:after="0" w:line="2" w:lineRule="exact"/>
        <w:rPr>
          <w:sz w:val="20"/>
          <w:szCs w:val="20"/>
          <w:color w:val="auto"/>
        </w:rPr>
      </w:pPr>
    </w:p>
    <w:p>
      <w:pPr>
        <w:ind w:left="340" w:hanging="8"/>
        <w:spacing w:after="0" w:line="260" w:lineRule="auto"/>
        <w:tabs>
          <w:tab w:leader="none" w:pos="5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10% of the amount of pre-incentive allocation net income, if any, that exceeds 2.2223% for such quarter. These calculations will be prorated for any period of less than three months. No Income Incentive Allocation was due to the Master GP for the three months ended March 31, 2018 and 2017.</w:t>
      </w:r>
    </w:p>
    <w:p>
      <w:pPr>
        <w:spacing w:after="0" w:line="142"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the Company’s pro rata share of cumulative realized gains from the date of the IPO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the Master GP. No Capital Gains Incentive Allocation was due to the Master GP for the three months ended March 31, 2018 and 2017.</w:t>
      </w:r>
    </w:p>
    <w:p>
      <w:pPr>
        <w:spacing w:after="0" w:line="149"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Company will pay all of its operating expenses, except those specifically required to be borne by the Manager under the Management Agreement. The expenses required to be paid by the Company include, but are not limited to, issuance and transaction costs incident to the acquisition, disposition and financing of the company’s assets, legal and auditing fees and expenses, the compensation and expenses of the Company’s independent directors, the costs associated with the establishment and maintenance of any credit facilities and other indebtedness of the Company (including commitment fees, legal fees, closing costs, etc.), expenses associated with other securities offerings of the Company, costs and expenses incurred in contracting with third parties (including affiliates of the Manager), the costs of printing and mailing proxies and reports to the Company’s shareholders, costs incurred by the Manager or its affiliates for travel on the Company’s behalf, costs associated with any computer software or hardware that is used for the Company, costs to obtain liability insurance to indemnify the Company’s directors and officers and the compensation and expenses of the Company’s transfer agent.</w:t>
      </w:r>
    </w:p>
    <w:p>
      <w:pPr>
        <w:spacing w:after="0" w:line="154"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Company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the Company will not reimburse the Manager for these expenses. During the three months ended March 31, 2018 and 2017, expense reimbursement of $2,181 and $2,204 was recorded in general and administrative expenses, respectively, and $1,604 and $1,150 was recorded in acquisition and transaction expenses, respectively, in the Consolidated Statements of Operations.</w:t>
      </w:r>
    </w:p>
    <w:p>
      <w:pPr>
        <w:spacing w:after="0" w:line="155"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If the Company terminates the Management Agreement, it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the Company’s assets were sold for cash at their then current fair market value (as determined by an appraisal, taking into account, among other things, the expected future value of the underlying investments).</w:t>
      </w:r>
    </w:p>
    <w:p>
      <w:pPr>
        <w:spacing w:after="0" w:line="151"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Upon the successful completion of a post-IPO offering of the Company’s common shares or other equity securities (including securities issued as consideration in an acquisition), the Company will grant the Manager options to purchase common shares in an amount equal to 10% of the number of common shares being sold in the offering (or if the issuance relates to equity securities other than the Company’s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 The Manager was granted 700,000 options as part of the equity offering in the first quarter of 2018 as discussed in Note 15.</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As of March 31, 2018 and December 31, 2017, no amounts were recorded as a receivable from the Manager. As of March 31, 2018 and December 31, 2017, amounts due to the Manager or its affiliates of $1,155 and $2,073, respectively, excluding accrued management fees, are included within accounts payable and accrued liabilities on the Consolidated Balance Sheets. As of March 31, 2018 and December 31, 2017, amounts due to the Manager or its affiliates of $1,360 and $1,228, respectively, related to accrued management fees, are included within accounts payable and accrued liabilities on the Consolidated Balance Sheets.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Other Affiliate Transactions</w:t>
      </w:r>
    </w:p>
    <w:p>
      <w:pPr>
        <w:spacing w:after="0" w:line="183"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As of March 31, 2018 and December 31, 2017 an affiliate of the Company’s Manager owns an approximately 20% interest in Jefferson Terminal which has been accounted for as a component of non-controlling interest in consolidated subsidiaries in the accompanying consolidated financial statements. The carrying amount of this non-controlling interest at March 31, 2018 and December 31, 2017 was $59,811 and $66,242, respectively. For the three months ended March 31, 2018 and 2017, the amount of this non-controlling interest share of net loss was $4,764 and $2,558, respectively.</w:t>
      </w:r>
    </w:p>
    <w:p>
      <w:pPr>
        <w:spacing w:after="0" w:line="149"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In connection with the Capital Call Agreement related to the Series 2016 Bonds discussed in Note 8, the Company and an affiliate of its Manager entered into a Fee and Support Agreement. The Fee and Support Agreement provides that the affiliate of the Manager is compensated for its guarantee of a portion of the obligations under the Standby Bond Purchase Agreement. This affiliate of the Manager received fees of $1,740, which are amortized as interest expense to the earlier of the redemption date or February 13, 2020.</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14. SEGMENT INFORMATION</w:t>
      </w:r>
    </w:p>
    <w:p>
      <w:pPr>
        <w:spacing w:after="0" w:line="133"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Company’s reportable segments represent strategic business units comprised of investments in different types of transportation and infrastructure assets. The Company has six reportable segments which operate in the Equipment Leasing and Infrastructure businesses across several market sectors. The Company’s reportable segments are (i) Aviation Leasing, (ii) Offshore Energy, (iii) Shipping Containers, (iv) Jefferson Terminal, (v) Railroad, and (vi) Ports and Terminals.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consists of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 Ports and Terminals consists of Repauno, which is a 1,630 acre deep-water port located along the Delaware river with an underground storage cavern and multiple industrial development opportunities, and Long Ridge, which is a 1,660 acre multi-modal port located along the Ohio River with rail, dock, and multiple industrial development opportunities.</w:t>
      </w:r>
    </w:p>
    <w:p>
      <w:pPr>
        <w:spacing w:after="0" w:line="98"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includes the impact of intercompany eliminations. The Company evaluates investment performance for each reportable segment primarily based on net income attributable to shareholders and Adjusted Net Income.</w:t>
      </w:r>
    </w:p>
    <w:p>
      <w:pPr>
        <w:spacing w:after="0" w:line="95"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95"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believes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set forth certain information for each reportable segment of the Company: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 For the Three Months Ended March 31, 2018</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Three Months Ended March 31, 2018</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7"/>
                <w:szCs w:val="17"/>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52,735</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3,024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55,784</w:t>
            </w: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11,047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13,060</w:t>
            </w: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52,735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11,047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760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68,844</w:t>
            </w:r>
          </w:p>
        </w:tc>
        <w:tc>
          <w:tcPr>
            <w:tcW w:w="0" w:type="dxa"/>
            <w:vAlign w:val="bottom"/>
          </w:tcPr>
          <w:p>
            <w:pPr>
              <w:spacing w:after="0"/>
              <w:rPr>
                <w:sz w:val="1"/>
                <w:szCs w:val="1"/>
                <w:color w:val="auto"/>
              </w:rPr>
            </w:pPr>
          </w:p>
        </w:tc>
      </w:tr>
      <w:tr>
        <w:trPr>
          <w:trHeight w:val="324"/>
        </w:trPr>
        <w:tc>
          <w:tcPr>
            <w:tcW w:w="21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7,438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27,579</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3,586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3,586</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1,766</w:t>
            </w: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6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3,739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3,739</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21,813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29,587</w:t>
            </w:r>
          </w:p>
        </w:tc>
        <w:tc>
          <w:tcPr>
            <w:tcW w:w="0" w:type="dxa"/>
            <w:vAlign w:val="bottom"/>
          </w:tcPr>
          <w:p>
            <w:pPr>
              <w:spacing w:after="0"/>
              <w:rPr>
                <w:sz w:val="1"/>
                <w:szCs w:val="1"/>
                <w:color w:val="auto"/>
              </w:rPr>
            </w:pP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873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6,853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11,871</w:t>
            </w:r>
          </w:p>
        </w:tc>
        <w:tc>
          <w:tcPr>
            <w:tcW w:w="0" w:type="dxa"/>
            <w:vAlign w:val="bottom"/>
          </w:tcPr>
          <w:p>
            <w:pPr>
              <w:spacing w:after="0"/>
              <w:rPr>
                <w:sz w:val="1"/>
                <w:szCs w:val="1"/>
                <w:color w:val="auto"/>
              </w:rPr>
            </w:pPr>
          </w:p>
        </w:tc>
      </w:tr>
      <w:tr>
        <w:trPr>
          <w:trHeight w:val="25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25,403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20,277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15,787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78,128</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Equity in (losses) earnings of</w:t>
            </w: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gain on sale of</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net</w:t>
            </w: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176</w:t>
            </w: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180</w:t>
            </w: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Arial" w:cs="Arial" w:eastAsia="Arial" w:hAnsi="Arial"/>
                <w:sz w:val="14"/>
                <w:szCs w:val="14"/>
                <w:color w:val="auto"/>
              </w:rPr>
              <w:t>Total other (expense) income</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446</w:t>
            </w:r>
          </w:p>
        </w:tc>
        <w:tc>
          <w:tcPr>
            <w:tcW w:w="0" w:type="dxa"/>
            <w:vAlign w:val="bottom"/>
          </w:tcPr>
          <w:p>
            <w:pPr>
              <w:spacing w:after="0"/>
              <w:rPr>
                <w:sz w:val="1"/>
                <w:szCs w:val="1"/>
                <w:color w:val="auto"/>
              </w:rPr>
            </w:pPr>
          </w:p>
        </w:tc>
      </w:tr>
      <w:tr>
        <w:trPr>
          <w:trHeight w:val="162"/>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w:t>
            </w: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27,161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(8,838)</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Provision for (benefit from)</w:t>
            </w:r>
          </w:p>
        </w:tc>
        <w:tc>
          <w:tcPr>
            <w:tcW w:w="16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495</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26,678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(18,607)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2,706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(15,787)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(9,333)</w:t>
            </w:r>
          </w:p>
        </w:tc>
        <w:tc>
          <w:tcPr>
            <w:tcW w:w="0" w:type="dxa"/>
            <w:vAlign w:val="bottom"/>
          </w:tcPr>
          <w:p>
            <w:pPr>
              <w:spacing w:after="0"/>
              <w:rPr>
                <w:sz w:val="1"/>
                <w:szCs w:val="1"/>
                <w:color w:val="auto"/>
              </w:rPr>
            </w:pPr>
          </w:p>
        </w:tc>
      </w:tr>
      <w:tr>
        <w:trPr>
          <w:trHeight w:val="174"/>
        </w:trPr>
        <w:tc>
          <w:tcPr>
            <w:tcW w:w="2140" w:type="dxa"/>
            <w:vAlign w:val="bottom"/>
          </w:tcPr>
          <w:p>
            <w:pPr>
              <w:ind w:left="20"/>
              <w:spacing w:after="0"/>
              <w:rPr>
                <w:sz w:val="20"/>
                <w:szCs w:val="20"/>
                <w:color w:val="auto"/>
              </w:rPr>
            </w:pPr>
            <w:r>
              <w:rPr>
                <w:rFonts w:ascii="Arial" w:cs="Arial" w:eastAsia="Arial" w:hAnsi="Arial"/>
                <w:sz w:val="14"/>
                <w:szCs w:val="14"/>
                <w:color w:val="auto"/>
              </w:rPr>
              <w:t>Less: Net (loss) income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attributable to non-controlling</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interests in consolidated</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(8,949)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(8,761)</w:t>
            </w:r>
          </w:p>
        </w:tc>
        <w:tc>
          <w:tcPr>
            <w:tcW w:w="0" w:type="dxa"/>
            <w:vAlign w:val="bottom"/>
          </w:tcPr>
          <w:p>
            <w:pPr>
              <w:spacing w:after="0"/>
              <w:rPr>
                <w:sz w:val="1"/>
                <w:szCs w:val="1"/>
                <w:color w:val="auto"/>
              </w:rPr>
            </w:pPr>
          </w:p>
        </w:tc>
      </w:tr>
      <w:tr>
        <w:trPr>
          <w:trHeight w:val="178"/>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26,702</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(1,819)</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(9,658)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2,500</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(2,707)</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(15,787)</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(572)</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 shareholders</w:t>
            </w:r>
          </w:p>
        </w:tc>
        <w:tc>
          <w:tcPr>
            <w:tcW w:w="1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240" w:top="12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020"/>
          </w:cols>
          <w:pgMar w:left="240" w:top="121" w:right="639" w:bottom="1440" w:gutter="0" w:footer="0" w:header="0"/>
          <w:type w:val="continuous"/>
        </w:sectPr>
      </w:pPr>
    </w:p>
    <w:bookmarkStart w:id="31" w:name="page32"/>
    <w:bookmarkEnd w:id="31"/>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March 31, 2018</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27,342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2,728</w:t>
            </w:r>
          </w:p>
        </w:tc>
        <w:tc>
          <w:tcPr>
            <w:tcW w:w="0" w:type="dxa"/>
            <w:vAlign w:val="bottom"/>
          </w:tcPr>
          <w:p>
            <w:pPr>
              <w:spacing w:after="0"/>
              <w:rPr>
                <w:sz w:val="1"/>
                <w:szCs w:val="1"/>
                <w:color w:val="auto"/>
              </w:rPr>
            </w:pPr>
          </w:p>
        </w:tc>
      </w:tr>
      <w:tr>
        <w:trPr>
          <w:trHeight w:val="174"/>
        </w:trPr>
        <w:tc>
          <w:tcPr>
            <w:tcW w:w="204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(198)</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earnings of</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Add: Cash payments for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Pro-rata share of</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Adjusted Net Income from</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investments in unconsolidated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non-hedge derivative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(624)</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modification or extinguishment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debt and capital lease</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Acquisition and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(1,766)</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transaction expenses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(208)</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Provision for income</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(495)</w:t>
            </w:r>
          </w:p>
        </w:tc>
        <w:tc>
          <w:tcPr>
            <w:tcW w:w="0" w:type="dxa"/>
            <w:vAlign w:val="bottom"/>
          </w:tcPr>
          <w:p>
            <w:pPr>
              <w:spacing w:after="0"/>
              <w:rPr>
                <w:sz w:val="1"/>
                <w:szCs w:val="1"/>
                <w:color w:val="auto"/>
              </w:rPr>
            </w:pPr>
          </w:p>
        </w:tc>
      </w:tr>
      <w:tr>
        <w:trPr>
          <w:trHeight w:val="178"/>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(572)</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Three Months Ended March 31, 2018</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75"/>
        </w:trPr>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1,385</w:t>
            </w: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1,385</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9,209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11,892</w:t>
            </w: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34,918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34,918</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7,133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20,559</w:t>
            </w:r>
          </w:p>
        </w:tc>
      </w:tr>
      <w:tr>
        <w:trPr>
          <w:trHeight w:val="264"/>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90</w:t>
            </w:r>
          </w:p>
        </w:tc>
      </w:tr>
      <w:tr>
        <w:trPr>
          <w:trHeight w:val="243"/>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52,735</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68,844</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020"/>
          </w:cols>
          <w:pgMar w:left="240" w:top="121" w:right="639" w:bottom="1440" w:gutter="0" w:footer="0" w:header="0"/>
        </w:sectPr>
      </w:pPr>
    </w:p>
    <w:bookmarkStart w:id="32" w:name="page33"/>
    <w:bookmarkEnd w:id="32"/>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II. For the Three Months Ended March 31, 2017</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Three Months Ended March 31, 2017</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75"/>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r>
      <w:tr>
        <w:trPr>
          <w:trHeight w:val="27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30,306</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31,388</w:t>
            </w: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8,403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13,285</w:t>
            </w: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30,306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4,866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44,673</w:t>
            </w:r>
          </w:p>
        </w:tc>
      </w:tr>
      <w:tr>
        <w:trPr>
          <w:trHeight w:val="324"/>
        </w:trPr>
        <w:tc>
          <w:tcPr>
            <w:tcW w:w="22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21,013</w:t>
            </w: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3,835</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1,452</w:t>
            </w: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3,893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3,893</w:t>
            </w: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17,377</w:t>
            </w:r>
          </w:p>
        </w:tc>
      </w:tr>
      <w:tr>
        <w:trPr>
          <w:trHeight w:val="26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4,694</w:t>
            </w:r>
          </w:p>
        </w:tc>
      </w:tr>
      <w:tr>
        <w:trPr>
          <w:trHeight w:val="25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52,264</w:t>
            </w:r>
          </w:p>
        </w:tc>
      </w:tr>
      <w:tr>
        <w:trPr>
          <w:trHeight w:val="324"/>
        </w:trPr>
        <w:tc>
          <w:tcPr>
            <w:tcW w:w="2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(1,266)</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finance leases, net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2,018</w:t>
            </w: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(2,456)</w:t>
            </w: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w:t>
            </w:r>
          </w:p>
        </w:tc>
      </w:tr>
      <w:tr>
        <w:trPr>
          <w:trHeight w:val="26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r>
      <w:tr>
        <w:trPr>
          <w:trHeight w:val="25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r>
      <w:tr>
        <w:trPr>
          <w:trHeight w:val="156"/>
        </w:trPr>
        <w:tc>
          <w:tcPr>
            <w:tcW w:w="22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Income (loss) before income</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r>
      <w:tr>
        <w:trPr>
          <w:trHeight w:val="196"/>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16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18,762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(9,000)</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(benefit from) for income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w:t>
            </w:r>
          </w:p>
        </w:tc>
      </w:tr>
      <w:tr>
        <w:trPr>
          <w:trHeight w:val="24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18,569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(5,016)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(8,030)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(1,159)</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(13,281)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(9,212)</w:t>
            </w:r>
          </w:p>
        </w:tc>
      </w:tr>
      <w:tr>
        <w:trPr>
          <w:trHeight w:val="18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income</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non-controlling</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(4,798)</w:t>
            </w:r>
          </w:p>
        </w:tc>
      </w:tr>
      <w:tr>
        <w:trPr>
          <w:trHeight w:val="156"/>
        </w:trPr>
        <w:tc>
          <w:tcPr>
            <w:tcW w:w="22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Net income (loss) attributable to</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r>
      <w:tr>
        <w:trPr>
          <w:trHeight w:val="189"/>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shareholders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18,651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(4,768)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(3,672)</w:t>
            </w:r>
          </w:p>
        </w:tc>
        <w:tc>
          <w:tcPr>
            <w:tcW w:w="12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(1,045)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(13,281)</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(4,414)</w:t>
            </w:r>
          </w:p>
        </w:tc>
      </w:tr>
      <w:tr>
        <w:trPr>
          <w:trHeight w:val="20"/>
        </w:trPr>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020"/>
          </w:cols>
          <w:pgMar w:left="240" w:top="121" w:right="639" w:bottom="1440" w:gutter="0" w:footer="0" w:header="0"/>
        </w:sectPr>
      </w:pPr>
    </w:p>
    <w:bookmarkStart w:id="33" w:name="page34"/>
    <w:bookmarkEnd w:id="33"/>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Loss to net loss attributable to shareholders: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Three Months Ended March 31, 2017</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19,059</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(4,766)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74"/>
        </w:trPr>
        <w:tc>
          <w:tcPr>
            <w:tcW w:w="232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194"/>
        </w:trPr>
        <w:tc>
          <w:tcPr>
            <w:tcW w:w="232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20" w:type="dxa"/>
            <w:vAlign w:val="bottom"/>
          </w:tcPr>
          <w:p>
            <w:pPr>
              <w:ind w:left="2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320" w:type="dxa"/>
            <w:vAlign w:val="bottom"/>
          </w:tcPr>
          <w:p>
            <w:pPr>
              <w:ind w:left="20"/>
              <w:spacing w:after="0"/>
              <w:rPr>
                <w:sz w:val="20"/>
                <w:szCs w:val="20"/>
                <w:color w:val="auto"/>
              </w:rPr>
            </w:pPr>
            <w:r>
              <w:rPr>
                <w:rFonts w:ascii="Arial" w:cs="Arial" w:eastAsia="Arial" w:hAnsi="Arial"/>
                <w:sz w:val="14"/>
                <w:szCs w:val="14"/>
                <w:color w:val="auto"/>
              </w:rPr>
              <w:t>Less: Pro-rata share of Adjusted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Net Income from investments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7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320" w:type="dxa"/>
            <w:vAlign w:val="bottom"/>
          </w:tcPr>
          <w:p>
            <w:pPr>
              <w:ind w:left="20"/>
              <w:spacing w:after="0"/>
              <w:rPr>
                <w:sz w:val="20"/>
                <w:szCs w:val="20"/>
                <w:color w:val="auto"/>
              </w:rPr>
            </w:pPr>
            <w:r>
              <w:rPr>
                <w:rFonts w:ascii="Arial" w:cs="Arial" w:eastAsia="Arial" w:hAnsi="Arial"/>
                <w:sz w:val="14"/>
                <w:szCs w:val="14"/>
                <w:color w:val="auto"/>
              </w:rPr>
              <w:t>Less: Changes in fair value of non-</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20" w:type="dxa"/>
            <w:vAlign w:val="bottom"/>
          </w:tcPr>
          <w:p>
            <w:pPr>
              <w:ind w:left="20"/>
              <w:spacing w:after="0"/>
              <w:rPr>
                <w:sz w:val="20"/>
                <w:szCs w:val="20"/>
                <w:color w:val="auto"/>
              </w:rPr>
            </w:pPr>
            <w:r>
              <w:rPr>
                <w:rFonts w:ascii="Arial" w:cs="Arial" w:eastAsia="Arial" w:hAnsi="Arial"/>
                <w:sz w:val="14"/>
                <w:szCs w:val="14"/>
                <w:color w:val="auto"/>
              </w:rPr>
              <w:t>hedge derivative instruments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 or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extinguishment of debt and capital</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94"/>
        </w:trPr>
        <w:tc>
          <w:tcPr>
            <w:tcW w:w="232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64"/>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(4,414)</w:t>
            </w:r>
          </w:p>
        </w:tc>
        <w:tc>
          <w:tcPr>
            <w:tcW w:w="0" w:type="dxa"/>
            <w:vAlign w:val="bottom"/>
          </w:tcPr>
          <w:p>
            <w:pPr>
              <w:spacing w:after="0"/>
              <w:rPr>
                <w:sz w:val="1"/>
                <w:szCs w:val="1"/>
                <w:color w:val="auto"/>
              </w:rPr>
            </w:pPr>
          </w:p>
        </w:tc>
      </w:tr>
      <w:tr>
        <w:trPr>
          <w:trHeight w:val="171"/>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8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Three Months Ended March 31, 2017</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18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75"/>
        </w:trPr>
        <w:tc>
          <w:tcPr>
            <w:tcW w:w="1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Shipping</w:t>
            </w:r>
          </w:p>
        </w:tc>
        <w:tc>
          <w:tcPr>
            <w:tcW w:w="2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6"/>
        </w:trPr>
        <w:tc>
          <w:tcPr>
            <w:tcW w:w="18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Railroad</w:t>
            </w:r>
          </w:p>
        </w:tc>
        <w:tc>
          <w:tcPr>
            <w:tcW w:w="18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270"/>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r>
      <w:tr>
        <w:trPr>
          <w:trHeight w:val="264"/>
        </w:trPr>
        <w:tc>
          <w:tcPr>
            <w:tcW w:w="1880" w:type="dxa"/>
            <w:vAlign w:val="bottom"/>
          </w:tcPr>
          <w:p>
            <w:pPr>
              <w:ind w:left="20"/>
              <w:spacing w:after="0"/>
              <w:rPr>
                <w:sz w:val="20"/>
                <w:szCs w:val="20"/>
                <w:color w:val="auto"/>
              </w:rPr>
            </w:pPr>
            <w:r>
              <w:rPr>
                <w:rFonts w:ascii="Arial" w:cs="Arial" w:eastAsia="Arial" w:hAnsi="Arial"/>
                <w:sz w:val="14"/>
                <w:szCs w:val="14"/>
                <w:color w:val="auto"/>
              </w:rPr>
              <w:t>Africa</w:t>
            </w:r>
          </w:p>
        </w:tc>
        <w:tc>
          <w:tcPr>
            <w:tcW w:w="40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2,367</w:t>
            </w:r>
          </w:p>
        </w:tc>
        <w:tc>
          <w:tcPr>
            <w:tcW w:w="56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2,367</w:t>
            </w:r>
          </w:p>
        </w:tc>
      </w:tr>
      <w:tr>
        <w:trPr>
          <w:trHeight w:val="276"/>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14,769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15,465</w:t>
            </w:r>
          </w:p>
        </w:tc>
      </w:tr>
      <w:tr>
        <w:trPr>
          <w:trHeight w:val="264"/>
        </w:trPr>
        <w:tc>
          <w:tcPr>
            <w:tcW w:w="1880" w:type="dxa"/>
            <w:vAlign w:val="bottom"/>
          </w:tcPr>
          <w:p>
            <w:pPr>
              <w:ind w:left="20"/>
              <w:spacing w:after="0"/>
              <w:rPr>
                <w:sz w:val="20"/>
                <w:szCs w:val="20"/>
                <w:color w:val="auto"/>
              </w:rPr>
            </w:pPr>
            <w:r>
              <w:rPr>
                <w:rFonts w:ascii="Arial" w:cs="Arial" w:eastAsia="Arial" w:hAnsi="Arial"/>
                <w:sz w:val="14"/>
                <w:szCs w:val="14"/>
                <w:color w:val="auto"/>
              </w:rPr>
              <w:t>Europe</w:t>
            </w:r>
          </w:p>
        </w:tc>
        <w:tc>
          <w:tcPr>
            <w:tcW w:w="4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11,470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11,470</w:t>
            </w:r>
          </w:p>
        </w:tc>
      </w:tr>
      <w:tr>
        <w:trPr>
          <w:trHeight w:val="276"/>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386</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15,076</w:t>
            </w:r>
          </w:p>
        </w:tc>
      </w:tr>
      <w:tr>
        <w:trPr>
          <w:trHeight w:val="264"/>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w:t>
            </w:r>
          </w:p>
        </w:tc>
      </w:tr>
      <w:tr>
        <w:trPr>
          <w:trHeight w:val="243"/>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30,306</w:t>
            </w:r>
          </w:p>
        </w:tc>
        <w:tc>
          <w:tcPr>
            <w:tcW w:w="5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44,673</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87" w:lineRule="exact"/>
        <w:rPr>
          <w:sz w:val="20"/>
          <w:szCs w:val="20"/>
          <w:color w:val="auto"/>
        </w:rPr>
      </w:pPr>
    </w:p>
    <w:p>
      <w:pPr>
        <w:ind w:left="340" w:right="840"/>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 as of March 31, 2018 and December 31, 2017:</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March 31, 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8"/>
          </w:tcPr>
          <w:p>
            <w:pPr>
              <w:jc w:val="center"/>
              <w:ind w:left="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Infrastructure</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Offshore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Energy</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1,002,582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194,420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577,547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53,126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146,594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68,933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2,047,826</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52,084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198,869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17,150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442,535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710,638</w:t>
            </w:r>
          </w:p>
        </w:tc>
        <w:tc>
          <w:tcPr>
            <w:tcW w:w="0" w:type="dxa"/>
            <w:vAlign w:val="bottom"/>
          </w:tcPr>
          <w:p>
            <w:pPr>
              <w:spacing w:after="0"/>
              <w:rPr>
                <w:sz w:val="1"/>
                <w:szCs w:val="1"/>
                <w:color w:val="auto"/>
              </w:rPr>
            </w:pPr>
          </w:p>
        </w:tc>
      </w:tr>
      <w:tr>
        <w:trPr>
          <w:trHeight w:val="324"/>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148,500</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55,398</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216,892</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31,937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19,691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448,815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921,332</w:t>
            </w:r>
          </w:p>
        </w:tc>
        <w:tc>
          <w:tcPr>
            <w:tcW w:w="0" w:type="dxa"/>
            <w:vAlign w:val="bottom"/>
          </w:tcPr>
          <w:p>
            <w:pPr>
              <w:spacing w:after="0"/>
              <w:rPr>
                <w:sz w:val="1"/>
                <w:szCs w:val="1"/>
                <w:color w:val="auto"/>
              </w:rPr>
            </w:pPr>
          </w:p>
        </w:tc>
      </w:tr>
      <w:tr>
        <w:trPr>
          <w:trHeight w:val="324"/>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72,556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79,445</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consolidated subsidiaries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854,082</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139,022</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4,525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360,655</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21,189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126,903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(379,882)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1,126,494</w:t>
            </w:r>
          </w:p>
        </w:tc>
        <w:tc>
          <w:tcPr>
            <w:tcW w:w="0" w:type="dxa"/>
            <w:vAlign w:val="bottom"/>
          </w:tcPr>
          <w:p>
            <w:pPr>
              <w:spacing w:after="0"/>
              <w:rPr>
                <w:sz w:val="1"/>
                <w:szCs w:val="1"/>
                <w:color w:val="auto"/>
              </w:rPr>
            </w:pPr>
          </w:p>
        </w:tc>
      </w:tr>
      <w:tr>
        <w:trPr>
          <w:trHeight w:val="297"/>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1,002,582</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194,420</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577,547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53,126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146,594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68,933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2,047,826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March 31, 2018</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Energy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20" w:type="dxa"/>
            <w:vAlign w:val="bottom"/>
          </w:tcPr>
          <w:p>
            <w:pPr>
              <w:ind w:left="20"/>
              <w:spacing w:after="0"/>
              <w:rPr>
                <w:sz w:val="20"/>
                <w:szCs w:val="20"/>
                <w:color w:val="auto"/>
              </w:rPr>
            </w:pPr>
            <w:r>
              <w:rPr>
                <w:rFonts w:ascii="Arial" w:cs="Arial" w:eastAsia="Arial" w:hAnsi="Arial"/>
                <w:sz w:val="14"/>
                <w:szCs w:val="14"/>
                <w:color w:val="auto"/>
              </w:rPr>
              <w:t>Africa</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48,371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48,371</w:t>
            </w:r>
          </w:p>
        </w:tc>
        <w:tc>
          <w:tcPr>
            <w:tcW w:w="0" w:type="dxa"/>
            <w:vAlign w:val="bottom"/>
          </w:tcPr>
          <w:p>
            <w:pPr>
              <w:spacing w:after="0"/>
              <w:rPr>
                <w:sz w:val="1"/>
                <w:szCs w:val="1"/>
                <w:color w:val="auto"/>
              </w:rPr>
            </w:pPr>
          </w:p>
        </w:tc>
      </w:tr>
      <w:tr>
        <w:trPr>
          <w:trHeight w:val="276"/>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243,632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161,496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405,128</w:t>
            </w:r>
          </w:p>
        </w:tc>
        <w:tc>
          <w:tcPr>
            <w:tcW w:w="0" w:type="dxa"/>
            <w:vAlign w:val="bottom"/>
          </w:tcPr>
          <w:p>
            <w:pPr>
              <w:spacing w:after="0"/>
              <w:rPr>
                <w:sz w:val="1"/>
                <w:szCs w:val="1"/>
                <w:color w:val="auto"/>
              </w:rPr>
            </w:pPr>
          </w:p>
        </w:tc>
      </w:tr>
      <w:tr>
        <w:trPr>
          <w:trHeight w:val="264"/>
        </w:trPr>
        <w:tc>
          <w:tcPr>
            <w:tcW w:w="2220" w:type="dxa"/>
            <w:vAlign w:val="bottom"/>
          </w:tcPr>
          <w:p>
            <w:pPr>
              <w:ind w:left="20"/>
              <w:spacing w:after="0"/>
              <w:rPr>
                <w:sz w:val="20"/>
                <w:szCs w:val="20"/>
                <w:color w:val="auto"/>
              </w:rPr>
            </w:pPr>
            <w:r>
              <w:rPr>
                <w:rFonts w:ascii="Arial" w:cs="Arial" w:eastAsia="Arial" w:hAnsi="Arial"/>
                <w:sz w:val="14"/>
                <w:szCs w:val="14"/>
                <w:color w:val="auto"/>
              </w:rPr>
              <w:t>Europe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495,156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495,156</w:t>
            </w:r>
          </w:p>
        </w:tc>
        <w:tc>
          <w:tcPr>
            <w:tcW w:w="0" w:type="dxa"/>
            <w:vAlign w:val="bottom"/>
          </w:tcPr>
          <w:p>
            <w:pPr>
              <w:spacing w:after="0"/>
              <w:rPr>
                <w:sz w:val="1"/>
                <w:szCs w:val="1"/>
                <w:color w:val="auto"/>
              </w:rPr>
            </w:pPr>
          </w:p>
        </w:tc>
      </w:tr>
      <w:tr>
        <w:trPr>
          <w:trHeight w:val="276"/>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127,136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374,227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42,110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136,004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679,477</w:t>
            </w:r>
          </w:p>
        </w:tc>
        <w:tc>
          <w:tcPr>
            <w:tcW w:w="0" w:type="dxa"/>
            <w:vAlign w:val="bottom"/>
          </w:tcPr>
          <w:p>
            <w:pPr>
              <w:spacing w:after="0"/>
              <w:rPr>
                <w:sz w:val="1"/>
                <w:szCs w:val="1"/>
                <w:color w:val="auto"/>
              </w:rPr>
            </w:pPr>
          </w:p>
        </w:tc>
      </w:tr>
      <w:tr>
        <w:trPr>
          <w:trHeight w:val="264"/>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12,413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12,413</w:t>
            </w: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926,708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161,496</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374,227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42,110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136,004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1,640,545</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ind w:right="376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Leasing</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Containers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Terminals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952,543</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579,329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123,693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184,942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442,219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703,264</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145,882</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56,853</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210,159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36,560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14,229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456,948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920,731</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81,414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88,007</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consolidated subsidiaries</w:t>
            </w: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806,661</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138,248</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4,329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369,170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15,429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109,464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(408,226)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1,035,075</w:t>
            </w:r>
          </w:p>
        </w:tc>
        <w:tc>
          <w:tcPr>
            <w:tcW w:w="0" w:type="dxa"/>
            <w:vAlign w:val="bottom"/>
          </w:tcPr>
          <w:p>
            <w:pPr>
              <w:spacing w:after="0"/>
              <w:rPr>
                <w:sz w:val="1"/>
                <w:szCs w:val="1"/>
                <w:color w:val="auto"/>
              </w:rPr>
            </w:pPr>
          </w:p>
        </w:tc>
      </w:tr>
      <w:tr>
        <w:trPr>
          <w:trHeight w:val="297"/>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952,543</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195,101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579,329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51,989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123,693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Terminals</w:t>
            </w: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2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36,648</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36,648</w:t>
            </w:r>
          </w:p>
        </w:tc>
        <w:tc>
          <w:tcPr>
            <w:tcW w:w="0" w:type="dxa"/>
            <w:vAlign w:val="bottom"/>
          </w:tcPr>
          <w:p>
            <w:pPr>
              <w:spacing w:after="0"/>
              <w:rPr>
                <w:sz w:val="1"/>
                <w:szCs w:val="1"/>
                <w:color w:val="auto"/>
              </w:rPr>
            </w:pPr>
          </w:p>
        </w:tc>
      </w:tr>
      <w:tr>
        <w:trPr>
          <w:trHeight w:val="27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163,072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373,224</w:t>
            </w:r>
          </w:p>
        </w:tc>
        <w:tc>
          <w:tcPr>
            <w:tcW w:w="0" w:type="dxa"/>
            <w:vAlign w:val="bottom"/>
          </w:tcPr>
          <w:p>
            <w:pPr>
              <w:spacing w:after="0"/>
              <w:rPr>
                <w:sz w:val="1"/>
                <w:szCs w:val="1"/>
                <w:color w:val="auto"/>
              </w:rPr>
            </w:pPr>
          </w:p>
        </w:tc>
      </w:tr>
      <w:tr>
        <w:trPr>
          <w:trHeight w:val="264"/>
        </w:trPr>
        <w:tc>
          <w:tcPr>
            <w:tcW w:w="232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527,166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527,166</w:t>
            </w:r>
          </w:p>
        </w:tc>
        <w:tc>
          <w:tcPr>
            <w:tcW w:w="0" w:type="dxa"/>
            <w:vAlign w:val="bottom"/>
          </w:tcPr>
          <w:p>
            <w:pPr>
              <w:spacing w:after="0"/>
              <w:rPr>
                <w:sz w:val="1"/>
                <w:szCs w:val="1"/>
                <w:color w:val="auto"/>
              </w:rPr>
            </w:pPr>
          </w:p>
        </w:tc>
      </w:tr>
      <w:tr>
        <w:trPr>
          <w:trHeight w:val="27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371,687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118,317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627,041</w:t>
            </w:r>
          </w:p>
        </w:tc>
        <w:tc>
          <w:tcPr>
            <w:tcW w:w="0" w:type="dxa"/>
            <w:vAlign w:val="bottom"/>
          </w:tcPr>
          <w:p>
            <w:pPr>
              <w:spacing w:after="0"/>
              <w:rPr>
                <w:sz w:val="1"/>
                <w:szCs w:val="1"/>
                <w:color w:val="auto"/>
              </w:rPr>
            </w:pPr>
          </w:p>
        </w:tc>
      </w:tr>
      <w:tr>
        <w:trPr>
          <w:trHeight w:val="264"/>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870,491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163,072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371,687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118,317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1,564,079</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60"/>
          </w:cols>
          <w:pgMar w:left="240" w:top="121" w:right="299" w:bottom="1440" w:gutter="0" w:footer="0" w:header="0"/>
        </w:sectPr>
      </w:pPr>
    </w:p>
    <w:bookmarkStart w:id="36" w:name="page37"/>
    <w:bookmarkEnd w:id="36"/>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15. EARNINGS PER SHARE AND EQUITY</w:t>
      </w:r>
    </w:p>
    <w:p>
      <w:pPr>
        <w:spacing w:after="0" w:line="18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Basic earnings (loss) per share (“EPS”) is calculated by dividing net income (loss) attributable to shareholders by the weighted average number of common shares outstanding. Diluted EPS is calculated by dividing net income (loss) attributable to shareholders by the weighted average number of common shares outstanding, plus potentially dilutive securities. Potentially dilutive securities are calculated using the treasury stock method.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78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shareholders</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(4,414)</w:t>
            </w:r>
          </w:p>
        </w:tc>
      </w:tr>
      <w:tr>
        <w:trPr>
          <w:trHeight w:val="264"/>
        </w:trPr>
        <w:tc>
          <w:tcPr>
            <w:tcW w:w="7860" w:type="dxa"/>
            <w:vAlign w:val="bottom"/>
          </w:tcPr>
          <w:p>
            <w:pPr>
              <w:ind w:left="20"/>
              <w:spacing w:after="0"/>
              <w:rPr>
                <w:sz w:val="20"/>
                <w:szCs w:val="20"/>
                <w:color w:val="auto"/>
              </w:rPr>
            </w:pPr>
            <w:r>
              <w:rPr>
                <w:rFonts w:ascii="Arial" w:cs="Arial" w:eastAsia="Arial" w:hAnsi="Arial"/>
                <w:sz w:val="14"/>
                <w:szCs w:val="14"/>
                <w:color w:val="auto"/>
              </w:rPr>
              <w:t>Weighted Average Shares Outstanding - Basic</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81,534,454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75,762,283</w:t>
            </w:r>
          </w:p>
        </w:tc>
      </w:tr>
      <w:tr>
        <w:trPr>
          <w:trHeight w:val="27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 Diluted</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81,534,454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75,762,283</w:t>
            </w:r>
          </w:p>
        </w:tc>
      </w:tr>
      <w:tr>
        <w:trPr>
          <w:trHeight w:val="324"/>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and Diluted EPS</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r>
    </w:tbl>
    <w:p>
      <w:pPr>
        <w:spacing w:after="0" w:line="164"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For the three months ended March 31, 2018 and 2017, 47,189 and 2,149 shares, respectively, have been excluded from the calculation of Diluted EPS because the impact would be anti-dilutive.</w:t>
      </w:r>
    </w:p>
    <w:p>
      <w:pPr>
        <w:spacing w:after="0" w:line="142"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During the three months ended March 31, 2018, the Company issued 7,000,000 common shares, par value $0.01 per share, representing limited liability interest in the Company, in connection with a public offering, at a price of $18.65 per share. The offering closed on January 16, 2018. Net proceeds received by the Company from the offering were $128,450 after deducting underwriting discounts and commissions and estimated offering expenses payable by the Company. To compensate the Manager for its successful efforts in raising capital for the Company, in connection with the offering, the Company granted options to the Manager related to 700,000 common shares at the public offering price which had a fair value of approximately $1,900 as of the grant date. The assumptions used in valuing the options were: a 2.52% risk-free rate, a 5.45% dividend yield, a 27.73% volatility and a ten-year term. The Company intends to use the net proceeds from the offering for general corporate purposes, including the funding of future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16. COMMITMENTS AND CONTINGENCIES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segment, a lessee did not fulfill their obligation under their charter arrangement, therefore the Company is pursuing rights afforded to the Company under the charter and the range of potential losses against the obligation is $0 to $3,334. The Company’s maximum exposure under other arrangements is unknown as no additional claims have been made. The Company believes the risk of loss in connection with such arrangements is remote.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has also entered into an arrangement with its non-controlling interest holder of Repauno, whereby the non-controlling interest holder may receive additional payments contingent upon the achievement of certain conditions, not to exceed $15,000. The Company will account for such amounts when and if such conditions are achieved.</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has entered into an arrangement with the seller of Long Ridge, whereby the seller may receive additional payments contingent upon the achievement of certain conditions, not to exceed $5,000. The Company will account for such amounts when and if such conditions are achieved.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Several of the Company’s subsidiaries are lessees under various operating and capital leases. Total rent expense for operating leases was as follows:</w:t>
      </w:r>
    </w:p>
    <w:p>
      <w:pPr>
        <w:spacing w:after="0" w:line="220"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26035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9100"/>
        <w:spacing w:after="0"/>
        <w:tabs>
          <w:tab w:leader="none" w:pos="105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20"/>
        <w:spacing w:after="0"/>
        <w:tabs>
          <w:tab w:leader="none" w:pos="8580" w:val="left"/>
          <w:tab w:leader="none" w:pos="9460" w:val="left"/>
          <w:tab w:leader="none" w:pos="10080" w:val="left"/>
          <w:tab w:leader="none" w:pos="10940" w:val="left"/>
        </w:tabs>
        <w:rPr>
          <w:sz w:val="20"/>
          <w:szCs w:val="20"/>
          <w:color w:val="auto"/>
        </w:rPr>
      </w:pPr>
      <w:r>
        <w:rPr>
          <w:rFonts w:ascii="Arial" w:cs="Arial" w:eastAsia="Arial" w:hAnsi="Arial"/>
          <w:sz w:val="14"/>
          <w:szCs w:val="14"/>
          <w:color w:val="auto"/>
        </w:rPr>
        <w:t>Rent expense</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1,157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1,241</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 xml:space="preserve">NOTES TO CONSOLIDATED FINANCIAL STATEMENTS </w:t>
      </w:r>
      <w:r>
        <w:rPr>
          <w:rFonts w:ascii="Arial" w:cs="Arial" w:eastAsia="Arial" w:hAnsi="Arial"/>
          <w:sz w:val="22"/>
          <w:szCs w:val="22"/>
          <w:b w:val="1"/>
          <w:bCs w:val="1"/>
          <w:i w:val="1"/>
          <w:iCs w:val="1"/>
          <w:color w:val="00497F"/>
        </w:rPr>
        <w:t>(unaudited)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2018, minimum future rental payments under operating and capital leases are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820" w:type="dxa"/>
            <w:vAlign w:val="bottom"/>
          </w:tcPr>
          <w:p>
            <w:pPr>
              <w:ind w:left="40"/>
              <w:spacing w:after="0"/>
              <w:rPr>
                <w:sz w:val="20"/>
                <w:szCs w:val="20"/>
                <w:color w:val="auto"/>
              </w:rPr>
            </w:pPr>
            <w:r>
              <w:rPr>
                <w:rFonts w:ascii="Arial" w:cs="Arial" w:eastAsia="Arial" w:hAnsi="Arial"/>
                <w:sz w:val="14"/>
                <w:szCs w:val="14"/>
                <w:color w:val="auto"/>
              </w:rPr>
              <w:t>2018</w:t>
            </w:r>
          </w:p>
        </w:tc>
        <w:tc>
          <w:tcPr>
            <w:tcW w:w="5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3,991</w:t>
            </w:r>
          </w:p>
        </w:tc>
      </w:tr>
      <w:tr>
        <w:trPr>
          <w:trHeight w:val="222"/>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5,079</w:t>
            </w:r>
          </w:p>
        </w:tc>
      </w:tr>
      <w:tr>
        <w:trPr>
          <w:trHeight w:val="210"/>
        </w:trPr>
        <w:tc>
          <w:tcPr>
            <w:tcW w:w="9820" w:type="dxa"/>
            <w:vAlign w:val="bottom"/>
          </w:tcPr>
          <w:p>
            <w:pPr>
              <w:ind w:left="40"/>
              <w:spacing w:after="0"/>
              <w:rPr>
                <w:sz w:val="20"/>
                <w:szCs w:val="20"/>
                <w:color w:val="auto"/>
              </w:rPr>
            </w:pPr>
            <w:r>
              <w:rPr>
                <w:rFonts w:ascii="Arial" w:cs="Arial" w:eastAsia="Arial" w:hAnsi="Arial"/>
                <w:sz w:val="14"/>
                <w:szCs w:val="14"/>
                <w:color w:val="auto"/>
              </w:rPr>
              <w:t>2020</w:t>
            </w:r>
          </w:p>
        </w:tc>
        <w:tc>
          <w:tcPr>
            <w:tcW w:w="5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4,039</w:t>
            </w:r>
          </w:p>
        </w:tc>
      </w:tr>
      <w:tr>
        <w:trPr>
          <w:trHeight w:val="222"/>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2,739</w:t>
            </w:r>
          </w:p>
        </w:tc>
      </w:tr>
      <w:tr>
        <w:trPr>
          <w:trHeight w:val="210"/>
        </w:trPr>
        <w:tc>
          <w:tcPr>
            <w:tcW w:w="9820" w:type="dxa"/>
            <w:vAlign w:val="bottom"/>
          </w:tcPr>
          <w:p>
            <w:pPr>
              <w:ind w:left="40"/>
              <w:spacing w:after="0"/>
              <w:rPr>
                <w:sz w:val="20"/>
                <w:szCs w:val="20"/>
                <w:color w:val="auto"/>
              </w:rPr>
            </w:pPr>
            <w:r>
              <w:rPr>
                <w:rFonts w:ascii="Arial" w:cs="Arial" w:eastAsia="Arial" w:hAnsi="Arial"/>
                <w:sz w:val="14"/>
                <w:szCs w:val="14"/>
                <w:color w:val="auto"/>
              </w:rPr>
              <w:t>2022</w:t>
            </w:r>
          </w:p>
        </w:tc>
        <w:tc>
          <w:tcPr>
            <w:tcW w:w="5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2,227</w:t>
            </w:r>
          </w:p>
        </w:tc>
      </w:tr>
      <w:tr>
        <w:trPr>
          <w:trHeight w:val="216"/>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Thereafter</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69,040</w:t>
            </w:r>
          </w:p>
        </w:tc>
      </w:tr>
      <w:tr>
        <w:trPr>
          <w:trHeight w:val="216"/>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87,115</w:t>
            </w:r>
          </w:p>
        </w:tc>
      </w:tr>
      <w:tr>
        <w:trPr>
          <w:trHeight w:val="20"/>
        </w:trPr>
        <w:tc>
          <w:tcPr>
            <w:tcW w:w="9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17. SUBSEQUENT EVENTS</w:t>
      </w:r>
    </w:p>
    <w:p>
      <w:pPr>
        <w:spacing w:after="0" w:line="187"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On April 12, 2018, the Company drew down on the Revolving Credit Facility for $25,000 which will bear interest at the 3-month LIBOR interest plus applicable margin per terms of the agreement.</w:t>
      </w:r>
    </w:p>
    <w:p>
      <w:pPr>
        <w:spacing w:after="0" w:line="142"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On May 3, 2018, the Company’s Board of Directors declared a cash dividend on its common shares of $0.33 per share for the quarter ended March 31, 2018, payable on May 29, 2018 to the holders of record on May 17, 2018.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unaudited consolidated financial statements and the accompanying notes, and with Part II, Item 1A, “Risk Factors” included elsewhere in this Quarterly Report on Form 10-Q.</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March 31, 2018, we had total consolidated assets of $2.0 billion and total equity of $1.1 billion.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34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our corporate operating segment and the following six reportable segments: (i) Aviation Leasing, (ii) Offshore Energy, (iii) Shipping Containers, all of which are within Equipment Leasing Business, and (iv) Jefferson Terminal, (v) Railroad and (vi) Ports and Terminals,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an investment in an unconsolidated entity engaged in the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The Ports and Terminals segment consists of Repauno, acquired in 2016, a 1,630 acre deep-water port located along the Delaware river with an underground storage cavern and multiple industrial development opportunities, and Long Ridge, acquired in June 2017, a 1,660 acre multi-modal port located along the Ohio River with rail, dock, and multiple industrial development opportunities.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Corporate operating segment primarily consists of unallocated corporate general and administrative expenses, and management fees.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27, 2017, SoftBank Group Corp. (“SoftBank”) announced that it completed its previously announced acquisition of Fortress (the “SoftBank Merger”). In connection with the Merger, Fortress operates within SoftBank as an independent business headquartered in New York.</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062"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00497F"/>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 (Non-GAAP)</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Chief Operating Decision Maker (“CODM”) utilizes Adjusted Net Income (Loss) as the key performance measure. This performance measure provides the CODM with the information necessary to assess operational performance, as well as make resource and allocation decisions.</w:t>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Adjusted Net Income (Loss) is defined as net income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w:t>
      </w:r>
    </w:p>
    <w:p>
      <w:pPr>
        <w:spacing w:after="0" w:line="1" w:lineRule="exact"/>
        <w:rPr>
          <w:sz w:val="20"/>
          <w:szCs w:val="20"/>
          <w:color w:val="auto"/>
        </w:rPr>
      </w:pPr>
    </w:p>
    <w:p>
      <w:pPr>
        <w:jc w:val="both"/>
        <w:ind w:firstLine="8"/>
        <w:spacing w:after="0" w:line="251" w:lineRule="auto"/>
        <w:tabs>
          <w:tab w:leader="none" w:pos="26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include the impact of cash income tax payments, and our pro-rata share of the Adjusted Net Income (Loss) from unconsolidated entities, and (c) to exclude the impact of the non-controlling share of Adjusted Net Income (Loss). We evaluate investment performance for each reportable segment primarily based on Adjusted Net Income (Loss). We believe that net income attributable to shareholders, as defined by GAAP, is the most comparable earnings measurement with which to reconcile Adjusted Net Income (Loss).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view Adjusted EBITDA as a secondary measurement to Adjusted Net Income (Loss), which we believe serves as a useful supplement to investors, analysts and management to measure economic performance of deployed revenue generating assets between periods on a consistent basis, and which we believe measures our financial performance and helps identify operational factors that management can impact in the short-term, namely our cost structure and expenses. Adjusted EBITDA may not be comparable to similarly titled measures of other companies because other entities may not calculate Adjusted EBITDA in the same manner.</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spacing w:after="0" w:line="1" w:lineRule="exact"/>
        <w:rPr>
          <w:sz w:val="20"/>
          <w:szCs w:val="20"/>
          <w:color w:val="auto"/>
        </w:rPr>
      </w:pPr>
    </w:p>
    <w:p>
      <w:pPr>
        <w:ind w:firstLine="8"/>
        <w:spacing w:after="0" w:line="260" w:lineRule="auto"/>
        <w:tabs>
          <w:tab w:leader="none" w:pos="27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include the impact of our pro-rata share of Adjusted EBITDA from unconsolidated entities, and (c) to exclude the impact of equity in earnings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743"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00497F"/>
        </w:rPr>
        <w:t>Comparison of the three months ended March 31, 2018 and March 31, 2017</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presents our consolidated results of operations and reconciliation of net loss attributable to shareholders to Adjusted Net Income (Loss) for the three months ended March 31, 2018 and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251"/>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Lease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31,557</w:t>
            </w:r>
          </w:p>
        </w:tc>
        <w:tc>
          <w:tcPr>
            <w:tcW w:w="12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18,246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13,311</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Maintenance revenue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23,427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10,758</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346</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55,784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31,388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24,396</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Pr>
          <w:p>
            <w:pPr>
              <w:ind w:left="80"/>
              <w:spacing w:after="0"/>
              <w:rPr>
                <w:sz w:val="20"/>
                <w:szCs w:val="20"/>
                <w:color w:val="auto"/>
              </w:rPr>
            </w:pPr>
            <w:r>
              <w:rPr>
                <w:rFonts w:ascii="Arial" w:cs="Arial" w:eastAsia="Arial" w:hAnsi="Arial"/>
                <w:sz w:val="14"/>
                <w:szCs w:val="14"/>
                <w:color w:val="auto"/>
              </w:rPr>
              <w:t>Lease income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366</w:t>
            </w:r>
          </w:p>
        </w:tc>
      </w:tr>
      <w:tr>
        <w:trPr>
          <w:trHeight w:val="276"/>
        </w:trPr>
        <w:tc>
          <w:tcPr>
            <w:tcW w:w="8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Rail revenues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11,047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8,403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2,644</w:t>
            </w:r>
          </w:p>
        </w:tc>
      </w:tr>
      <w:tr>
        <w:trPr>
          <w:trHeight w:val="264"/>
        </w:trPr>
        <w:tc>
          <w:tcPr>
            <w:tcW w:w="8240" w:type="dxa"/>
            <w:vAlign w:val="bottom"/>
          </w:tcPr>
          <w:p>
            <w:pPr>
              <w:ind w:left="80"/>
              <w:spacing w:after="0"/>
              <w:rPr>
                <w:sz w:val="20"/>
                <w:szCs w:val="20"/>
                <w:color w:val="auto"/>
              </w:rPr>
            </w:pPr>
            <w:r>
              <w:rPr>
                <w:rFonts w:ascii="Arial" w:cs="Arial" w:eastAsia="Arial" w:hAnsi="Arial"/>
                <w:sz w:val="14"/>
                <w:szCs w:val="14"/>
                <w:color w:val="auto"/>
              </w:rPr>
              <w:t>Terminal services revenues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1,253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4,866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(3,613)</w:t>
            </w:r>
          </w:p>
        </w:tc>
      </w:tr>
      <w:tr>
        <w:trPr>
          <w:trHeight w:val="270"/>
        </w:trPr>
        <w:tc>
          <w:tcPr>
            <w:tcW w:w="8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revenue</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13,060</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13,285</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68,844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44,673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24,171</w:t>
            </w:r>
          </w:p>
        </w:tc>
      </w:tr>
      <w:tr>
        <w:trPr>
          <w:trHeight w:val="297"/>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27,579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21,013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6,566</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3,586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1,766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314</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29,587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17,377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12,210</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11,871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7,177</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78,128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52,264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25,864</w:t>
            </w:r>
          </w:p>
        </w:tc>
      </w:tr>
      <w:tr>
        <w:trPr>
          <w:trHeight w:val="270"/>
        </w:trPr>
        <w:tc>
          <w:tcPr>
            <w:tcW w:w="8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(losses) of unconsolidated entities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1,361</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(Loss) gain on sale of equipment, net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(2,023)</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1,855</w:t>
            </w: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(8,838)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162</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(9,333)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(9,212)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(8,761)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(3,963)</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3,842</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27"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283</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1,766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314</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624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624</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318"/>
        </w:trPr>
        <w:tc>
          <w:tcPr>
            <w:tcW w:w="824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(Loss) from unconsolidated entities</w:t>
            </w:r>
            <w:r>
              <w:rPr>
                <w:rFonts w:ascii="Arial" w:cs="Arial" w:eastAsia="Arial" w:hAnsi="Arial"/>
                <w:sz w:val="17"/>
                <w:szCs w:val="17"/>
                <w:color w:val="auto"/>
                <w:vertAlign w:val="superscript"/>
              </w:rPr>
              <w:t>(1)</w:t>
            </w:r>
          </w:p>
        </w:tc>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1,361</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losses of unconsolidated entities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r>
      <w:tr>
        <w:trPr>
          <w:trHeight w:val="27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Net Income (Loss) </w:t>
            </w:r>
            <w:r>
              <w:rPr>
                <w:rFonts w:ascii="Arial" w:cs="Arial" w:eastAsia="Arial" w:hAnsi="Arial"/>
                <w:sz w:val="17"/>
                <w:szCs w:val="17"/>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w:t>
            </w: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2,728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2,977</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60" w:lineRule="exact"/>
        <w:rPr>
          <w:sz w:val="20"/>
          <w:szCs w:val="20"/>
          <w:color w:val="auto"/>
        </w:rPr>
      </w:pPr>
    </w:p>
    <w:p>
      <w:pPr>
        <w:ind w:left="500" w:hanging="492"/>
        <w:spacing w:after="0" w:line="225" w:lineRule="auto"/>
        <w:tabs>
          <w:tab w:leader="none" w:pos="149" w:val="left"/>
        </w:tabs>
        <w:numPr>
          <w:ilvl w:val="0"/>
          <w:numId w:val="14"/>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Income (Loss) from unconsolidated entities includes the Company’s proportionate share of the unconsolidated entities’ net income adjusted for the excluded and included items detailed in the table above.</w:t>
      </w:r>
    </w:p>
    <w:p>
      <w:pPr>
        <w:spacing w:after="0" w:line="179" w:lineRule="exact"/>
        <w:rPr>
          <w:rFonts w:ascii="Arial" w:cs="Arial" w:eastAsia="Arial" w:hAnsi="Arial"/>
          <w:sz w:val="17"/>
          <w:szCs w:val="17"/>
          <w:color w:val="auto"/>
          <w:vertAlign w:val="superscript"/>
        </w:rPr>
      </w:pPr>
    </w:p>
    <w:p>
      <w:pPr>
        <w:ind w:left="500" w:hanging="492"/>
        <w:spacing w:after="0" w:line="289" w:lineRule="auto"/>
        <w:tabs>
          <w:tab w:leader="none" w:pos="169"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Net Income (Loss) is comprised of the following for the three months ended March 31, 2018 and 2017: (i) equity-based compensation of $37 and $25, (ii) provision for income tax of $4 and $15, and (iii) changes in fair value of non-hedge derivative instruments of $(244) and $0, less (iv) cash tax payments of $(5) and $1,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three months ended March 31, 2018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2017:</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7"/>
        </w:trPr>
        <w:tc>
          <w:tcPr>
            <w:tcW w:w="8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3,842</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1,766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624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(3)</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36,814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17,508</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11,871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7,177</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(4)</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Equity in (earnings) losses of unconsolidated entities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(1,361)</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(5)</w:t>
            </w: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(3,165)</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48,121</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22,137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25,984</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500" w:right="20" w:hanging="492"/>
        <w:spacing w:after="0" w:line="225" w:lineRule="auto"/>
        <w:tabs>
          <w:tab w:leader="none" w:pos="149" w:val="left"/>
        </w:tabs>
        <w:numPr>
          <w:ilvl w:val="0"/>
          <w:numId w:val="15"/>
        </w:numPr>
        <w:rPr>
          <w:rFonts w:ascii="Arial" w:cs="Arial" w:eastAsia="Arial" w:hAnsi="Arial"/>
          <w:sz w:val="17"/>
          <w:szCs w:val="17"/>
          <w:color w:val="auto"/>
          <w:vertAlign w:val="superscript"/>
        </w:rPr>
      </w:pPr>
      <w:r>
        <w:rPr>
          <w:rFonts w:ascii="Arial" w:cs="Arial" w:eastAsia="Arial" w:hAnsi="Arial"/>
          <w:sz w:val="14"/>
          <w:szCs w:val="14"/>
          <w:color w:val="auto"/>
        </w:rPr>
        <w:t>Depreciation and amortization expense includes $29,587 and $17,377 of depreciation and amortization expense, $1,992 and $1,283 of lease intangible amortization, and $5,235 and $646 of amortization for lease incentives in the three months ended March 31, 2018 and 2017, respectively.</w:t>
      </w:r>
    </w:p>
    <w:p>
      <w:pPr>
        <w:spacing w:after="0" w:line="152" w:lineRule="exact"/>
        <w:rPr>
          <w:rFonts w:ascii="Arial" w:cs="Arial" w:eastAsia="Arial" w:hAnsi="Arial"/>
          <w:sz w:val="17"/>
          <w:szCs w:val="17"/>
          <w:color w:val="auto"/>
          <w:vertAlign w:val="superscript"/>
        </w:rPr>
      </w:pPr>
    </w:p>
    <w:p>
      <w:pPr>
        <w:ind w:left="500" w:hanging="492"/>
        <w:spacing w:after="0" w:line="225" w:lineRule="auto"/>
        <w:tabs>
          <w:tab w:leader="none" w:pos="149" w:val="left"/>
        </w:tabs>
        <w:numPr>
          <w:ilvl w:val="0"/>
          <w:numId w:val="15"/>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EBITDA from unconsolidated entities includes the following items for the three months ended March 31, 2018 and 2017: (i) net income (loss) of $48 and $(1,309), (ii) interest expense of $112 and $251, and (iii) depreciation and amortization expense of $15 and $378, respectively.</w:t>
      </w:r>
    </w:p>
    <w:p>
      <w:pPr>
        <w:sectPr>
          <w:pgSz w:w="11900" w:h="16838" w:orient="portrait"/>
          <w:cols w:equalWidth="0" w:num="1">
            <w:col w:w="11420"/>
          </w:cols>
          <w:pgMar w:left="240" w:top="694"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694" w:right="239" w:bottom="1440" w:gutter="0" w:footer="0" w:header="0"/>
          <w:type w:val="continuous"/>
        </w:sectPr>
      </w:pPr>
    </w:p>
    <w:bookmarkStart w:id="42" w:name="page43"/>
    <w:bookmarkEnd w:id="42"/>
    <w:p>
      <w:pPr>
        <w:ind w:left="500" w:hanging="492"/>
        <w:spacing w:after="0" w:line="225" w:lineRule="auto"/>
        <w:tabs>
          <w:tab w:leader="none" w:pos="169"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March 31, 2018 and 2017: (i) equity based compensation of $37 and $24, (ii) provision for income taxes of $4 and $15, (iii) interest expense of $1,292 and $529, (iv) depreciation and amortization expense of $2,076 and $1,674, and (v) changes in fair value of non-hedge derivative instruments of $(244) and $0,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the three months ended March 31, 2018, total revenues increased $24,171 compared to the three months ended March 31, 2017 due to higher revenues in our Aviation Leasing, Offshore Energy, Railroad and Ports and Terminals segments. These increases were partially offset by a decrease in the Jefferson Terminal segment.</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Equipment Leasing, lease income increased $13,311 during the three months ended March 31, 2018 compared to the three months ended March 31, 2017 primarily due to an increase in the number of assets on lease in the Aviation Leasing segment. Additionally, we continued to increase the number of aircraft and engines subject to leases with maintenance arrangements resulting in an increase to our maintenance revenue of $10,758.</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Infrastructure, rail revenues increased $2,644 during the three months ended March 31, 2018 compared to the three months ended March 31, 2017 primarily due to higher traffic related to a detour resulting in the diversion of trains onto our track. Lease income increased $366 in the three months ended March 31, 2018 from a lease contract at Long Ridge, which was acquired in June 2017. The increases were offset by lower Jefferson Terminal revenue of $3,613 primarily due to lower volumes.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three months ended March 31, 2018 total expenses increased $25,864 compared to the three months ended March 31, 2017 mainly due to higher (i) operating expenses (ii) depreciation and amortization and (iii) interest expense.</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Operating expenses increased $6,566 during the three months ended March 31, 2018 compared to the three months ended March 31, 2017 primarily due to increases in (i) facility operations of $1,525 primarily in the Jefferson Terminal segment, (ii) bad debt expense of $1,410 related to the write-off of receivables in the Aviation Leasing segment, (iii) repairs and maintenance expense of $796 primarily due to maintenance costs in Jefferson Terminal and (iv) compensation and benefits of $766 primarily reflecting hiring in the Ports &amp; Terminals and Railroad segments. Additionally, there were increases in other operating expenses related to business growth.</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and amortization increased $12,210 during the three months ended March 31, 2018 compared to the three months ended March 31, 2017 primarily due to additional assets acquired and placed on lease in the Aviation Leasing segment.</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Interest expense increased $7,177 during the three months ended March 31, 2018 compared to the three months ended March 31, 2017 primarily related to interest on the Senior Notes and the Revolving Credit Facility. Refer to the Note 8 of the Consolidated Financial Statements for further detail.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the three months ended March 31, 2018, total other income (expense) increased $1,855 compared to the three months ended March 31, 2017. The increase in income in 2018 primarily reflects the $2,456 loss on extinguishment of debt in the three months ended March 31, 2017 period, there was no loss on extinguishment of debt in 2018. Additionally, there was $1,361 in increased equity in earnings of unconsolidated entities primarily related to our Shipping Containers segment. Partially offsetting these increases was a $2,023 lower gain on the sale of equipment compared to the prior year period.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loss attributable to shareholders for the three months ended March 31, 2018 decreased $3,842 compared to the same period in 2017, primarily due to the changes discussed above.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 (Non-GAAP)</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Adjusted Net Income (Loss) increased $2,977 for the three months ended March 31, 2018 compared to the same period in 2017, primarily due to the changes in revenue, expenses and other income (expense) noted above, and a lower pro-rata share of Adjusted Net Loss compared to 2017. Partially offsetting the increase was lower losses on the extinguishment of debt of $2,456 in 2018 compared to 2017 and equity in earnings of $95 in 2018 compared to equity in losses of $1,266 in 2017.</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was $48,121 for the three months ended March 31, 2018, an increase of $25,984 compared to the same period of 2017. In addition to the changes in revenue, expenses and income/(loss) noted above, which resulted in a net decrease in loss attributable to shareholders, the change was primarily due to (i) increased depreciation and amortization expense from additional assets acquired and placed into service, (ii) increased interest expense, and (iii) increased pro-rata share of Adjusted EBITDA from unconsolidated entities. Partially offsetting these changes were changes in (i) the losses on extinguishment of debt, (ii) equity in losses of unconsolidated entities and (iii) non-controlling share of Adjusted EBITA.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49"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00497F"/>
        </w:rPr>
        <w:t>Aviation Leasing Segment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2018, in our Aviation Leasing segment, we own and manage 163 aviation assets, consisting of 58 commercial aircraft and 105 jet engines.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March 31, 2018, 50 of our commercial aircraft and 82 of our engines were leased to operators or other third parties. Aviation assets currently off lease are either undergoing repair and/or maintenance, being prepared to go on lease or held in short term storage awaiting a future lease. Our aviation equipment was approximately 87% utilized as of March 31, 2018, based on the equity value of our on-hire leasing equipment as a percentage of the total equity value of our aviation leasing equipment. Our aircraft currently have a weighted average remaining lease term of 27 months, and our engines currently on-lease have an average remaining lease term of 11 months. The table below provides additional information on the assets in our Aviation Leasing segment:</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497F"/>
          </w:tcPr>
          <w:p>
            <w:pPr>
              <w:spacing w:after="0"/>
              <w:rPr>
                <w:sz w:val="23"/>
                <w:szCs w:val="23"/>
                <w:color w:val="auto"/>
              </w:rPr>
            </w:pPr>
          </w:p>
        </w:tc>
        <w:tc>
          <w:tcPr>
            <w:tcW w:w="466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20" w:type="dxa"/>
            <w:vAlign w:val="bottom"/>
            <w:shd w:val="clear" w:color="auto" w:fill="00497F"/>
          </w:tcPr>
          <w:p>
            <w:pPr>
              <w:spacing w:after="0"/>
              <w:rPr>
                <w:sz w:val="23"/>
                <w:szCs w:val="23"/>
                <w:color w:val="auto"/>
              </w:rPr>
            </w:pPr>
          </w:p>
        </w:tc>
        <w:tc>
          <w:tcPr>
            <w:tcW w:w="120" w:type="dxa"/>
            <w:vAlign w:val="bottom"/>
            <w:shd w:val="clear" w:color="auto" w:fill="00497F"/>
          </w:tcPr>
          <w:p>
            <w:pPr>
              <w:spacing w:after="0"/>
              <w:rPr>
                <w:sz w:val="23"/>
                <w:szCs w:val="23"/>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23"/>
                <w:szCs w:val="23"/>
                <w:color w:val="auto"/>
              </w:rPr>
            </w:pPr>
          </w:p>
        </w:tc>
        <w:tc>
          <w:tcPr>
            <w:tcW w:w="100" w:type="dxa"/>
            <w:vAlign w:val="bottom"/>
            <w:shd w:val="clear" w:color="auto" w:fill="00497F"/>
          </w:tcPr>
          <w:p>
            <w:pPr>
              <w:spacing w:after="0"/>
              <w:rPr>
                <w:sz w:val="23"/>
                <w:szCs w:val="23"/>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4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7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2018</w:t>
            </w:r>
          </w:p>
        </w:tc>
        <w:tc>
          <w:tcPr>
            <w:tcW w:w="166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48</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23"/>
                <w:szCs w:val="23"/>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Transfers</w:t>
            </w:r>
          </w:p>
        </w:tc>
        <w:tc>
          <w:tcPr>
            <w:tcW w:w="1660" w:type="dxa"/>
            <w:vAlign w:val="bottom"/>
          </w:tcPr>
          <w:p>
            <w:pPr>
              <w:spacing w:after="0"/>
              <w:rPr>
                <w:sz w:val="24"/>
                <w:szCs w:val="24"/>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50"/>
        </w:trPr>
        <w:tc>
          <w:tcPr>
            <w:tcW w:w="4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March 31, 2018</w:t>
            </w:r>
          </w:p>
        </w:tc>
        <w:tc>
          <w:tcPr>
            <w:tcW w:w="16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58</w:t>
            </w:r>
          </w:p>
        </w:tc>
      </w:tr>
      <w:tr>
        <w:trPr>
          <w:trHeight w:val="554"/>
        </w:trPr>
        <w:tc>
          <w:tcPr>
            <w:tcW w:w="40" w:type="dxa"/>
            <w:vAlign w:val="bottom"/>
          </w:tcPr>
          <w:p>
            <w:pPr>
              <w:spacing w:after="0"/>
              <w:rPr>
                <w:sz w:val="24"/>
                <w:szCs w:val="2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99"/>
              </w:rPr>
              <w:t>Engines</w:t>
            </w:r>
          </w:p>
        </w:tc>
        <w:tc>
          <w:tcPr>
            <w:tcW w:w="4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2018</w:t>
            </w:r>
          </w:p>
        </w:tc>
        <w:tc>
          <w:tcPr>
            <w:tcW w:w="166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57</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110</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23"/>
                <w:szCs w:val="23"/>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6"/>
        </w:trPr>
        <w:tc>
          <w:tcPr>
            <w:tcW w:w="4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Transfers</w:t>
            </w:r>
          </w:p>
        </w:tc>
        <w:tc>
          <w:tcPr>
            <w:tcW w:w="1660" w:type="dxa"/>
            <w:vAlign w:val="bottom"/>
          </w:tcPr>
          <w:p>
            <w:pPr>
              <w:spacing w:after="0"/>
              <w:rPr>
                <w:sz w:val="24"/>
                <w:szCs w:val="24"/>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0"/>
        </w:trPr>
        <w:tc>
          <w:tcPr>
            <w:tcW w:w="4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March 31, 2018</w:t>
            </w:r>
          </w:p>
        </w:tc>
        <w:tc>
          <w:tcPr>
            <w:tcW w:w="16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w:t>
            </w:r>
          </w:p>
        </w:tc>
        <w:tc>
          <w:tcPr>
            <w:tcW w:w="120" w:type="dxa"/>
            <w:vAlign w:val="bottom"/>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105</w:t>
            </w: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81" w:right="239" w:bottom="1440" w:gutter="0" w:footer="0" w:header="0"/>
        </w:sectPr>
      </w:pPr>
    </w:p>
    <w:bookmarkStart w:id="44" w:name="page45"/>
    <w:bookmarkEnd w:id="44"/>
    <w:p>
      <w:pPr>
        <w:spacing w:after="0" w:line="260" w:lineRule="auto"/>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 Aviation Leasing segment for the three months ended March 31, 2018 and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251"/>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Lease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29,308</w:t>
            </w:r>
          </w:p>
        </w:tc>
        <w:tc>
          <w:tcPr>
            <w:tcW w:w="12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17,635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11,673</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Maintenance revenue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23,427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10,758</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8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52,735</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30,306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22,429</w:t>
            </w:r>
          </w:p>
        </w:tc>
      </w:tr>
      <w:tr>
        <w:trPr>
          <w:trHeight w:val="297"/>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3,433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2,014</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21,813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11,289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10,524</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25,403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12,923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12,480</w:t>
            </w:r>
          </w:p>
        </w:tc>
      </w:tr>
      <w:tr>
        <w:trPr>
          <w:trHeight w:val="297"/>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Equity losses of unconsolidated entities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512</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gain on sale of equipment, net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(1,550)</w:t>
            </w: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27,161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18,762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8,399</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483</w:t>
            </w: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26,678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18,569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8,109</w:t>
            </w:r>
          </w:p>
        </w:tc>
      </w:tr>
      <w:tr>
        <w:trPr>
          <w:trHeight w:val="264"/>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 in consolidated subsidiaries</w:t>
            </w: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26,702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18,651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8,051</w:t>
            </w: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512</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(512)</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27,342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19,059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8,283</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500" w:right="20" w:hanging="492"/>
        <w:spacing w:after="0" w:line="225" w:lineRule="auto"/>
        <w:tabs>
          <w:tab w:leader="none" w:pos="149"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Income from unconsolidated entities includes Aviation Leasing’s proportionate share of the unconsolidated entities’ net income adjusted for the excluded and included items detailed in the table above, for which there were no adjustments.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47" w:right="239" w:bottom="1440" w:gutter="0" w:footer="0" w:header="0"/>
        </w:sectPr>
      </w:pPr>
    </w:p>
    <w:bookmarkStart w:id="45" w:name="page46"/>
    <w:bookmarkEnd w:id="45"/>
    <w:p>
      <w:pPr>
        <w:ind w:right="20"/>
        <w:spacing w:after="0" w:line="260" w:lineRule="auto"/>
        <w:rPr>
          <w:sz w:val="20"/>
          <w:szCs w:val="20"/>
          <w:color w:val="auto"/>
        </w:rPr>
      </w:pPr>
      <w:r>
        <w:rPr>
          <w:rFonts w:ascii="Arial" w:cs="Arial" w:eastAsia="Arial" w:hAnsi="Arial"/>
          <w:sz w:val="16"/>
          <w:szCs w:val="16"/>
          <w:color w:val="auto"/>
        </w:rPr>
        <w:t>The following table sets forth a reconciliation of net income attributable to shareholders to Adjusted EBITDA for the Aviation Leasing segment for the three months ended March 31, 2018 and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8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82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26,702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8,051</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(2)</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29,040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15,822</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56,210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32,236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23,974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33" w:lineRule="exact"/>
        <w:rPr>
          <w:sz w:val="20"/>
          <w:szCs w:val="20"/>
          <w:color w:val="auto"/>
        </w:rPr>
      </w:pPr>
    </w:p>
    <w:p>
      <w:pPr>
        <w:ind w:left="500" w:hanging="492"/>
        <w:spacing w:after="0" w:line="225" w:lineRule="auto"/>
        <w:tabs>
          <w:tab w:leader="none" w:pos="149" w:val="left"/>
        </w:tabs>
        <w:numPr>
          <w:ilvl w:val="0"/>
          <w:numId w:val="18"/>
        </w:numPr>
        <w:rPr>
          <w:rFonts w:ascii="Arial" w:cs="Arial" w:eastAsia="Arial" w:hAnsi="Arial"/>
          <w:sz w:val="17"/>
          <w:szCs w:val="17"/>
          <w:color w:val="auto"/>
          <w:vertAlign w:val="superscript"/>
        </w:rPr>
      </w:pPr>
      <w:r>
        <w:rPr>
          <w:rFonts w:ascii="Arial" w:cs="Arial" w:eastAsia="Arial" w:hAnsi="Arial"/>
          <w:sz w:val="14"/>
          <w:szCs w:val="14"/>
          <w:color w:val="auto"/>
        </w:rPr>
        <w:t>Depreciation and amortization expense includes (i) $21,813 and $11,289 of depreciation expense, (ii) $1,992 and $1,283 of lease intangible amortization, and (iii) $5,235 and $646 of amortization for lease incentives in the three months ended March 31, 2018 and 2017,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Total revenues increased $22,429 in the three months ended March 31, 2018 compared to the three months ended March 31, 2017, due to higher lease income and maintenance revenue reflecting newly acquired assets. Lease income increased $11,673 primarily due to higher aircraft lease income of $6,863 reflecting an additional 29 aircraft on lease partially offset by the redelivery of three aircraft. Engine lease income increased $4,810 primarily driven by an increase in the number of engines which generated revenue from 47 to 87 in the three months ended March 31, 2017 and 2018, respectively. Maintenance revenue increased $10,758 due to a higher number of aircraft and engines on lease. Engine maintenance and aircraft maintenance revenue increased $6,497 and $4,261, respectively, in the three months ended March 31, 2018 compared to the three months ended March 31, 2017.</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2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Total expenses increased $12,480 in the three months ended March 31, 2018 compared to the three months ended March 31, 2017 primarily due to an increase in depreciation and amortization and an increase in operating expenses. Depreciation and amortization increased by $10,524 reflecting the depreciation of additional aircraft and engines owned or put on lease in the three months ended March 31, 2018. Operating expenses increased $2,014 in the three months ended March 31, 2018 compared to the three months ended March 31, 2017, primarily reflecting increases in (i) bad debt expense of $1,436 related to receivables deemed uncollectible, (ii) professional fees of $153 due to an increased number of assets on lease, (iii) aviation shipping expense of $152 due to the positioning of our assets for lease and (iv) other operating expense of $273 due to the overall growth of the aviation portfolio.</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income decreased $1,550 in the three months ended March 31, 2018 compared to the three months ended March 31, 2017 reflecting a $20 loss on the sale of leasing equipment in 2018 compared to a $2,032 gain in 2017 partially offset by a $512 decrease in equity losses of unconsolidated entities.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(Non-GAAP)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Income was $27,342 for the three months ended March 31, 2018 increasing $8,283 compared to the three months ended March 31, 2017, primarily reflecting the changes to net income attributable to shareholders noted above, adjusted for the provision for income taxes, and acquisition and transaction expenses.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47"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Adjusted EBITDA was $56,210 for the three months ended March 31, 2018 increasing $23,974 compared to the three months ended March 31, 2017. In addition to the changes in net income attributable to shareholders noted above, this movement was primarily due to higher depreciation and amortization expense for the additional aircraft and engines owned and on lease in the three months ended March 31, 2018 and higher provision for income tax.</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Offshore Energy Segment</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our Offshore Energy segment, we own one remotely operated vehicle (“ROV”) support vessel, one construction support vessel and one anchor handling tug supply (“AHTS”) vessel. The chart below describes the assets in our Offshore Energy segment as of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54875" cy="1046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1046480"/>
                    </a:xfrm>
                    <a:prstGeom prst="rect">
                      <a:avLst/>
                    </a:prstGeom>
                    <a:noFill/>
                  </pic:spPr>
                </pic:pic>
              </a:graphicData>
            </a:graphic>
          </wp:anchor>
        </w:drawing>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Offshore Energy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Borders>
              <w:top w:val="single" w:sz="8" w:color="auto"/>
              <w:bottom w:val="single" w:sz="8" w:color="auto"/>
              <w:right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Asset Type</w:t>
            </w:r>
          </w:p>
        </w:tc>
        <w:tc>
          <w:tcPr>
            <w:tcW w:w="9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Year Built</w:t>
            </w:r>
          </w:p>
        </w:tc>
        <w:tc>
          <w:tcPr>
            <w:tcW w:w="6480" w:type="dxa"/>
            <w:vAlign w:val="bottom"/>
            <w:tcBorders>
              <w:top w:val="single" w:sz="8" w:color="auto"/>
              <w:bottom w:val="single" w:sz="8" w:color="auto"/>
            </w:tcBorders>
            <w:shd w:val="clear" w:color="auto" w:fill="D8D8D8"/>
          </w:tcPr>
          <w:p>
            <w:pPr>
              <w:ind w:left="2880"/>
              <w:spacing w:after="0"/>
              <w:rPr>
                <w:sz w:val="20"/>
                <w:szCs w:val="20"/>
                <w:color w:val="auto"/>
              </w:rPr>
            </w:pPr>
            <w:r>
              <w:rPr>
                <w:rFonts w:ascii="Arial" w:cs="Arial" w:eastAsia="Arial" w:hAnsi="Arial"/>
                <w:sz w:val="14"/>
                <w:szCs w:val="14"/>
                <w:color w:val="auto"/>
              </w:rPr>
              <w:t>Description</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AHTS Vessel</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2010</w:t>
            </w:r>
          </w:p>
        </w:tc>
        <w:tc>
          <w:tcPr>
            <w:tcW w:w="6480" w:type="dxa"/>
            <w:vAlign w:val="bottom"/>
          </w:tcPr>
          <w:p>
            <w:pPr>
              <w:ind w:left="160"/>
              <w:spacing w:after="0"/>
              <w:rPr>
                <w:sz w:val="20"/>
                <w:szCs w:val="20"/>
                <w:color w:val="auto"/>
              </w:rPr>
            </w:pPr>
            <w:r>
              <w:rPr>
                <w:rFonts w:ascii="Arial" w:cs="Arial" w:eastAsia="Arial" w:hAnsi="Arial"/>
                <w:sz w:val="14"/>
                <w:szCs w:val="14"/>
                <w:color w:val="auto"/>
              </w:rPr>
              <w:t>Anchor handling tug supply vessel with accommodation for 30 personnel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6480" w:type="dxa"/>
            <w:vAlign w:val="bottom"/>
            <w:vMerge w:val="restart"/>
          </w:tcPr>
          <w:p>
            <w:pPr>
              <w:ind w:left="160"/>
              <w:spacing w:after="0"/>
              <w:rPr>
                <w:sz w:val="20"/>
                <w:szCs w:val="20"/>
                <w:color w:val="auto"/>
              </w:rPr>
            </w:pPr>
            <w:r>
              <w:rPr>
                <w:rFonts w:ascii="Arial" w:cs="Arial" w:eastAsia="Arial" w:hAnsi="Arial"/>
                <w:sz w:val="14"/>
                <w:szCs w:val="14"/>
                <w:color w:val="auto"/>
              </w:rPr>
              <w:t>and a total bollard pull of 68.5 tons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0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Construction Support Vessel</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2014</w:t>
            </w:r>
          </w:p>
        </w:tc>
        <w:tc>
          <w:tcPr>
            <w:tcW w:w="6480" w:type="dxa"/>
            <w:vAlign w:val="bottom"/>
          </w:tcPr>
          <w:p>
            <w:pPr>
              <w:ind w:left="160"/>
              <w:spacing w:after="0"/>
              <w:rPr>
                <w:sz w:val="20"/>
                <w:szCs w:val="20"/>
                <w:color w:val="auto"/>
              </w:rPr>
            </w:pPr>
            <w:r>
              <w:rPr>
                <w:rFonts w:ascii="Arial" w:cs="Arial" w:eastAsia="Arial" w:hAnsi="Arial"/>
                <w:sz w:val="14"/>
                <w:szCs w:val="14"/>
                <w:color w:val="auto"/>
              </w:rPr>
              <w:t>DP-3 construction support and well intervention vessel with 250-ton main crane, 2,000 square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6480" w:type="dxa"/>
            <w:vAlign w:val="bottom"/>
            <w:vMerge w:val="restart"/>
          </w:tcPr>
          <w:p>
            <w:pPr>
              <w:ind w:left="160"/>
              <w:spacing w:after="0"/>
              <w:rPr>
                <w:sz w:val="20"/>
                <w:szCs w:val="20"/>
                <w:color w:val="auto"/>
              </w:rPr>
            </w:pPr>
            <w:r>
              <w:rPr>
                <w:rFonts w:ascii="Arial" w:cs="Arial" w:eastAsia="Arial" w:hAnsi="Arial"/>
                <w:sz w:val="14"/>
                <w:szCs w:val="14"/>
                <w:color w:val="auto"/>
              </w:rPr>
              <w:t>meter open deck space, moon pool and accommodation for 100 personnel</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0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ROV Support Vessel</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2011</w:t>
            </w:r>
          </w:p>
        </w:tc>
        <w:tc>
          <w:tcPr>
            <w:tcW w:w="6480" w:type="dxa"/>
            <w:vAlign w:val="bottom"/>
          </w:tcPr>
          <w:p>
            <w:pPr>
              <w:ind w:left="160"/>
              <w:spacing w:after="0"/>
              <w:rPr>
                <w:sz w:val="20"/>
                <w:szCs w:val="20"/>
                <w:color w:val="auto"/>
              </w:rPr>
            </w:pPr>
            <w:r>
              <w:rPr>
                <w:rFonts w:ascii="Arial" w:cs="Arial" w:eastAsia="Arial" w:hAnsi="Arial"/>
                <w:sz w:val="14"/>
                <w:szCs w:val="14"/>
                <w:color w:val="auto"/>
              </w:rPr>
              <w:t>DP-2 dive and ROV support vessel with 50-ton crane, moon pool and accommodation for 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6480" w:type="dxa"/>
            <w:vAlign w:val="bottom"/>
            <w:vMerge w:val="restart"/>
          </w:tcPr>
          <w:p>
            <w:pPr>
              <w:ind w:left="160"/>
              <w:spacing w:after="0"/>
              <w:rPr>
                <w:sz w:val="20"/>
                <w:szCs w:val="20"/>
                <w:color w:val="auto"/>
              </w:rPr>
            </w:pPr>
            <w:r>
              <w:rPr>
                <w:rFonts w:ascii="Arial" w:cs="Arial" w:eastAsia="Arial" w:hAnsi="Arial"/>
                <w:sz w:val="14"/>
                <w:szCs w:val="14"/>
                <w:color w:val="auto"/>
              </w:rPr>
              <w:t>personnel</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40"/>
          </w:cols>
          <w:pgMar w:left="240" w:top="527" w:right="219" w:bottom="1440" w:gutter="0" w:footer="0" w:header="0"/>
        </w:sectPr>
      </w:pPr>
    </w:p>
    <w:bookmarkStart w:id="47" w:name="page48"/>
    <w:bookmarkEnd w:id="47"/>
    <w:p>
      <w:pPr>
        <w:ind w:right="240"/>
        <w:spacing w:after="0" w:line="295"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the Offshore Energy segment for the three months ended March 31, 2018 and 2017: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251"/>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Lease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2,249</w:t>
            </w:r>
          </w:p>
        </w:tc>
        <w:tc>
          <w:tcPr>
            <w:tcW w:w="12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1,638</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3,024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1,967</w:t>
            </w:r>
          </w:p>
        </w:tc>
      </w:tr>
      <w:tr>
        <w:trPr>
          <w:trHeight w:val="297"/>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2,368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(1,175)</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873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4,843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6,074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(1,231)</w:t>
            </w:r>
          </w:p>
        </w:tc>
      </w:tr>
      <w:tr>
        <w:trPr>
          <w:trHeight w:val="297"/>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3,198</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3,197</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(1,819)</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2,949</w:t>
            </w: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(1,816)</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2,950</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60" w:right="239" w:bottom="1440" w:gutter="0" w:footer="0" w:header="0"/>
        </w:sectPr>
      </w:pPr>
    </w:p>
    <w:bookmarkStart w:id="48" w:name="page49"/>
    <w:bookmarkEnd w:id="48"/>
    <w:p>
      <w:pPr>
        <w:ind w:right="60"/>
        <w:spacing w:after="0" w:line="260"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Offshore Energy segment for the three months ended March 31, 2018 and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3"/>
        </w:trPr>
        <w:tc>
          <w:tcPr>
            <w:tcW w:w="8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197"/>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2,949</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873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r>
      <w:tr>
        <w:trPr>
          <w:trHeight w:val="237"/>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659</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(2,330)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2,989</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25"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March 31, 2018 and 2017: (i) depreciation expense of $0 and $62 and</w:t>
      </w:r>
    </w:p>
    <w:p>
      <w:pPr>
        <w:ind w:left="700" w:hanging="206"/>
        <w:spacing w:after="0"/>
        <w:tabs>
          <w:tab w:leader="none" w:pos="700" w:val="left"/>
        </w:tabs>
        <w:numPr>
          <w:ilvl w:val="1"/>
          <w:numId w:val="19"/>
        </w:numPr>
        <w:rPr>
          <w:rFonts w:ascii="Arial" w:cs="Arial" w:eastAsia="Arial" w:hAnsi="Arial"/>
          <w:sz w:val="14"/>
          <w:szCs w:val="14"/>
          <w:color w:val="auto"/>
        </w:rPr>
      </w:pPr>
      <w:r>
        <w:rPr>
          <w:rFonts w:ascii="Arial" w:cs="Arial" w:eastAsia="Arial" w:hAnsi="Arial"/>
          <w:sz w:val="14"/>
          <w:szCs w:val="14"/>
          <w:color w:val="auto"/>
        </w:rPr>
        <w:t>interest expense of $0 and $33.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Total revenues increased $1,967 in the three months ended March 31, 2018 compared to the three months ended March 31, 2017, primarily due to higher lease income and other revenue. The increase in lease income reflects the ROV support vessel having been on a long-term lease arrangement in 2018 compared to 2017 when a long-term lease arrangement was entered into towards the end of March. Other revenue increased $348 in the three months ended March 31, 2018 compared to the three months ended March 31, 2017, primarily due to the crew provisions reimbursement income for the offshore construction support vessel.</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the three months ended March 31, 2018, total expenses decreased $1,231 compared to the prior year period primarily due to decreases in operating expenses.</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Operating expenses decreased $1,175 in the three months ended March 31, 2018 compared to the prior period reflecting lower (i) legal fees of $975, (ii) mobilization and cost for spare parts of $304 and (iii) other operating expenses of $227 partially offset by increased project costs of $197 and crew costs of $134.</w:t>
      </w:r>
    </w:p>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months ended March 31, 2018, there was depreciation expense of $1,194 and $408 related to the construction support vessel and ROV support vessel, respectively, consistent to the prior period.</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the three months ended March 31, 2018, there was interest expense of $873 and $0 primarily related to financing for the construction support vessel and ROV support vessel, respectively. During the three months ended March 31, 2017, there was interest expense of $891 and $33 primarily related to financing for the construction support vessel and ROV support vessel, respectively. The note relating to the ROV support vessel was settled during the third quarter of 2017 due to the transfer of interest from the non-controlling interest holder to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(Non-GAAP)</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Net Loss decreased $2,950 in the three months ended March 31, 2018 compared to the three months ended March 31, 2017. The decrease is primarily due to the changes to net loss attributable to shareholders described above.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898"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Adjusted EBITDA increased $2,989 in the three months ended March 31, 2018 compared to the three months ended March 31, 2017. The increase is primarily due to the changes to net loss attributable to shareholders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Shipping Containers Segment</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our Shipping Containers segment, we own, through a joint venture an interest in approximately 32,000 maritime shipping containers and related equipment through one portfolio. The chart below describes the assets in our Shipping Containers segment as of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54875" cy="848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848995"/>
                    </a:xfrm>
                    <a:prstGeom prst="rect">
                      <a:avLst/>
                    </a:prstGeom>
                    <a:noFill/>
                  </pic:spPr>
                </pic:pic>
              </a:graphicData>
            </a:graphic>
          </wp:anchor>
        </w:drawing>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Shipping Containers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Borders>
              <w:top w:val="single" w:sz="8" w:color="auto"/>
              <w:bottom w:val="single" w:sz="8" w:color="auto"/>
              <w:right w:val="single" w:sz="8" w:color="auto"/>
            </w:tcBorders>
            <w:shd w:val="clear" w:color="auto" w:fill="D8D8D8"/>
          </w:tcPr>
          <w:p>
            <w:pPr>
              <w:jc w:val="right"/>
              <w:ind w:right="648"/>
              <w:spacing w:after="0"/>
              <w:rPr>
                <w:sz w:val="20"/>
                <w:szCs w:val="20"/>
                <w:color w:val="auto"/>
              </w:rPr>
            </w:pPr>
            <w:r>
              <w:rPr>
                <w:rFonts w:ascii="Arial" w:cs="Arial" w:eastAsia="Arial" w:hAnsi="Arial"/>
                <w:sz w:val="14"/>
                <w:szCs w:val="14"/>
                <w:color w:val="auto"/>
              </w:rPr>
              <w:t>Number of Containers</w:t>
            </w:r>
          </w:p>
        </w:tc>
        <w:tc>
          <w:tcPr>
            <w:tcW w:w="1720" w:type="dxa"/>
            <w:vAlign w:val="bottom"/>
            <w:tcBorders>
              <w:top w:val="single" w:sz="8" w:color="auto"/>
              <w:bottom w:val="single" w:sz="8" w:color="auto"/>
              <w:right w:val="single" w:sz="8" w:color="auto"/>
            </w:tcBorders>
            <w:shd w:val="clear" w:color="auto" w:fill="D8D8D8"/>
          </w:tcPr>
          <w:p>
            <w:pPr>
              <w:ind w:left="700"/>
              <w:spacing w:after="0"/>
              <w:rPr>
                <w:sz w:val="20"/>
                <w:szCs w:val="20"/>
                <w:color w:val="auto"/>
              </w:rPr>
            </w:pPr>
            <w:r>
              <w:rPr>
                <w:rFonts w:ascii="Arial" w:cs="Arial" w:eastAsia="Arial" w:hAnsi="Arial"/>
                <w:sz w:val="14"/>
                <w:szCs w:val="14"/>
                <w:color w:val="auto"/>
              </w:rPr>
              <w:t>Type</w:t>
            </w:r>
          </w:p>
        </w:tc>
        <w:tc>
          <w:tcPr>
            <w:tcW w:w="17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Average Age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Lease Type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Customer Mix</w:t>
            </w:r>
          </w:p>
        </w:tc>
        <w:tc>
          <w:tcPr>
            <w:tcW w:w="226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2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Dry</w:t>
            </w:r>
          </w:p>
        </w:tc>
        <w:tc>
          <w:tcPr>
            <w:tcW w:w="172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Reefer</w:t>
            </w:r>
          </w:p>
        </w:tc>
        <w:tc>
          <w:tcPr>
            <w:tcW w:w="17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Direct Finance</w:t>
            </w:r>
          </w:p>
        </w:tc>
        <w:tc>
          <w:tcPr>
            <w:tcW w:w="170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320" w:type="dxa"/>
            <w:vAlign w:val="bottom"/>
            <w:tcBorders>
              <w:right w:val="single" w:sz="8" w:color="auto"/>
            </w:tcBorders>
            <w:vMerge w:val="restart"/>
          </w:tcPr>
          <w:p>
            <w:pPr>
              <w:jc w:val="right"/>
              <w:ind w:right="1768"/>
              <w:spacing w:after="0"/>
              <w:rPr>
                <w:sz w:val="20"/>
                <w:szCs w:val="20"/>
                <w:color w:val="auto"/>
              </w:rPr>
            </w:pPr>
            <w:r>
              <w:rPr>
                <w:rFonts w:ascii="Arial" w:cs="Arial" w:eastAsia="Arial" w:hAnsi="Arial"/>
                <w:sz w:val="14"/>
                <w:szCs w:val="14"/>
                <w:color w:val="auto"/>
              </w:rPr>
              <w:t>32,000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Dry</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~10 Years</w:t>
            </w:r>
          </w:p>
        </w:tc>
        <w:tc>
          <w:tcPr>
            <w:tcW w:w="17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 Customers</w:t>
            </w:r>
          </w:p>
        </w:tc>
        <w:tc>
          <w:tcPr>
            <w:tcW w:w="2260" w:type="dxa"/>
            <w:vAlign w:val="bottom"/>
            <w:vMerge w:val="restart"/>
          </w:tcPr>
          <w:p>
            <w:pPr>
              <w:jc w:val="right"/>
              <w:ind w:right="928"/>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Lease/Operating Lease</w:t>
            </w:r>
          </w:p>
        </w:tc>
        <w:tc>
          <w:tcPr>
            <w:tcW w:w="1700" w:type="dxa"/>
            <w:vAlign w:val="bottom"/>
            <w:tcBorders>
              <w:right w:val="single" w:sz="8" w:color="auto"/>
            </w:tcBorders>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2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HC Dry</w:t>
            </w:r>
          </w:p>
        </w:tc>
        <w:tc>
          <w:tcPr>
            <w:tcW w:w="17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32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2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3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40’ HC Reefer</w:t>
            </w:r>
          </w:p>
        </w:tc>
        <w:tc>
          <w:tcPr>
            <w:tcW w:w="172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40"/>
          </w:cols>
          <w:pgMar w:left="240" w:top="527" w:right="21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(loss) attributable to shareholders to Adjusted Net Income (Loss)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Shipping Containers segment for the three months ended March 31,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1"/>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7"/>
        </w:trPr>
        <w:tc>
          <w:tcPr>
            <w:tcW w:w="8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(losses) of unconsolidated entities</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636</w:t>
            </w:r>
          </w:p>
        </w:tc>
        <w:tc>
          <w:tcPr>
            <w:tcW w:w="0" w:type="dxa"/>
            <w:vAlign w:val="bottom"/>
          </w:tcPr>
          <w:p>
            <w:pPr>
              <w:spacing w:after="0"/>
              <w:rPr>
                <w:sz w:val="1"/>
                <w:szCs w:val="1"/>
                <w:color w:val="auto"/>
              </w:rPr>
            </w:pP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636</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from income taxes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612</w:t>
            </w:r>
          </w:p>
        </w:tc>
        <w:tc>
          <w:tcPr>
            <w:tcW w:w="0" w:type="dxa"/>
            <w:vAlign w:val="bottom"/>
          </w:tcPr>
          <w:p>
            <w:pPr>
              <w:spacing w:after="0"/>
              <w:rPr>
                <w:sz w:val="1"/>
                <w:szCs w:val="1"/>
                <w:color w:val="auto"/>
              </w:rPr>
            </w:pP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color w:val="auto"/>
              </w:rPr>
              <w:t>Add: Benefit from income taxes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 xml:space="preserve">Add: Pro-rata share of Adjusted Net Income (Loss) from unconsolidated entities </w:t>
            </w:r>
            <w:r>
              <w:rPr>
                <w:rFonts w:ascii="Arial" w:cs="Arial" w:eastAsia="Arial" w:hAnsi="Arial"/>
                <w:sz w:val="17"/>
                <w:szCs w:val="17"/>
                <w:color w:val="auto"/>
                <w:vertAlign w:val="superscript"/>
              </w:rPr>
              <w:t>(1)</w:t>
            </w: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636</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500" w:hanging="492"/>
        <w:spacing w:after="0" w:line="225" w:lineRule="auto"/>
        <w:tabs>
          <w:tab w:leader="none" w:pos="149" w:val="left"/>
        </w:tabs>
        <w:numPr>
          <w:ilvl w:val="0"/>
          <w:numId w:val="20"/>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Income (Loss) from unconsolidated entities includes Shipping Container’s proportionate share of the unconsolidated entities’ net income adjusted for the excluded and included items detailed in the table above.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60" w:right="239" w:bottom="1440" w:gutter="0" w:footer="0" w:header="0"/>
        </w:sectPr>
      </w:pPr>
    </w:p>
    <w:bookmarkStart w:id="51" w:name="page52"/>
    <w:bookmarkEnd w:id="51"/>
    <w:p>
      <w:pPr>
        <w:ind w:right="80"/>
        <w:spacing w:after="0" w:line="295" w:lineRule="auto"/>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 for the Shipping Containers segment for the three months ended March 31, 2018 and 2017: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197</w:t>
            </w:r>
          </w:p>
        </w:tc>
        <w:tc>
          <w:tcPr>
            <w:tcW w:w="120" w:type="dxa"/>
            <w:vAlign w:val="bottom"/>
          </w:tcPr>
          <w:p>
            <w:pPr>
              <w:spacing w:after="0"/>
              <w:rPr>
                <w:sz w:val="21"/>
                <w:szCs w:val="21"/>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income taxes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500" w:hanging="492"/>
        <w:spacing w:after="0" w:line="218" w:lineRule="auto"/>
        <w:tabs>
          <w:tab w:leader="none" w:pos="181"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Company’s pro-rata share of Adjusted EBITDA from unconsolidated entities includes the following items for the three months ended March 31, 2018 and 2017: (i) net income (loss) of $124 and $(508), (ii) interest expense of $112 and $251, and (iii) depreciation and amortization expense of $15 and $378,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remained consistent in the three months ended March 31, 2018 compared to the three months ended March 31, 2017.</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(expense) increased $636 in the three months ended March 31, 2018 compared to the three months ended March 31, 2017, reflecting income earned from the sales of operating lease containers within our shipping container joint venture.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 (Non-GAAP)</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Net Income (Loss) increased $636 in the three months ended March 31, 2018 compared to the three months ended March 31, 2017, reflecting the increase in equity in earnings of unconsolidated entities.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Adjusted EBITDA was $276 in the three months ended March 31, 2018, an increase of $130 compared to the three months ended March 31, 2017. The increase primarily reflects the entities change in equity in unconsolidated entities coupled with a higher pro-rata share of Adjusted EBITDA from unconsolidated entities.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60"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the Jefferson Terminal segment for the three months ended March 31, 2018 and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251"/>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82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Terminal services revenues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1,253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4,866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(3,613)</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1,253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4,866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(3,613)</w:t>
            </w:r>
          </w:p>
        </w:tc>
      </w:tr>
      <w:tr>
        <w:trPr>
          <w:trHeight w:val="297"/>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11,959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7,613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4,346</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4,790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3,528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2,091</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20,277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13,001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7,276</w:t>
            </w:r>
          </w:p>
        </w:tc>
      </w:tr>
      <w:tr>
        <w:trPr>
          <w:trHeight w:val="297"/>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Equity in earnings (losses) of unconsolidated entities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213</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284</w:t>
            </w: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(18,596)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(10,605)</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(18,607)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(8,030)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(10,577)</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(8,949)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(4,591)</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(9,658)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(3,672)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(5,986)</w:t>
            </w: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Net Income (Loss) from unconsolidated entities </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 (Loss)</w:t>
            </w:r>
            <w:r>
              <w:rPr>
                <w:rFonts w:ascii="Arial" w:cs="Arial" w:eastAsia="Arial" w:hAnsi="Arial"/>
                <w:sz w:val="17"/>
                <w:szCs w:val="17"/>
                <w:color w:val="auto"/>
                <w:vertAlign w:val="superscript"/>
              </w:rPr>
              <w:t>(2)</w:t>
            </w: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w:t>
            </w:r>
          </w:p>
        </w:tc>
      </w:tr>
      <w:tr>
        <w:trPr>
          <w:trHeight w:val="244"/>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(8,723)</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(5,109)</w:t>
            </w:r>
          </w:p>
        </w:tc>
      </w:tr>
      <w:tr>
        <w:trPr>
          <w:trHeight w:val="210"/>
        </w:trPr>
        <w:tc>
          <w:tcPr>
            <w:tcW w:w="8240" w:type="dxa"/>
            <w:vAlign w:val="bottom"/>
          </w:tcPr>
          <w:p>
            <w:pPr>
              <w:spacing w:after="0"/>
              <w:rPr>
                <w:sz w:val="20"/>
                <w:szCs w:val="20"/>
                <w:color w:val="auto"/>
              </w:rPr>
            </w:pPr>
            <w:r>
              <w:rPr>
                <w:rFonts w:ascii="Arial" w:cs="Arial" w:eastAsia="Arial" w:hAnsi="Arial"/>
                <w:sz w:val="16"/>
                <w:szCs w:val="16"/>
                <w:color w:val="auto"/>
              </w:rPr>
              <w:t>______________________________________________________</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73" w:lineRule="exact"/>
        <w:rPr>
          <w:sz w:val="20"/>
          <w:szCs w:val="20"/>
          <w:color w:val="auto"/>
        </w:rPr>
      </w:pPr>
    </w:p>
    <w:p>
      <w:pPr>
        <w:ind w:left="500" w:hanging="492"/>
        <w:spacing w:after="0" w:line="225" w:lineRule="auto"/>
        <w:tabs>
          <w:tab w:leader="none" w:pos="149" w:val="left"/>
        </w:tabs>
        <w:numPr>
          <w:ilvl w:val="0"/>
          <w:numId w:val="22"/>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Loss from unconsolidated entities includes Jefferson Terminal’s proportionate share of the unconsolidated entities’ net income adjusted for the excluded and included items detailed in the table above, for which there were no adjustments.</w:t>
      </w:r>
    </w:p>
    <w:p>
      <w:pPr>
        <w:spacing w:after="0" w:line="152" w:lineRule="exact"/>
        <w:rPr>
          <w:rFonts w:ascii="Arial" w:cs="Arial" w:eastAsia="Arial" w:hAnsi="Arial"/>
          <w:sz w:val="17"/>
          <w:szCs w:val="17"/>
          <w:color w:val="auto"/>
          <w:vertAlign w:val="superscript"/>
        </w:rPr>
      </w:pPr>
    </w:p>
    <w:p>
      <w:pPr>
        <w:ind w:left="500" w:hanging="492"/>
        <w:spacing w:after="0" w:line="230" w:lineRule="auto"/>
        <w:tabs>
          <w:tab w:leader="none" w:pos="149" w:val="left"/>
        </w:tabs>
        <w:numPr>
          <w:ilvl w:val="0"/>
          <w:numId w:val="22"/>
        </w:numPr>
        <w:rPr>
          <w:rFonts w:ascii="Arial" w:cs="Arial" w:eastAsia="Arial" w:hAnsi="Arial"/>
          <w:sz w:val="17"/>
          <w:szCs w:val="17"/>
          <w:color w:val="auto"/>
          <w:vertAlign w:val="superscript"/>
        </w:rPr>
      </w:pPr>
      <w:r>
        <w:rPr>
          <w:rFonts w:ascii="Arial" w:cs="Arial" w:eastAsia="Arial" w:hAnsi="Arial"/>
          <w:sz w:val="14"/>
          <w:szCs w:val="14"/>
          <w:color w:val="auto"/>
        </w:rPr>
        <w:t>Jefferson Terminal’s non-controlling share of Adjusted Net Income (Loss) is comprised of the following for the three months ended March 31, 2018 and 2017: (i) equity-based compensation of $34 and $23, (ii) provision for income taxes of $4 and $15, (iii) changes in fair value of non-hedge derivative instruments of $(244) and $0, less (iv) cash paid for income taxes of $(5) and $1, respectively.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581" w:right="239" w:bottom="1440" w:gutter="0" w:footer="0" w:header="0"/>
        </w:sectPr>
      </w:pPr>
    </w:p>
    <w:bookmarkStart w:id="53" w:name="page54"/>
    <w:bookmarkEnd w:id="53"/>
    <w:p>
      <w:pPr>
        <w:spacing w:after="0" w:line="260"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Jefferson Terminal segment for the three months ended March 31, 2018 and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(9,658)</w:t>
            </w:r>
          </w:p>
        </w:tc>
        <w:tc>
          <w:tcPr>
            <w:tcW w:w="120" w:type="dxa"/>
            <w:vAlign w:val="bottom"/>
          </w:tcPr>
          <w:p>
            <w:pPr>
              <w:spacing w:after="0"/>
              <w:rPr>
                <w:sz w:val="21"/>
                <w:szCs w:val="21"/>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(3,672)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(5,986)</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4,790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839</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2,091</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213</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27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(2,935)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w:t>
            </w: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(3,326)</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0" w:lineRule="exact"/>
        <w:rPr>
          <w:sz w:val="20"/>
          <w:szCs w:val="20"/>
          <w:color w:val="auto"/>
        </w:rPr>
      </w:pPr>
    </w:p>
    <w:p>
      <w:pPr>
        <w:ind w:left="500" w:hanging="492"/>
        <w:spacing w:after="0" w:line="225" w:lineRule="auto"/>
        <w:tabs>
          <w:tab w:leader="none" w:pos="169"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March 31, 2018 and 2017: (i) equity-based compensation of $34 and $23, (ii) provision for income taxes of $4 and $15, (iii) interest expense of $1,271 and $458, (iv) changes in fair value of non-hedge derivative instruments of $(244) and $0, and (vii) depreciation and amortization expense of $1,870 and $1,542,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decreased $3,613 in the three months ended March 31, 2018 compared to the three months ended March 31, 2017, reflecting lower volumes.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Total expenses increased $7,276 in the three months ended March 31, 2018 compared to the three months ended March 31, 2017, primarily due to higher operating expenses of $4,346. During the quarter, Jefferson Terminal transitioned terminal operations to a new terminal operator. As a result of this transition, there was a non-recurring increase in facility operating costs related to the ramp-up of the new operator of $1,144. Additionally, the terminal had various other non-recurring facility operating costs totaling $1,134. Additionally, the increase in total operating expenses reflect higher (i) professional fees of $831 which were related to legal expenses for ongoing matters, and (ii) repairs and maintenance of $565, for maintenance performed during the quarter. General operating costs increased by (iii) $382 related to relocation expenses for a new office, (iv) tax expense of $156, (v) environmental expense of $117 related to waste disposal costs incurred in 2018, and (vi) lease expenses of $34.</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Interest expense increased $2,091 in the three months ended March 31, 2018 compared to the three months ended March 31, 2017 due to a decrease in interest capitalized under the Series 2016 bonds and a decrease in construction in progress as certain terminal storage assets were placed into service in the first quarter of 2018.</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(Non-GAAP)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Loss was $8,723 in the three months ended March 31, 2018, increasing $5,109 compared to the three months ended March 31, 2017. The increase reflects the changes in net loss attributable to shareholders noted above, offset by the changes in fair value of non-hedge derivatives and the non-controlling interest share of Adjusted Net Loss.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Adjusted EBITDA was $(3,550) in the three months ended March 31, 2018, a decrease of $3,326 as compared to the three months ended March 31, 2017. The decrease reflects the changes in net loss attributable to shareholders noted above as well as a $897 decrease in non-controlling share of Adjusted EBITDA. Partially offsetting this decrease is the increase in interest expense of $2,091 noted above, as well as depreciation and amortization expense of $839 and the change in fair value of non-hedge derivative instruments of $624.</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547"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00497F"/>
        </w:rPr>
        <w:t>Railroad Segment</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 Railroad segment for the three months ended March 31, 2018 and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251"/>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82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Rail revenues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11,047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8,403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2,644</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11,047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8,403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2,644</w:t>
            </w:r>
          </w:p>
        </w:tc>
      </w:tr>
      <w:tr>
        <w:trPr>
          <w:trHeight w:val="297"/>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7,438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7,544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8,356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8,269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87</w:t>
            </w:r>
          </w:p>
        </w:tc>
      </w:tr>
      <w:tr>
        <w:trPr>
          <w:trHeight w:val="297"/>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Gain (loss) on sale of equipment, net</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w:t>
            </w: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2,706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2,586</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2,706</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2,586</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 in consolidated subsidiaries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2,500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2,384</w:t>
            </w: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43"/>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2,543</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2,401</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581" w:right="239" w:bottom="1440" w:gutter="0" w:footer="0" w:header="0"/>
        </w:sectPr>
      </w:pPr>
    </w:p>
    <w:bookmarkStart w:id="55" w:name="page56"/>
    <w:bookmarkEnd w:id="55"/>
    <w:p>
      <w:pPr>
        <w:ind w:right="540"/>
        <w:spacing w:after="0" w:line="260" w:lineRule="auto"/>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 for the Railroad segment for the three months ended March 31, 2018 and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2,500</w:t>
            </w:r>
          </w:p>
        </w:tc>
        <w:tc>
          <w:tcPr>
            <w:tcW w:w="120" w:type="dxa"/>
            <w:vAlign w:val="bottom"/>
          </w:tcPr>
          <w:p>
            <w:pPr>
              <w:spacing w:after="0"/>
              <w:rPr>
                <w:sz w:val="21"/>
                <w:szCs w:val="21"/>
                <w:color w:val="auto"/>
              </w:rPr>
            </w:pPr>
          </w:p>
        </w:tc>
        <w:tc>
          <w:tcPr>
            <w:tcW w:w="68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116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2,384</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46</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22"/>
                <w:szCs w:val="2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22"/>
                <w:szCs w:val="2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573</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w w:val="94"/>
              </w:rPr>
              <w:t>526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345</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22"/>
                <w:szCs w:val="2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w:t>
            </w: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3,406</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4"/>
              </w:rPr>
              <w:t>828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2,578</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25"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March 31, 2018 and 2017: (i) equity-based compensation of $3 and $1,</w:t>
      </w:r>
    </w:p>
    <w:p>
      <w:pPr>
        <w:ind w:left="700" w:hanging="206"/>
        <w:spacing w:after="0"/>
        <w:tabs>
          <w:tab w:leader="none" w:pos="700" w:val="left"/>
        </w:tabs>
        <w:numPr>
          <w:ilvl w:val="1"/>
          <w:numId w:val="24"/>
        </w:numPr>
        <w:rPr>
          <w:rFonts w:ascii="Arial" w:cs="Arial" w:eastAsia="Arial" w:hAnsi="Arial"/>
          <w:sz w:val="14"/>
          <w:szCs w:val="14"/>
          <w:color w:val="auto"/>
        </w:rPr>
      </w:pPr>
      <w:r>
        <w:rPr>
          <w:rFonts w:ascii="Arial" w:cs="Arial" w:eastAsia="Arial" w:hAnsi="Arial"/>
          <w:sz w:val="14"/>
          <w:szCs w:val="14"/>
          <w:color w:val="auto"/>
        </w:rPr>
        <w:t>interest expense of $21 and $11, and (iii) depreciation and amortization expense of $34 and $29,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increased $2,644 in the three months ended March 31, 2018 compared to the same period of 2017 due to higher traffic related to a detour resulting in the diversion of trains onto our track. The increase reflects $3,025 of higher freight transportation revenue partially offset by a $381 decrease in switching and other rail service revenue.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Total expenses decreased $87 in the three months ended March 31, 2018 compared to the three months ended March 31, 2017 primarily due to lower operating expenses. The decrease in operating expenses of $106 reflects lower (i) general operating expense of $1,197 due to certain tax benefits taken in the three months ended March 31, 2018 for the 2017 annual period that were enacted during 2017, (ii) fuel expense of $183 and (iii) professional fees of $55. Partially offsetting these decreases was higher expenses of (i) $1,004 pertaining to the increased traffic resulting from the diversion of trains onto our track and (ii) $325 relating to compensation and benefits.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(Non-GAAP)</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Income increased $2,401 in the three months ended March 31, 2018 compared to the three months ended March 31, 2017. In addition to the changes in net income attributable to shareholders noted above, Adjusted Net Income was impacted by higher equity-based compensation expense of $18.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Adjusted EBITDA was $3,406 in the three months ended March 31, 2018, increasing $2,578 as compared to the three months ended March 31, 2017. In addition to the changes in net income attributable to shareholders noted above, Adjusted EBITDA was also impacted by an increase in interest expense of $146 and higher equity-based compensation expense of $18 in the three months ended March 31, 2018, compared to the three months ended March 31, 2017.</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47"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00497F"/>
        </w:rPr>
        <w:t>Ports and Terminals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(loss) attributable to shareholders to Adjusted Net Loss for Ports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Terminals for the three months ended March 31,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197"/>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8240" w:type="dxa"/>
            <w:vAlign w:val="bottom"/>
          </w:tcPr>
          <w:p>
            <w:pPr>
              <w:ind w:left="80"/>
              <w:spacing w:after="0"/>
              <w:rPr>
                <w:sz w:val="20"/>
                <w:szCs w:val="20"/>
                <w:color w:val="auto"/>
              </w:rPr>
            </w:pPr>
            <w:r>
              <w:rPr>
                <w:rFonts w:ascii="Arial" w:cs="Arial" w:eastAsia="Arial" w:hAnsi="Arial"/>
                <w:sz w:val="14"/>
                <w:szCs w:val="14"/>
                <w:color w:val="auto"/>
              </w:rPr>
              <w:t>Lease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382</w:t>
            </w:r>
          </w:p>
        </w:tc>
        <w:tc>
          <w:tcPr>
            <w:tcW w:w="12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366</w:t>
            </w:r>
          </w:p>
        </w:tc>
      </w:tr>
      <w:tr>
        <w:trPr>
          <w:trHeight w:val="270"/>
        </w:trPr>
        <w:tc>
          <w:tcPr>
            <w:tcW w:w="8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revenue</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760</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744</w:t>
            </w:r>
          </w:p>
        </w:tc>
      </w:tr>
      <w:tr>
        <w:trPr>
          <w:trHeight w:val="270"/>
        </w:trPr>
        <w:tc>
          <w:tcPr>
            <w:tcW w:w="8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1,487</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809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805</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3,462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1,172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2,290</w:t>
            </w: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(1,546)</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(1,542)</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income (loss) attributable to non-controlling interest in consolidated subsidiaries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(1,662)</w:t>
            </w: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color w:val="auto"/>
              </w:rPr>
              <w:t>Add: (Benefit from) provision for income taxes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(1,603)</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81"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Ports and Terminals for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31, 2018 and 2017:</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(2,707)</w:t>
            </w:r>
          </w:p>
        </w:tc>
        <w:tc>
          <w:tcPr>
            <w:tcW w:w="120" w:type="dxa"/>
            <w:vAlign w:val="bottom"/>
          </w:tcPr>
          <w:p>
            <w:pPr>
              <w:spacing w:after="0"/>
              <w:rPr>
                <w:sz w:val="21"/>
                <w:szCs w:val="21"/>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(1,662)</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provision for income taxes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809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805</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r>
      <w:tr>
        <w:trPr>
          <w:trHeight w:val="243"/>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Adjusted EBITDA</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(773)</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three months ended March 31, 2018, total revenue increased $744 consisting of $366 of higher lease income from leases in place at Long Ridge (acquired in June 2017), as well as $378 of other revenue, relating to services performed for lessees at Long Ridge.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Total expenses increased $2,290 for the three months ended March 31, 2018 compared to the three months ended March 31, 2017. The increase primarily reflects higher operating expenses of $1,487, which consisted of (i) compensation and benefits expenses of $477 as a result of additional employees hired at Long Ridge, (ii) facility operations of $410, (iii) insurance expense of $157 and (iv) other operating expenses of $443. Depreciation expense increased $805 for the three months ended March 31, 2018 compared to the three months ended March 31, 2017 due to the acquisition of Long Ridge in the second quarter of 2017 as well as the placement of additional assets into service at Repauno.</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Loss increased $1,603 for the three months ended March 31, 2018 compared to the same period of 2017 due to the changes in net loss attributable to shareholders noted above, offset by equity based compensation of $63.</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EBITDA was $(1,564) and $(791) for the three months ended March 31, 2018 and 2017, respectively. In addition to the changes in net loss attributable to shareholders noted above, Adjusted EBITDA for the three months ended March 31, 2018 includes depreciation expense of $809, which represents an increase of $805 compared to the three months ended March 31, 2017.</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93"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00497F"/>
        </w:rPr>
        <w:t>Corporate</w:t>
      </w:r>
    </w:p>
    <w:p>
      <w:pPr>
        <w:spacing w:after="0" w:line="14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Corporate for the three months ended March 31, 2018 and 2017: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3,586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1,609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372</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6,853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4,993</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15,787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10,825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4,962</w:t>
            </w:r>
          </w:p>
        </w:tc>
      </w:tr>
      <w:tr>
        <w:trPr>
          <w:trHeight w:val="297"/>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2,456</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2,456</w:t>
            </w: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(15,787)</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(13,281)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(2,506)</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(15,787)</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(13,281)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(2,506)</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(15,787)</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(13,281)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(2,506)</w:t>
            </w: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(2,456)</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(14,169)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(9,588)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(4,581)</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581" w:right="239" w:bottom="1440" w:gutter="0" w:footer="0" w:header="0"/>
        </w:sectPr>
      </w:pPr>
    </w:p>
    <w:bookmarkStart w:id="59" w:name="page60"/>
    <w:bookmarkEnd w:id="59"/>
    <w:p>
      <w:pPr>
        <w:ind w:right="180"/>
        <w:spacing w:after="0" w:line="260"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Corporate for the three months ended March 31,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250"/>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(15,787)</w:t>
            </w:r>
          </w:p>
        </w:tc>
        <w:tc>
          <w:tcPr>
            <w:tcW w:w="120" w:type="dxa"/>
            <w:vAlign w:val="bottom"/>
          </w:tcPr>
          <w:p>
            <w:pPr>
              <w:spacing w:after="0"/>
              <w:rPr>
                <w:sz w:val="21"/>
                <w:szCs w:val="21"/>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(13,281)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(2,506)</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(2,456)</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4,993</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412</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Total expenses increased $4,962 in the three months ended March 31, 2018 compared to the three months ended March 31, 2017. The increase primarily consists of higher interest expense of $4,993 related Senior Notes issued throughout 2017. General and administrative costs decreased $249 and reflected (i) $327 of lower general corporate costs, (ii) $23 in lower reimbursement expenses to our Manager, and (iii) $5 of lower insurance expense. Partially offsetting these decreases was higher directors fees of $84 resulting from the additions of two new directors in 2018, and other expenses of $22. Acquisition and transaction costs increased $372, reflecting $454 of higher reimbursement expenses to our Manager, partially offset by $82 of lower legal expenses.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expenses decreased $2,456 in the three months ended March 31, 2018 compared to the same period in 2017. The decrease is due to a loss on extinguishment of debt incurred in the prior period.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Loss was $14,169 in the three months ended March 31, 2018, increasing $4,581 compared to the three months ended March 31, 2017. In addition to the changes in net loss attributable to shareholders noted above, Adjusted Net Loss was reduced by $2,456 in 2017 related to the extinguishment of debt. There was no extinguishment in 2018.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Adjusted EBITDA was $(7,316) for the three months ended March 31, 2018, increasing $412 compared to the same period in 2017. In addition to the changes in net loss attributable to shareholders noted above, Adjusted EBITDA includes the impact of higher interest expense of $4,993 related to the Senior Notes issued throughout March 2017. Adjusted EBITDA for the 2017 period reflects the impact of losses on the extinguishment of debt. There was no extinguishment in 2018.</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w:t>
      </w:r>
    </w:p>
    <w:p>
      <w:pPr>
        <w:spacing w:after="0" w:line="5" w:lineRule="exact"/>
        <w:rPr>
          <w:sz w:val="20"/>
          <w:szCs w:val="20"/>
          <w:color w:val="auto"/>
        </w:rPr>
      </w:pPr>
    </w:p>
    <w:p>
      <w:pPr>
        <w:ind w:firstLine="8"/>
        <w:spacing w:after="0" w:line="260" w:lineRule="auto"/>
        <w:tabs>
          <w:tab w:leader="none" w:pos="2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expenses associated with our operating activities, and (iv) debt service obligations associated with our investments (all dollar amounts are expressed in thousands).</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the three months ended March 31, 2018 and 2017, cash used for the purpose of making investments was $119,626 and $98,265, respectively.</w:t>
      </w:r>
    </w:p>
    <w:p>
      <w:pPr>
        <w:spacing w:after="0" w:line="167"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the three months ended March 31, 2018 and 2017, dividends to shareholders were $27,333 and $25,013, respectively, and no distributions were made to non-controlling interests.</w:t>
      </w:r>
    </w:p>
    <w:p>
      <w:pPr>
        <w:spacing w:after="0" w:line="141"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93" w:right="23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debt securities, (iii) proceeds from asset sales and (iv) proceeds from the issuance of common shares.</w:t>
      </w:r>
    </w:p>
    <w:p>
      <w:pPr>
        <w:spacing w:after="0" w:line="147" w:lineRule="exact"/>
        <w:rPr>
          <w:sz w:val="20"/>
          <w:szCs w:val="20"/>
          <w:color w:val="auto"/>
        </w:rPr>
      </w:pPr>
    </w:p>
    <w:p>
      <w:pPr>
        <w:ind w:left="660" w:hanging="328"/>
        <w:spacing w:after="0" w:line="26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three months ended March 31, 2018 and 2017, cash flows from operating activities, plus the principal collections on finance leases and maintenance reserve collections were $21,319 and $22,214, respectively.</w:t>
      </w:r>
    </w:p>
    <w:p>
      <w:pPr>
        <w:spacing w:after="0" w:line="14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three months ended March 31, 2018, additional borrowings were obtained in connection with the Jefferson Revolver of $13,000, net of financing costs, and the CMQR Credit Agreement of $5,600. We made total principal repayments of $12,612, primarily relating to the FTAI Pride Credit Agreement and the CMQR Credit Agreement. During three months ended March 31, 2017, additional borrowings were obtained in connection with the Term Loan of $97,163, net of deferred financing costs and the Senior Notes of $137,248, net of deferred financing costs and the repayment of the Term Loan. We made total principal repayments of $1,562 primarily related to the of the FTAI Pride Credit Agreement.</w:t>
      </w:r>
    </w:p>
    <w:p>
      <w:pPr>
        <w:spacing w:after="0" w:line="149"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three months ended March 31, 2018 and 2017, proceeds from the sale of assets were $6,174 and $9,886, respectively.</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three months ended March 31, 2018, proceeds from the issuance of common shares were $128,450, net of issuance costs of $2,100.</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net cash provided by operating activities has been less than the amount of distributions to our shareholders. Our board of directors takes this and other factors into account as part of any decision to pay a dividend, and the timing and amount of any future dividend is subject to change at the discretion of our board of directors.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is currently evaluating several potential Infrastructure and Equipment Leasing transactions, which could occur within the next 12 months. However, as of the date of this filing, none of these pipeline transactions or negotiations are definitive or included within the planned liquidity needs of the Company. We cannot assure you if or when any such transaction will be consummated or the terms of any such transaction.</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has a dividend reinvestment plan in place which allows shareholders to automatically reinvest dividends in the Company’s common shares. The plan became effective on February 24, 2017.</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three months ended March 31, 2018 and March 31, 2017</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three months ended March 31, 2018 and March 31,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4"/>
          </w:tcPr>
          <w:p>
            <w:pPr>
              <w:jc w:val="right"/>
              <w:ind w:right="1268"/>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40" w:type="dxa"/>
            <w:vAlign w:val="bottom"/>
          </w:tcPr>
          <w:p>
            <w:pPr>
              <w:spacing w:after="0"/>
              <w:rPr>
                <w:sz w:val="22"/>
                <w:szCs w:val="22"/>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2018</w:t>
            </w:r>
          </w:p>
        </w:tc>
        <w:tc>
          <w:tcPr>
            <w:tcW w:w="340" w:type="dxa"/>
            <w:vAlign w:val="bottom"/>
          </w:tcPr>
          <w:p>
            <w:pPr>
              <w:spacing w:after="0"/>
              <w:rPr>
                <w:sz w:val="22"/>
                <w:szCs w:val="22"/>
                <w:color w:val="auto"/>
              </w:rPr>
            </w:pPr>
          </w:p>
        </w:tc>
        <w:tc>
          <w:tcPr>
            <w:tcW w:w="1700" w:type="dxa"/>
            <w:vAlign w:val="bottom"/>
          </w:tcPr>
          <w:p>
            <w:pPr>
              <w:jc w:val="right"/>
              <w:ind w:right="388"/>
              <w:spacing w:after="0"/>
              <w:rPr>
                <w:sz w:val="20"/>
                <w:szCs w:val="20"/>
                <w:color w:val="auto"/>
              </w:rPr>
            </w:pPr>
            <w:r>
              <w:rPr>
                <w:rFonts w:ascii="Arial" w:cs="Arial" w:eastAsia="Arial" w:hAnsi="Arial"/>
                <w:sz w:val="14"/>
                <w:szCs w:val="14"/>
                <w:b w:val="1"/>
                <w:bCs w:val="1"/>
                <w:color w:val="auto"/>
              </w:rPr>
              <w:t>March 31, 2017</w:t>
            </w:r>
          </w:p>
        </w:tc>
      </w:tr>
      <w:tr>
        <w:trPr>
          <w:trHeight w:val="270"/>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3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4"/>
        </w:trPr>
        <w:tc>
          <w:tcPr>
            <w:tcW w:w="7200" w:type="dxa"/>
            <w:vAlign w:val="bottom"/>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ind w:right="48"/>
              <w:spacing w:after="0"/>
              <w:rPr>
                <w:sz w:val="20"/>
                <w:szCs w:val="20"/>
                <w:color w:val="auto"/>
              </w:rPr>
            </w:pPr>
            <w:r>
              <w:rPr>
                <w:rFonts w:ascii="Arial" w:cs="Arial" w:eastAsia="Arial" w:hAnsi="Arial"/>
                <w:sz w:val="14"/>
                <w:szCs w:val="14"/>
                <w:b w:val="1"/>
                <w:bCs w:val="1"/>
                <w:color w:val="auto"/>
              </w:rPr>
              <w:t>11,470</w:t>
            </w:r>
          </w:p>
        </w:tc>
        <w:tc>
          <w:tcPr>
            <w:tcW w:w="10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17,680</w:t>
            </w:r>
          </w:p>
        </w:tc>
      </w:tr>
      <w:tr>
        <w:trPr>
          <w:trHeight w:val="276"/>
        </w:trPr>
        <w:tc>
          <w:tcPr>
            <w:tcW w:w="72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(113,483)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(88,209)</w:t>
            </w:r>
          </w:p>
        </w:tc>
      </w:tr>
      <w:tr>
        <w:trPr>
          <w:trHeight w:val="258"/>
        </w:trPr>
        <w:tc>
          <w:tcPr>
            <w:tcW w:w="7200" w:type="dxa"/>
            <w:vAlign w:val="bottom"/>
          </w:tcPr>
          <w:p>
            <w:pPr>
              <w:ind w:left="50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ind w:right="48"/>
              <w:spacing w:after="0"/>
              <w:rPr>
                <w:sz w:val="20"/>
                <w:szCs w:val="20"/>
                <w:color w:val="auto"/>
              </w:rPr>
            </w:pPr>
            <w:r>
              <w:rPr>
                <w:rFonts w:ascii="Arial" w:cs="Arial" w:eastAsia="Arial" w:hAnsi="Arial"/>
                <w:sz w:val="14"/>
                <w:szCs w:val="14"/>
                <w:b w:val="1"/>
                <w:bCs w:val="1"/>
                <w:color w:val="auto"/>
              </w:rPr>
              <w:t>115,946</w:t>
            </w:r>
          </w:p>
        </w:tc>
        <w:tc>
          <w:tcPr>
            <w:tcW w:w="10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214,287</w:t>
            </w:r>
          </w:p>
        </w:tc>
      </w:tr>
    </w:tbl>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Net cash provided by operating activities was $11,470 in the three months ended March 31, 2018 as compared to $17,680 in the three months ended March 31, 2017, representing a $6,210 decrease. Net loss was $9,333 for the three months ended March 31, 2018, compared $9,212 for the three months ended March 31, 2017, an increase in net loss of $121. The decrease was attributable to changes in (i) other assets of $10,051 due to the settlement of maintenance right assets in the three months ended March 31, 2017, (ii) in accounts receivable of $5,761and (ii) accounts payable of $4,776 due to the expansion of business operations across all segments. The decrease was offset by adjustments to reconcile net income which include an increase of (i) $12,210 relating to depreciation and amortization, (ii) $5,277 relating to amortization of lease intangibles and incentives, (iii) $1,410 relating to bad debt expense and (iv) $2,023 of losses on the sale of leasing equipment, offset by a decrease of $2,456 of loss on extinguishment of debt and $1,361 in equity in losses of unconsolidated entities.</w:t>
      </w:r>
    </w:p>
    <w:p>
      <w:pPr>
        <w:spacing w:after="0" w:line="34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Net cash used in investing activities was $113,483 in the three months ended March 31, 2018 as compared to $88,209 in the three months ended March 31, 2017, representing a $25,274 increase. Cash used in investing activities increased due to the acquisition of leasing equipment and lease intangibles of $19,377 in the Aviation Leasing segment and the acquisition of property, plant and equipment of $8,845 mainly due to on going capital projects at Repauno and Jefferson Terminal, offset by a decrease in cash used in investments in unconsolidated entities of $13,539 and proceeds from the sale of leasing equipment of $3,698 in three months ended March 31, 2018 as compared to the three months ended March 31, 2017.</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47" w:right="239" w:bottom="1440" w:gutter="0" w:footer="0" w:header="0"/>
        </w:sectPr>
      </w:pPr>
    </w:p>
    <w:bookmarkStart w:id="61" w:name="page62"/>
    <w:bookmarkEnd w:id="61"/>
    <w:p>
      <w:pPr>
        <w:jc w:val="both"/>
        <w:spacing w:after="0" w:line="250" w:lineRule="auto"/>
        <w:rPr>
          <w:sz w:val="20"/>
          <w:szCs w:val="20"/>
          <w:color w:val="auto"/>
        </w:rPr>
      </w:pPr>
      <w:r>
        <w:rPr>
          <w:rFonts w:ascii="Arial" w:cs="Arial" w:eastAsia="Arial" w:hAnsi="Arial"/>
          <w:sz w:val="16"/>
          <w:szCs w:val="16"/>
          <w:color w:val="auto"/>
        </w:rPr>
        <w:t>Net cash provided by financing activities was $115,946 in the three months ended March 31, 2018 as compared to $214,287 in the three months ended March 31, 2017, representing a $98,341 decrease. This was attributable to a $216,811 decrease in proceeds from borrowings, mainly attributable to the Senior Notes and an increase of $11,050 on the repayment of debt, mainly attributable to repayments under the CMQR Credit Agreement. These decreases were offset by an increase of $128,450 from proceeds for the issuance of common stock net of issuance costs and an increase in receipt of maintenance deposits of $5,296.</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uses Funds Available for Distribution (“FAD”) in evaluating its ability to meet its stated dividend policy. FAD is not a financial measure in accordance with GAAP. The GAAP measure most directly comparable to FAD is net cash provided by operating activities. The Company believes FAD is a useful metric for investors and analysts for similar purposes.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defines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4"/>
          </w:tcPr>
          <w:p>
            <w:pPr>
              <w:jc w:val="right"/>
              <w:ind w:right="1308"/>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00" w:type="dxa"/>
            <w:vAlign w:val="bottom"/>
          </w:tcPr>
          <w:p>
            <w:pPr>
              <w:spacing w:after="0"/>
              <w:rPr>
                <w:sz w:val="22"/>
                <w:szCs w:val="22"/>
                <w:color w:val="auto"/>
              </w:rPr>
            </w:pPr>
          </w:p>
        </w:tc>
        <w:tc>
          <w:tcPr>
            <w:tcW w:w="18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2018</w:t>
            </w:r>
          </w:p>
        </w:tc>
        <w:tc>
          <w:tcPr>
            <w:tcW w:w="320" w:type="dxa"/>
            <w:vAlign w:val="bottom"/>
          </w:tcPr>
          <w:p>
            <w:pPr>
              <w:spacing w:after="0"/>
              <w:rPr>
                <w:sz w:val="22"/>
                <w:szCs w:val="22"/>
                <w:color w:val="auto"/>
              </w:rPr>
            </w:pPr>
          </w:p>
        </w:tc>
        <w:tc>
          <w:tcPr>
            <w:tcW w:w="1720" w:type="dxa"/>
            <w:vAlign w:val="bottom"/>
          </w:tcPr>
          <w:p>
            <w:pPr>
              <w:jc w:val="right"/>
              <w:ind w:right="428"/>
              <w:spacing w:after="0"/>
              <w:rPr>
                <w:sz w:val="20"/>
                <w:szCs w:val="20"/>
                <w:color w:val="auto"/>
              </w:rPr>
            </w:pPr>
            <w:r>
              <w:rPr>
                <w:rFonts w:ascii="Arial" w:cs="Arial" w:eastAsia="Arial" w:hAnsi="Arial"/>
                <w:sz w:val="14"/>
                <w:szCs w:val="14"/>
                <w:b w:val="1"/>
                <w:bCs w:val="1"/>
                <w:color w:val="auto"/>
              </w:rPr>
              <w:t>March 31, 2017</w:t>
            </w:r>
          </w:p>
        </w:tc>
      </w:tr>
      <w:tr>
        <w:trPr>
          <w:trHeight w:val="216"/>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11,470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17,680</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Add: Principal Collections on Finance Leases</w:t>
            </w:r>
          </w:p>
        </w:tc>
        <w:tc>
          <w:tcPr>
            <w:tcW w:w="300" w:type="dxa"/>
            <w:vAlign w:val="bottom"/>
          </w:tcPr>
          <w:p>
            <w:pPr>
              <w:spacing w:after="0"/>
              <w:rPr>
                <w:sz w:val="18"/>
                <w:szCs w:val="18"/>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110</w:t>
            </w:r>
          </w:p>
        </w:tc>
      </w:tr>
      <w:tr>
        <w:trPr>
          <w:trHeight w:val="22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Proceeds from sale of assets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9,885</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Add: Return of Capital Distributions from Unconsolidated Entities</w:t>
            </w:r>
          </w:p>
        </w:tc>
        <w:tc>
          <w:tcPr>
            <w:tcW w:w="3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2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7"/>
                <w:szCs w:val="17"/>
                <w:color w:val="auto"/>
                <w:vertAlign w:val="superscript"/>
              </w:rPr>
              <w:t>(1)</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Less: Capital Distributions to Non-Controlling Interest</w:t>
            </w:r>
          </w:p>
        </w:tc>
        <w:tc>
          <w:tcPr>
            <w:tcW w:w="3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Exclude: Changes in Working Capital</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18,226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(4,365)</w:t>
            </w:r>
          </w:p>
        </w:tc>
      </w:tr>
      <w:tr>
        <w:trPr>
          <w:trHeight w:val="216"/>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Funds Available for Distribution (FAD)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34,437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21,748</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w:t>
      </w:r>
    </w:p>
    <w:p>
      <w:pPr>
        <w:spacing w:after="0" w:line="170" w:lineRule="exact"/>
        <w:rPr>
          <w:sz w:val="20"/>
          <w:szCs w:val="20"/>
          <w:color w:val="auto"/>
        </w:rPr>
      </w:pPr>
    </w:p>
    <w:p>
      <w:pPr>
        <w:ind w:left="500" w:hanging="492"/>
        <w:spacing w:after="0"/>
        <w:tabs>
          <w:tab w:leader="none" w:pos="162"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Required payments on debt obligations for the three months ended March 31, 2018 excludes $11,050 repayment of the CMQR Credit Agreement, and for the three months ended March 31, 2017 excludes $100,000 repayment of the Term Loan, both of which were voluntary refinancings as repayment of these amounts was not required at such time.</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FAD is subject to a number of limitations and assumptions and there can be no assurance that the Company will generate FAD sufficient to meet its intended dividends. FAD has material limitations as a liquidity measure of the Company because such measure excludes items that are required elements of the Company’s net cash provided by operating activities as described below. FAD should not be considered in isolation nor as a substitute for analysis of the Company’s results of operations under GAAP, and it is not the only metric that should be considered in evaluating the Company’s ability to meet its stated dividend policy. Specifically:</w:t>
      </w:r>
    </w:p>
    <w:p>
      <w:pPr>
        <w:spacing w:after="0" w:line="149" w:lineRule="exact"/>
        <w:rPr>
          <w:sz w:val="20"/>
          <w:szCs w:val="20"/>
          <w:color w:val="auto"/>
        </w:rPr>
      </w:pPr>
    </w:p>
    <w:p>
      <w:pPr>
        <w:ind w:left="66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include equity capital called from the Company’s existing limited partners, proceeds from any debt issuance or future equity offering, historical cash and cash equivalents and expected investments in the Company’s operations.</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6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the Company relies on alternative sources of liquidity to fund such purchases.</w:t>
      </w:r>
    </w:p>
    <w:p>
      <w:pPr>
        <w:spacing w:after="0" w:line="141"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the Company has multiple sources of liquidity and intends to fund these expenditures with future incurrences of indebtedness, additional capital contributions and/or future issuances of equity.</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67"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141"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the Company is not bound by any contractual provision that requires it to use cash for distributions.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47"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the Company’s presentation of FAD.</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of the Consolidated Financial Statements for detail.</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8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following table summarizes our future obligations, by period due, as of March 31, 2018, under our various contractual obligations and commitments. We had no off-balance sheet arrangements as of March 31, 2018.</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top w:val="single" w:sz="8" w:color="auto"/>
            </w:tcBorders>
            <w:vMerge w:val="restart"/>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6"/>
        </w:trPr>
        <w:tc>
          <w:tcPr>
            <w:tcW w:w="2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740" w:type="dxa"/>
            <w:vAlign w:val="bottom"/>
          </w:tcPr>
          <w:p>
            <w:pPr>
              <w:ind w:left="40"/>
              <w:spacing w:after="0"/>
              <w:rPr>
                <w:sz w:val="20"/>
                <w:szCs w:val="20"/>
                <w:color w:val="auto"/>
              </w:rPr>
            </w:pPr>
            <w:r>
              <w:rPr>
                <w:rFonts w:ascii="Arial" w:cs="Arial" w:eastAsia="Arial" w:hAnsi="Arial"/>
                <w:sz w:val="14"/>
                <w:szCs w:val="14"/>
                <w:color w:val="auto"/>
              </w:rPr>
              <w:t>FTAI Pride Credit Agreement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4,688</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47,743</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52,431</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CMQR Credit Agreement</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17,350</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Series 2012 Bonds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1,545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33,660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42,765</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Series 2016 Bonds</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144,200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Senior Notes</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450,000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Jefferson Revolver</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13,511</w:t>
            </w:r>
          </w:p>
        </w:tc>
        <w:tc>
          <w:tcPr>
            <w:tcW w:w="0" w:type="dxa"/>
            <w:vAlign w:val="bottom"/>
          </w:tcPr>
          <w:p>
            <w:pPr>
              <w:spacing w:after="0"/>
              <w:rPr>
                <w:sz w:val="1"/>
                <w:szCs w:val="1"/>
                <w:color w:val="auto"/>
              </w:rPr>
            </w:pPr>
          </w:p>
        </w:tc>
      </w:tr>
      <w:tr>
        <w:trPr>
          <w:trHeight w:val="174"/>
        </w:trPr>
        <w:tc>
          <w:tcPr>
            <w:tcW w:w="2740" w:type="dxa"/>
            <w:vAlign w:val="bottom"/>
          </w:tcPr>
          <w:p>
            <w:pPr>
              <w:ind w:left="40"/>
              <w:spacing w:after="0"/>
              <w:rPr>
                <w:sz w:val="20"/>
                <w:szCs w:val="20"/>
                <w:color w:val="auto"/>
              </w:rPr>
            </w:pPr>
            <w:r>
              <w:rPr>
                <w:rFonts w:ascii="Arial" w:cs="Arial" w:eastAsia="Arial" w:hAnsi="Arial"/>
                <w:sz w:val="14"/>
                <w:szCs w:val="14"/>
                <w:color w:val="auto"/>
              </w:rPr>
              <w:t>Total principal payments on loans and</w:t>
            </w: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bonds payable</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6,233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66,763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146,010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15,471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452,120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33,660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720,257</w:t>
            </w:r>
          </w:p>
        </w:tc>
        <w:tc>
          <w:tcPr>
            <w:tcW w:w="0" w:type="dxa"/>
            <w:vAlign w:val="bottom"/>
          </w:tcPr>
          <w:p>
            <w:pPr>
              <w:spacing w:after="0"/>
              <w:rPr>
                <w:sz w:val="1"/>
                <w:szCs w:val="1"/>
                <w:color w:val="auto"/>
              </w:rPr>
            </w:pPr>
          </w:p>
        </w:tc>
      </w:tr>
      <w:tr>
        <w:trPr>
          <w:trHeight w:val="324"/>
        </w:trPr>
        <w:tc>
          <w:tcPr>
            <w:tcW w:w="2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7"/>
                <w:szCs w:val="17"/>
                <w:color w:val="auto"/>
                <w:vertAlign w:val="superscript"/>
              </w:rPr>
              <w:t>(1)</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39,316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46,206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34,870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33,408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15,683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178,675</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 to third-party (Repauno)</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5,500</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Operating lease obligations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3,698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69,033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85,839</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48,807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51,285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38,909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36,147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11,419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84,723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271,290</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contractual obligations</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55,040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118,048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184,919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51,618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463,539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991,547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4"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Estimated interest rates as of March 31, 2018.</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006EBF"/>
        </w:rPr>
        <w:t>Item 3.</w:t>
      </w:r>
      <w:r>
        <w:rPr>
          <w:sz w:val="20"/>
          <w:szCs w:val="20"/>
          <w:color w:val="auto"/>
        </w:rPr>
        <w:tab/>
      </w:r>
      <w:r>
        <w:rPr>
          <w:rFonts w:ascii="Arial" w:cs="Arial" w:eastAsia="Arial" w:hAnsi="Arial"/>
          <w:sz w:val="17"/>
          <w:szCs w:val="17"/>
          <w:b w:val="1"/>
          <w:bCs w:val="1"/>
          <w:color w:val="006EBF"/>
        </w:rPr>
        <w:t>Quantitative and Qualitative Disclosures About Market Risk</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47" w:right="239" w:bottom="1440" w:gutter="0" w:footer="0" w:header="0"/>
        </w:sectPr>
      </w:pPr>
    </w:p>
    <w:bookmarkStart w:id="63" w:name="page64"/>
    <w:bookmarkEnd w:id="63"/>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March 31, 2018,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$644 and $(656), respectively, over the next 12 months before the impact of interest rate derivatives.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Foreign Currency Exchange Risk</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54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on the evaluation of our disclosure controls and procedures as of March 31, 2018, and due to the material weakness in our internal control over financial reporting described in Management’s Report on Internal Control over Financial Reporting included in our Annual Report on Form 10-K for the year ended December 31, 2017 filed with the Securities and Exchange Commission on March 1, 2018, our Chief Executive Officer and Chief Financial Officer concluded that, as of such date, our disclosure controls and procedures were not effective.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 change other than certain remediation efforts related to the Company’s internal control over financial reporting (as defined in Rule 13a-15(f) under the Exchange Act) occurred during its most recent fiscal quarter that has materially affected, or is reasonably likely to materially affect, its internal control over financial reporting. We have made no significant changes in our remediation plans during the three months ended March 31, 2018 that could materially affect, or are reasonably likely to materially affect, our internal control over financial reporting. For further information with regard to our “Remediation Plans,” please refer to Item 9A of our Annual Report on Form 10-K for the year ended December 31, 2017 filed with the Securities and Exchange Commission on March 1, 2018.</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common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In particular, the significant decline in oil prices since 2015 has resulted in lower offshore exploration and production budgets worldwide, with industry experts predicting that offshore exploration and production spending will decrease by approximately 5% in 2018, as compared to 2017.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630" w:right="239" w:bottom="1440" w:gutter="0" w:footer="0" w:header="0"/>
        </w:sectPr>
      </w:pPr>
    </w:p>
    <w:bookmarkStart w:id="65" w:name="page66"/>
    <w:bookmarkEnd w:id="65"/>
    <w:p>
      <w:pPr>
        <w:jc w:val="both"/>
        <w:spacing w:after="0" w:line="251" w:lineRule="auto"/>
        <w:rPr>
          <w:sz w:val="20"/>
          <w:szCs w:val="20"/>
          <w:color w:val="auto"/>
        </w:rPr>
      </w:pPr>
      <w:r>
        <w:rPr>
          <w:rFonts w:ascii="Arial" w:cs="Arial" w:eastAsia="Arial" w:hAnsi="Arial"/>
          <w:sz w:val="16"/>
          <w:szCs w:val="16"/>
          <w:color w:val="auto"/>
        </w:rPr>
        <w:t>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20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railroad infrastructure may be damaged, including by flooding and railroad derailments;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601"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581" w:right="239" w:bottom="1440" w:gutter="0" w:footer="0" w:header="0"/>
        </w:sectPr>
      </w:pPr>
    </w:p>
    <w:bookmarkStart w:id="67" w:name="page68"/>
    <w:bookmarkEnd w:id="67"/>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39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China and Malaysia, it may become more difficult and expensive to enforce our rights and recover our assets.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581"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the assets that we purchase may fluctuate due to various factors.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581" w:right="239" w:bottom="1440" w:gutter="0" w:footer="0" w:header="0"/>
        </w:sectPr>
      </w:pPr>
    </w:p>
    <w:bookmarkStart w:id="69" w:name="page70"/>
    <w:bookmarkEnd w:id="69"/>
    <w:p>
      <w:pPr>
        <w:jc w:val="both"/>
        <w:spacing w:after="0" w:line="260" w:lineRule="auto"/>
        <w:rPr>
          <w:sz w:val="20"/>
          <w:szCs w:val="20"/>
          <w:color w:val="auto"/>
        </w:rPr>
      </w:pPr>
      <w:r>
        <w:rPr>
          <w:rFonts w:ascii="Arial" w:cs="Arial" w:eastAsia="Arial" w:hAnsi="Arial"/>
          <w:sz w:val="16"/>
          <w:szCs w:val="16"/>
          <w:color w:val="auto"/>
        </w:rPr>
        <w:t>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3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601" w:right="239" w:bottom="1440" w:gutter="0" w:footer="0" w:header="0"/>
        </w:sectPr>
      </w:pPr>
    </w:p>
    <w:bookmarkStart w:id="70" w:name="page71"/>
    <w:bookmarkEnd w:id="70"/>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March 31, 2018 and we do not anticipate any expenditures relating to environmental clean-up (including impacts to the Chaudière River) as a result of the Incident.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581" w:right="239" w:bottom="1440"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Shipping Containers segment is affected by the lack of an international title registry for containers, which increases the risk of ownership disputes.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19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221" w:lineRule="exact"/>
        <w:rPr>
          <w:rFonts w:ascii="Arial" w:cs="Arial" w:eastAsia="Arial" w:hAnsi="Arial"/>
          <w:sz w:val="16"/>
          <w:szCs w:val="16"/>
          <w:color w:val="auto"/>
        </w:rPr>
      </w:pPr>
    </w:p>
    <w:p>
      <w:pPr>
        <w:ind w:left="5620" w:right="4720" w:hanging="5288"/>
        <w:spacing w:after="0" w:line="577" w:lineRule="auto"/>
        <w:tabs>
          <w:tab w:leader="none" w:pos="6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 72</w:t>
      </w:r>
    </w:p>
    <w:p>
      <w:pPr>
        <w:sectPr>
          <w:pgSz w:w="11900" w:h="16838" w:orient="portrait"/>
          <w:cols w:equalWidth="0" w:num="1">
            <w:col w:w="11420"/>
          </w:cols>
          <w:pgMar w:left="240" w:top="581" w:right="239" w:bottom="1440" w:gutter="0" w:footer="0" w:header="0"/>
        </w:sectPr>
      </w:pPr>
    </w:p>
    <w:bookmarkStart w:id="72" w:name="page73"/>
    <w:bookmarkEnd w:id="72"/>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22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601" w:right="239" w:bottom="1440" w:gutter="0" w:footer="0" w:header="0"/>
        </w:sectPr>
      </w:pPr>
    </w:p>
    <w:bookmarkStart w:id="73" w:name="page74"/>
    <w:bookmarkEnd w:id="73"/>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20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221" w:lineRule="exact"/>
        <w:rPr>
          <w:rFonts w:ascii="Arial" w:cs="Arial" w:eastAsia="Arial" w:hAnsi="Arial"/>
          <w:sz w:val="16"/>
          <w:szCs w:val="16"/>
          <w:color w:val="auto"/>
        </w:rPr>
      </w:pPr>
    </w:p>
    <w:p>
      <w:pPr>
        <w:ind w:left="980" w:hanging="648"/>
        <w:spacing w:after="0" w:line="260" w:lineRule="auto"/>
        <w:tabs>
          <w:tab w:leader="none" w:pos="6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195"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221" w:lineRule="exact"/>
        <w:rPr>
          <w:rFonts w:ascii="Arial" w:cs="Arial" w:eastAsia="Arial" w:hAnsi="Arial"/>
          <w:sz w:val="16"/>
          <w:szCs w:val="16"/>
          <w:color w:val="auto"/>
        </w:rPr>
      </w:pPr>
    </w:p>
    <w:p>
      <w:pPr>
        <w:ind w:left="980" w:hanging="648"/>
        <w:spacing w:after="0" w:line="253" w:lineRule="auto"/>
        <w:tabs>
          <w:tab w:leader="none" w:pos="6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20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221" w:lineRule="exact"/>
        <w:rPr>
          <w:rFonts w:ascii="Arial" w:cs="Arial" w:eastAsia="Arial" w:hAnsi="Arial"/>
          <w:sz w:val="16"/>
          <w:szCs w:val="16"/>
          <w:color w:val="auto"/>
        </w:rPr>
      </w:pPr>
    </w:p>
    <w:p>
      <w:pPr>
        <w:ind w:left="980" w:right="20" w:hanging="648"/>
        <w:spacing w:after="0" w:line="260" w:lineRule="auto"/>
        <w:tabs>
          <w:tab w:leader="none" w:pos="6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195"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581" w:right="239" w:bottom="1440" w:gutter="0" w:footer="0" w:header="0"/>
        </w:sectPr>
      </w:pPr>
    </w:p>
    <w:bookmarkStart w:id="74" w:name="page75"/>
    <w:bookmarkEnd w:id="74"/>
    <w:p>
      <w:pPr>
        <w:ind w:right="420"/>
        <w:spacing w:after="0" w:line="286"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agreements governing our indebtedness, including the indenture governing our Senior Notes, contain covenants that place restrictions on us and our subsidiaries. The indenture governing our Senior Notes restricts, among other things, our and certain of our subsidiaries’ ability to:</w:t>
      </w:r>
    </w:p>
    <w:p>
      <w:pPr>
        <w:spacing w:after="0" w:line="14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merge, consolidate or transfer all, or substantially all, of our assets;</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Because we are a recently formed company with a limited operating history, our historical financial and operating data may not be representative of our future results.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527" w:right="239" w:bottom="1440" w:gutter="0" w:footer="0" w:header="0"/>
        </w:sectPr>
      </w:pPr>
    </w:p>
    <w:bookmarkStart w:id="75" w:name="page76"/>
    <w:bookmarkEnd w:id="75"/>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19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24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581" w:right="239" w:bottom="1440" w:gutter="0" w:footer="0" w:header="0"/>
        </w:sectPr>
      </w:pPr>
    </w:p>
    <w:bookmarkStart w:id="76" w:name="page77"/>
    <w:bookmarkEnd w:id="76"/>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or monitoring obligations, or indemnity obligations and the related insurance, which are subject to limits and conditions, fail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21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0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986" w:right="239" w:bottom="1440" w:gutter="0" w:footer="0" w:header="0"/>
        </w:sectPr>
      </w:pPr>
    </w:p>
    <w:bookmarkStart w:id="77" w:name="page78"/>
    <w:bookmarkEnd w:id="77"/>
    <w:p>
      <w:pPr>
        <w:ind w:right="280"/>
        <w:spacing w:after="0" w:line="260" w:lineRule="auto"/>
        <w:rPr>
          <w:sz w:val="20"/>
          <w:szCs w:val="20"/>
          <w:color w:val="auto"/>
        </w:rPr>
      </w:pPr>
      <w:r>
        <w:rPr>
          <w:rFonts w:ascii="Arial" w:cs="Arial" w:eastAsia="Arial" w:hAnsi="Arial"/>
          <w:sz w:val="16"/>
          <w:szCs w:val="16"/>
          <w:color w:val="auto"/>
        </w:rPr>
        <w:t>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17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17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20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20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Risks Related to Our Manager</w:t>
      </w:r>
    </w:p>
    <w:p>
      <w:pPr>
        <w:spacing w:after="0" w:line="22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Jefferson and CMQR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20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20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601" w:right="25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Industries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and Trac Intermodal. Although we have the same Manager, we may compete with entities affiliated with our Manager or Fortress, including Seacastle Ships Holdings Inc. and Trac Intermodal,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Industries,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580" w:right="239" w:bottom="1440" w:gutter="0" w:footer="0" w:header="0"/>
        </w:sectPr>
      </w:pPr>
    </w:p>
    <w:bookmarkStart w:id="79" w:name="page80"/>
    <w:bookmarkEnd w:id="79"/>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Risks Related to Taxation</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601" w:right="239" w:bottom="1440" w:gutter="0" w:footer="0" w:header="0"/>
        </w:sectPr>
      </w:pPr>
    </w:p>
    <w:bookmarkStart w:id="80" w:name="page81"/>
    <w:bookmarkEnd w:id="80"/>
    <w:p>
      <w:pPr>
        <w:jc w:val="both"/>
        <w:ind w:right="20"/>
        <w:spacing w:after="0" w:line="253" w:lineRule="auto"/>
        <w:rPr>
          <w:sz w:val="20"/>
          <w:szCs w:val="20"/>
          <w:color w:val="auto"/>
        </w:rPr>
      </w:pPr>
      <w:r>
        <w:rPr>
          <w:rFonts w:ascii="Arial" w:cs="Arial" w:eastAsia="Arial" w:hAnsi="Arial"/>
          <w:sz w:val="16"/>
          <w:szCs w:val="16"/>
          <w:color w:val="auto"/>
        </w:rPr>
        <w:t>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certain of our holdings, including holdings, if any, in a Controlled Foreign Corporation (“CFC”) may produce taxable income prior to our receipt of cash relating to such income, and shareholders subject to U.S. federal income tax will be required to take such income into account in determining their taxable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U.S. tax legislation could adversely affect us and our shareholders.</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December 22, 2017, legislation referred to as the “Tax Cuts and Jobs Act” (the “TCJA”) was signed into law. The TCJA is generally effective for taxable years beginning after December 31, 2017. The TCJA includes significant amendments to the Code, including amendments that significantly change the taxation of individuals and business entities, including the taxation of offshore earnings and the deductibility of interest. Some of the amendments could adversely affect our business and financial condition and the value of our common shares.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we are currently evaluating the impact of the TCJA on our business, significant uncertainty exists with respect to how the TCJA will affect our business. Some of this uncertainty will not be resolved until clarifying Treasury regulations are promulgated or other relevant authoritative guidance is published.</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common shares.</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Non-U.S. Holders (defined below) could be subject to U.S. federal income tax, including a 10% withholding tax, on the disposition of our common shares.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common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common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directly engaged in a U.S. trade or business, we are not required to manage our operations in a manner that is intended to avoid the conduct of a U.S. trade or business.</w:t>
      </w:r>
    </w:p>
    <w:p>
      <w:pPr>
        <w:spacing w:after="0" w:line="200" w:lineRule="exact"/>
        <w:rPr>
          <w:sz w:val="20"/>
          <w:szCs w:val="20"/>
          <w:color w:val="auto"/>
        </w:rPr>
      </w:pP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3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601" w:right="239" w:bottom="1440" w:gutter="0" w:footer="0" w:header="0"/>
        </w:sectPr>
      </w:pPr>
    </w:p>
    <w:bookmarkStart w:id="81" w:name="page82"/>
    <w:bookmarkEnd w:id="81"/>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A substantial portion of our income consists of “Subpart F” income (which includes rent and other types of passive income) derived from CFCs.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common shares.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generally would be required to file U.S. federal income tax returns and would be subject to U.S. federal withholding tax on their allocable share of the effectively connected income on gain at the highest marginal U.S. federal income tax rates applicable to ordinary income. Non-U.S. persons that are corporations may also be subject to a branch profits tax on their allocable share of such income. Non-U.S. persons should anticipate being required to file U.S. tax returns and may be required to pay U.S. tax solely on account of owning our common shares.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601" w:right="239" w:bottom="1440" w:gutter="0" w:footer="0" w:header="0"/>
        </w:sectPr>
      </w:pPr>
    </w:p>
    <w:bookmarkStart w:id="82" w:name="page83"/>
    <w:bookmarkEnd w:id="82"/>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our common shares (or held, or were deemed to hold, more than 5% of our common shares) may be subject to U.S. federal income tax upon the disposition of some or all their common shares.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our common shares at any time during the 5-year period preceding such non-U.S. person’s disposition of our common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our common shares (and may have a U.S. tax return filing obligation).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common shares.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an entity classified as a CFC for U.S. federal income tax purposes.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Many of our investments are in non-U.S. corporations or are held through a non-U.S. subsidiary that is classified as a corporation for U.S. federal income tax purposes. Many of these entities are CFCs for U.S. federal income tax purposes. U.S. Holders indirectly owning an interest in a CFC may experience adverse U.S. tax consequences.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581" w:right="239" w:bottom="1440" w:gutter="0" w:footer="0" w:header="0"/>
        </w:sectPr>
      </w:pPr>
    </w:p>
    <w:bookmarkStart w:id="83" w:name="page84"/>
    <w:bookmarkEnd w:id="83"/>
    <w:p>
      <w:pPr>
        <w:jc w:val="both"/>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common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3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3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580"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i w:val="1"/>
          <w:iCs w:val="1"/>
          <w:color w:val="auto"/>
        </w:rPr>
        <w:t>Recently enacted legislation regarding U.S. federal income tax liability arising from IRS audits could adversely affect our shareholders.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Under the new rules, it is possible that certain shareholders or we may be liable for taxes attributable to adjustments to our taxable income with respect to tax years that closed before such shareholders owned our shares. Accordingly, this new legislation may adversely affect certain shareholders in certain cases. This differs from the prior rules, which generally provided that tax adjustments only affect the persons who were shareholders in the tax year in which the item was reported on our tax return. The changes created by the new legislation are uncertain and in many respects depend on the promulgation of future regulations or other guidance by the U.S. Treasury Department or the IRS.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Risks Related to Our Common Shares</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The market price and trading volume of our common shares may be volatile, which could result in rapid and substantial losses for our shareholders.</w:t>
      </w:r>
    </w:p>
    <w:p>
      <w:pPr>
        <w:spacing w:after="0" w:line="200" w:lineRule="exact"/>
        <w:rPr>
          <w:sz w:val="20"/>
          <w:szCs w:val="20"/>
          <w:color w:val="auto"/>
        </w:rPr>
      </w:pP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20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 on Form 10-K for the fiscal year ended December 31, 2017.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581" w:right="239" w:bottom="1440" w:gutter="0" w:footer="0" w:header="0"/>
        </w:sectPr>
      </w:pPr>
    </w:p>
    <w:bookmarkStart w:id="85" w:name="page86"/>
    <w:bookmarkEnd w:id="85"/>
    <w:p>
      <w:pPr>
        <w:jc w:val="both"/>
        <w:ind w:right="20"/>
        <w:spacing w:after="0" w:line="260" w:lineRule="auto"/>
        <w:rPr>
          <w:sz w:val="20"/>
          <w:szCs w:val="20"/>
          <w:color w:val="auto"/>
        </w:rPr>
      </w:pPr>
      <w:r>
        <w:rPr>
          <w:rFonts w:ascii="Arial" w:cs="Arial" w:eastAsia="Arial" w:hAnsi="Arial"/>
          <w:sz w:val="16"/>
          <w:szCs w:val="16"/>
          <w:color w:val="auto"/>
        </w:rPr>
        <w:t>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because we are no longer an emerging growth company, we can no longer take advantage of certain other exemptions from various SEC reporting requirements, including, but not limited to, exemptions from enhanced disclosure obligations regarding executive compensation in our periodic reports and proxy statements and the requirements of holding a non-binding advisory vote on executive compensation at our annual meeting and obtaining shareholder approval of any golden parachute payments not previously approved. Until we comply with these requirements in connection with our 2018 periodic reports, proxy statement and annual meeting of shareholders, our shareholders may not have access to certain information they deem important. Because we have previously taken advantage of each of these exemptions, we do not know if some investors will find our common shares less attractive as a result.</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We recently granted our Manager an option to acquire 700,000 common shares are part of the equity offering discussed in Note 15 to this Quarterly Report on Form 10Q.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March 31, 2018, rights relating to 725,000 of our common shares were outstanding under the Incentive Plan. In connection with an offering that closed on January 16, 2018, the number of shares reserved for issuance under the Incentive Plan will be increased in an amount equal to 700,000 common shares, which amount corresponds to the common shares subject to the option described above. In the future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24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601" w:right="239" w:bottom="1440" w:gutter="0" w:footer="0" w:header="0"/>
        </w:sectPr>
      </w:pPr>
    </w:p>
    <w:bookmarkStart w:id="86" w:name="page87"/>
    <w:bookmarkEnd w:id="86"/>
    <w:p>
      <w:pPr>
        <w:jc w:val="both"/>
        <w:spacing w:after="0" w:line="251" w:lineRule="auto"/>
        <w:rPr>
          <w:sz w:val="20"/>
          <w:szCs w:val="20"/>
          <w:color w:val="auto"/>
        </w:rPr>
      </w:pPr>
      <w:r>
        <w:rPr>
          <w:rFonts w:ascii="Arial" w:cs="Arial" w:eastAsia="Arial" w:hAnsi="Arial"/>
          <w:sz w:val="16"/>
          <w:szCs w:val="16"/>
          <w:color w:val="auto"/>
        </w:rPr>
        <w:t>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17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601" w:right="2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58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006EBF"/>
        </w:rPr>
        <w:t>Item 6. Exhibits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240" w:type="dxa"/>
            <w:vAlign w:val="bottom"/>
          </w:tcPr>
          <w:p>
            <w:pPr>
              <w:spacing w:after="0"/>
              <w:rPr>
                <w:sz w:val="15"/>
                <w:szCs w:val="15"/>
                <w:color w:val="auto"/>
              </w:rPr>
            </w:pPr>
          </w:p>
        </w:tc>
        <w:tc>
          <w:tcPr>
            <w:tcW w:w="220" w:type="dxa"/>
            <w:vAlign w:val="bottom"/>
            <w:tcBorders>
              <w:top w:val="single" w:sz="8" w:color="auto"/>
            </w:tcBorders>
            <w:gridSpan w:val="2"/>
          </w:tcPr>
          <w:p>
            <w:pPr>
              <w:ind w:left="20"/>
              <w:spacing w:after="0"/>
              <w:rPr>
                <w:rFonts w:ascii="Arial" w:cs="Arial" w:eastAsia="Arial" w:hAnsi="Arial"/>
                <w:sz w:val="14"/>
                <w:szCs w:val="14"/>
                <w:color w:val="0000EE"/>
                <w:w w:val="92"/>
              </w:rPr>
            </w:pPr>
            <w:hyperlink r:id="rId28">
              <w:r>
                <w:rPr>
                  <w:rFonts w:ascii="Arial" w:cs="Arial" w:eastAsia="Arial" w:hAnsi="Arial"/>
                  <w:sz w:val="14"/>
                  <w:szCs w:val="14"/>
                  <w:color w:val="0000EE"/>
                  <w:w w:val="92"/>
                </w:rPr>
                <w:t>3.</w:t>
              </w:r>
              <w:r>
                <w:rPr>
                  <w:rFonts w:ascii="Arial" w:cs="Arial" w:eastAsia="Arial" w:hAnsi="Arial"/>
                  <w:sz w:val="14"/>
                  <w:szCs w:val="14"/>
                  <w:u w:val="single" w:color="auto"/>
                  <w:color w:val="0000EE"/>
                  <w:w w:val="92"/>
                </w:rPr>
                <w:t>1</w:t>
              </w:r>
            </w:hyperlink>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Certificate of Formation (incorporated by reference to Exhibit 3.1 of Amendment No. 4 to the Company's Registration Statement on Form S-1, filed on</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April 30, 2015).</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EE"/>
                <w:w w:val="92"/>
              </w:rPr>
            </w:pPr>
            <w:hyperlink r:id="rId29">
              <w:r>
                <w:rPr>
                  <w:rFonts w:ascii="Arial" w:cs="Arial" w:eastAsia="Arial" w:hAnsi="Arial"/>
                  <w:sz w:val="14"/>
                  <w:szCs w:val="14"/>
                  <w:color w:val="0000EE"/>
                  <w:w w:val="92"/>
                </w:rPr>
                <w:t>3.</w:t>
              </w:r>
              <w:r>
                <w:rPr>
                  <w:rFonts w:ascii="Arial" w:cs="Arial" w:eastAsia="Arial" w:hAnsi="Arial"/>
                  <w:sz w:val="14"/>
                  <w:szCs w:val="14"/>
                  <w:u w:val="single" w:color="auto"/>
                  <w:color w:val="0000EE"/>
                  <w:w w:val="92"/>
                </w:rPr>
                <w:t>2</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Amended and Restated Limited Liability Company Agreement of Fortress Transportation and Infrastructure Investors LLC (incorporated by reference to</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Exhibit 3.2 of the Company's Current Report on Form 8-K, filed on May 21, 2015).</w:t>
            </w: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EE"/>
                <w:w w:val="92"/>
              </w:rPr>
            </w:pPr>
            <w:hyperlink r:id="rId30">
              <w:r>
                <w:rPr>
                  <w:rFonts w:ascii="Arial" w:cs="Arial" w:eastAsia="Arial" w:hAnsi="Arial"/>
                  <w:sz w:val="14"/>
                  <w:szCs w:val="14"/>
                  <w:color w:val="0000EE"/>
                  <w:w w:val="92"/>
                </w:rPr>
                <w:t>3.</w:t>
              </w:r>
              <w:r>
                <w:rPr>
                  <w:rFonts w:ascii="Arial" w:cs="Arial" w:eastAsia="Arial" w:hAnsi="Arial"/>
                  <w:sz w:val="14"/>
                  <w:szCs w:val="14"/>
                  <w:u w:val="single" w:color="auto"/>
                  <w:color w:val="0000EE"/>
                  <w:w w:val="92"/>
                </w:rPr>
                <w:t>3</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First Amendment to Amended and Restated Limited Liability Company Agreement of Fortress Transportation and Infrastructure Investors LLC</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(incorporated by reference to Exhibit 3.3 of the Company's Annual Report on Form 10-K, filed on March 10, 2016).</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EE"/>
                <w:w w:val="92"/>
              </w:rPr>
            </w:pPr>
            <w:hyperlink r:id="rId31">
              <w:r>
                <w:rPr>
                  <w:rFonts w:ascii="Arial" w:cs="Arial" w:eastAsia="Arial" w:hAnsi="Arial"/>
                  <w:sz w:val="14"/>
                  <w:szCs w:val="14"/>
                  <w:color w:val="0000EE"/>
                  <w:w w:val="92"/>
                </w:rPr>
                <w:t>4.</w:t>
              </w:r>
              <w:r>
                <w:rPr>
                  <w:rFonts w:ascii="Arial" w:cs="Arial" w:eastAsia="Arial" w:hAnsi="Arial"/>
                  <w:sz w:val="14"/>
                  <w:szCs w:val="14"/>
                  <w:u w:val="single" w:color="auto"/>
                  <w:color w:val="0000EE"/>
                  <w:w w:val="92"/>
                </w:rPr>
                <w:t>1</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Indenture, dated March 15, 2017, between Fortress Transportation and Infrastructure Investors LLC and U.S. Bank National</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72"/>
        </w:trPr>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Report on Form 8-K, filed on March 15, 2017).</w:t>
            </w:r>
          </w:p>
        </w:tc>
      </w:tr>
      <w:tr>
        <w:trPr>
          <w:trHeight w:val="174"/>
        </w:trPr>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spacing w:after="0"/>
              <w:rPr>
                <w:sz w:val="15"/>
                <w:szCs w:val="15"/>
                <w:color w:val="auto"/>
              </w:rPr>
            </w:pP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EE"/>
                <w:w w:val="92"/>
              </w:rPr>
            </w:pPr>
            <w:hyperlink r:id="rId32">
              <w:r>
                <w:rPr>
                  <w:rFonts w:ascii="Arial" w:cs="Arial" w:eastAsia="Arial" w:hAnsi="Arial"/>
                  <w:sz w:val="14"/>
                  <w:szCs w:val="14"/>
                  <w:color w:val="0000EE"/>
                  <w:w w:val="92"/>
                </w:rPr>
                <w:t>4.</w:t>
              </w:r>
              <w:r>
                <w:rPr>
                  <w:rFonts w:ascii="Arial" w:cs="Arial" w:eastAsia="Arial" w:hAnsi="Arial"/>
                  <w:sz w:val="14"/>
                  <w:szCs w:val="14"/>
                  <w:u w:val="single" w:color="auto"/>
                  <w:color w:val="0000EE"/>
                  <w:w w:val="92"/>
                </w:rPr>
                <w:t>2</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Form of global note representing the Company’s 6.75% senior unsecured notes due 2022 (included in Exhibit 4.1).</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EE"/>
                <w:w w:val="92"/>
              </w:rPr>
            </w:pPr>
            <w:hyperlink r:id="rId33">
              <w:r>
                <w:rPr>
                  <w:rFonts w:ascii="Arial" w:cs="Arial" w:eastAsia="Arial" w:hAnsi="Arial"/>
                  <w:sz w:val="14"/>
                  <w:szCs w:val="14"/>
                  <w:color w:val="0000EE"/>
                  <w:w w:val="92"/>
                </w:rPr>
                <w:t>4.</w:t>
              </w:r>
              <w:r>
                <w:rPr>
                  <w:rFonts w:ascii="Arial" w:cs="Arial" w:eastAsia="Arial" w:hAnsi="Arial"/>
                  <w:sz w:val="14"/>
                  <w:szCs w:val="14"/>
                  <w:u w:val="single" w:color="auto"/>
                  <w:color w:val="0000EE"/>
                  <w:w w:val="92"/>
                </w:rPr>
                <w:t>3</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Supplemental Indenture, dated June 8, 2017, between Fortress Transportation and Infrastructure Investors LLC</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and U.S. Bank National Association, as trustee, relating to the Company’s 6.75% senior unsecured notes due 2022.</w:t>
            </w: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EE"/>
                <w:w w:val="92"/>
              </w:rPr>
            </w:pPr>
            <w:hyperlink r:id="rId34">
              <w:r>
                <w:rPr>
                  <w:rFonts w:ascii="Arial" w:cs="Arial" w:eastAsia="Arial" w:hAnsi="Arial"/>
                  <w:sz w:val="14"/>
                  <w:szCs w:val="14"/>
                  <w:color w:val="0000EE"/>
                  <w:w w:val="92"/>
                </w:rPr>
                <w:t>4.</w:t>
              </w:r>
              <w:r>
                <w:rPr>
                  <w:rFonts w:ascii="Arial" w:cs="Arial" w:eastAsia="Arial" w:hAnsi="Arial"/>
                  <w:sz w:val="14"/>
                  <w:szCs w:val="14"/>
                  <w:u w:val="single" w:color="auto"/>
                  <w:color w:val="0000EE"/>
                  <w:w w:val="92"/>
                </w:rPr>
                <w:t>4</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Second Supplemental Indenture, dated August 23, 2017, between Fortress Transportation and Infrastructure Investors LLC and U.S. Bank National</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7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Current Report on Form 8-K, filed on August 23, 2017).</w:t>
            </w:r>
          </w:p>
        </w:tc>
      </w:tr>
      <w:tr>
        <w:trPr>
          <w:trHeight w:val="174"/>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spacing w:after="0"/>
              <w:rPr>
                <w:sz w:val="15"/>
                <w:szCs w:val="15"/>
                <w:color w:val="auto"/>
              </w:rPr>
            </w:pPr>
          </w:p>
        </w:tc>
      </w:tr>
      <w:tr>
        <w:trPr>
          <w:trHeight w:val="176"/>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EE"/>
                <w:w w:val="92"/>
              </w:rPr>
            </w:pPr>
            <w:hyperlink r:id="rId35">
              <w:r>
                <w:rPr>
                  <w:rFonts w:ascii="Arial" w:cs="Arial" w:eastAsia="Arial" w:hAnsi="Arial"/>
                  <w:sz w:val="14"/>
                  <w:szCs w:val="14"/>
                  <w:color w:val="0000EE"/>
                  <w:w w:val="92"/>
                </w:rPr>
                <w:t>4.</w:t>
              </w:r>
              <w:r>
                <w:rPr>
                  <w:rFonts w:ascii="Arial" w:cs="Arial" w:eastAsia="Arial" w:hAnsi="Arial"/>
                  <w:sz w:val="14"/>
                  <w:szCs w:val="14"/>
                  <w:u w:val="single" w:color="auto"/>
                  <w:color w:val="0000EE"/>
                  <w:w w:val="92"/>
                </w:rPr>
                <w:t>5</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Third Supplemental Indenture, dated December 20, 2017, between Fortress Transportation and Infrastructure LLC (incorporated by reference to Exhibit</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4.1 of the Company’s Current Report on Form 8-K filed on December 20, 2017).</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EE"/>
              </w:rPr>
            </w:pPr>
            <w:hyperlink r:id="rId36">
              <w:r>
                <w:rPr>
                  <w:rFonts w:ascii="Arial" w:cs="Arial" w:eastAsia="Arial" w:hAnsi="Arial"/>
                  <w:sz w:val="14"/>
                  <w:szCs w:val="14"/>
                  <w:color w:val="0000EE"/>
                </w:rPr>
                <w:t>10.</w:t>
              </w:r>
              <w:r>
                <w:rPr>
                  <w:rFonts w:ascii="Arial" w:cs="Arial" w:eastAsia="Arial" w:hAnsi="Arial"/>
                  <w:sz w:val="14"/>
                  <w:szCs w:val="14"/>
                  <w:u w:val="single" w:color="auto"/>
                  <w:color w:val="0000EE"/>
                </w:rPr>
                <w:t>1</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Fourth Amended and Restated Partnership Agreement of Fortress Worldwide Transportation and Infrastructure General Partnership (incorporated by</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reference to Exhibit 10.1 of the Company's Current Report on Form 8-K, filed on May 21, 2015).</w:t>
            </w:r>
          </w:p>
        </w:tc>
      </w:tr>
      <w:tr>
        <w:trPr>
          <w:trHeight w:val="182"/>
        </w:trPr>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CEEFF"/>
          </w:tcPr>
          <w:p>
            <w:pPr>
              <w:ind w:left="20"/>
              <w:spacing w:after="0"/>
              <w:rPr>
                <w:rFonts w:ascii="Arial" w:cs="Arial" w:eastAsia="Arial" w:hAnsi="Arial"/>
                <w:sz w:val="14"/>
                <w:szCs w:val="14"/>
                <w:color w:val="0000EE"/>
              </w:rPr>
            </w:pPr>
            <w:hyperlink r:id="rId37">
              <w:r>
                <w:rPr>
                  <w:rFonts w:ascii="Arial" w:cs="Arial" w:eastAsia="Arial" w:hAnsi="Arial"/>
                  <w:sz w:val="14"/>
                  <w:szCs w:val="14"/>
                  <w:color w:val="0000EE"/>
                </w:rPr>
                <w:t>10.2</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and Advisory Agreement, dated as of May 20, 2015, between Fortress Transportation and Infrastructure Investors LLC and FIG LLC</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10.2 of the Company's Current Report on Form 8-K, filed on May 21, 2015).</w:t>
            </w:r>
          </w:p>
        </w:tc>
      </w:tr>
      <w:tr>
        <w:trPr>
          <w:trHeight w:val="176"/>
        </w:trPr>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4"/>
          </w:tcPr>
          <w:p>
            <w:pPr>
              <w:ind w:left="20"/>
              <w:spacing w:after="0"/>
              <w:rPr>
                <w:rFonts w:ascii="Arial" w:cs="Arial" w:eastAsia="Arial" w:hAnsi="Arial"/>
                <w:sz w:val="14"/>
                <w:szCs w:val="14"/>
                <w:color w:val="0000EE"/>
              </w:rPr>
            </w:pPr>
            <w:hyperlink r:id="rId38">
              <w:r>
                <w:rPr>
                  <w:rFonts w:ascii="Arial" w:cs="Arial" w:eastAsia="Arial" w:hAnsi="Arial"/>
                  <w:sz w:val="14"/>
                  <w:szCs w:val="14"/>
                  <w:color w:val="0000EE"/>
                </w:rPr>
                <w:t>10.3</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Registration Rights Agreement, dated as of May 20, 2015, among Fortress Transportation and Infrastructure Investors LLC, FIG LLC and Fortress</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Transportation and Infrastructure Master GP LLC (incorporated by reference to Exhibit 10.3 of the Company's Current Report on Form 8-K, filed on May</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21, 2015).</w:t>
            </w:r>
          </w:p>
        </w:tc>
      </w:tr>
      <w:tr>
        <w:trPr>
          <w:trHeight w:val="182"/>
        </w:trPr>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CEEFF"/>
          </w:tcPr>
          <w:p>
            <w:pPr>
              <w:ind w:left="20"/>
              <w:spacing w:after="0"/>
              <w:rPr>
                <w:rFonts w:ascii="Arial" w:cs="Arial" w:eastAsia="Arial" w:hAnsi="Arial"/>
                <w:sz w:val="14"/>
                <w:szCs w:val="14"/>
                <w:color w:val="0000EE"/>
              </w:rPr>
            </w:pPr>
            <w:hyperlink r:id="rId39">
              <w:r>
                <w:rPr>
                  <w:rFonts w:ascii="Arial" w:cs="Arial" w:eastAsia="Arial" w:hAnsi="Arial"/>
                  <w:sz w:val="14"/>
                  <w:szCs w:val="14"/>
                  <w:color w:val="0000EE"/>
                </w:rPr>
                <w:t>10.4</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Fortress Transportation and Infrastructure Investors LLC Nonqualified Stock Option and Incentive Award Plan (incorporated by reference to Exhibit 10.4 of</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the Company's Current Report on Form 8-K, filed on May 21, 2015).</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EE"/>
              </w:rPr>
            </w:pPr>
            <w:hyperlink r:id="rId40">
              <w:r>
                <w:rPr>
                  <w:rFonts w:ascii="Arial" w:cs="Arial" w:eastAsia="Arial" w:hAnsi="Arial"/>
                  <w:sz w:val="14"/>
                  <w:szCs w:val="14"/>
                  <w:color w:val="0000EE"/>
                </w:rPr>
                <w:t>10.</w:t>
              </w:r>
              <w:r>
                <w:rPr>
                  <w:rFonts w:ascii="Arial" w:cs="Arial" w:eastAsia="Arial" w:hAnsi="Arial"/>
                  <w:sz w:val="14"/>
                  <w:szCs w:val="14"/>
                  <w:u w:val="single" w:color="auto"/>
                  <w:color w:val="0000EE"/>
                </w:rPr>
                <w:t>5</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Form of director and officer indemnification agreement of Fortress Transportation and Infrastructure Investors LLC (incorporated by reference to Exhibit</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tc>
      </w:tr>
      <w:tr>
        <w:trPr>
          <w:trHeight w:val="182"/>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EE"/>
              </w:rPr>
            </w:pPr>
            <w:hyperlink r:id="rId41">
              <w:r>
                <w:rPr>
                  <w:rFonts w:ascii="Arial" w:cs="Arial" w:eastAsia="Arial" w:hAnsi="Arial"/>
                  <w:sz w:val="14"/>
                  <w:szCs w:val="14"/>
                  <w:color w:val="0000EE"/>
                </w:rPr>
                <w:t>10.</w:t>
              </w:r>
              <w:r>
                <w:rPr>
                  <w:rFonts w:ascii="Arial" w:cs="Arial" w:eastAsia="Arial" w:hAnsi="Arial"/>
                  <w:sz w:val="14"/>
                  <w:szCs w:val="14"/>
                  <w:u w:val="single" w:color="auto"/>
                  <w:color w:val="0000EE"/>
                </w:rPr>
                <w:t>6</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Agreement, dated as of August 27, 2014, among Morgan Stanley Senior Funding, Inc., as administrative agent, Jefferson Gulf Coast Energy</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Partners LLC and the other lenders party thereto (incorporated by reference to Exhibit 10.6 of Amendment No. 4 to the Company's Registration Statement</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 Form S-1, filed April 30, 2015).</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EE"/>
              </w:rPr>
            </w:pPr>
            <w:hyperlink r:id="rId42">
              <w:r>
                <w:rPr>
                  <w:rFonts w:ascii="Arial" w:cs="Arial" w:eastAsia="Arial" w:hAnsi="Arial"/>
                  <w:sz w:val="14"/>
                  <w:szCs w:val="14"/>
                  <w:color w:val="0000EE"/>
                </w:rPr>
                <w:t>10.</w:t>
              </w:r>
              <w:r>
                <w:rPr>
                  <w:rFonts w:ascii="Arial" w:cs="Arial" w:eastAsia="Arial" w:hAnsi="Arial"/>
                  <w:sz w:val="14"/>
                  <w:szCs w:val="14"/>
                  <w:u w:val="single" w:color="auto"/>
                  <w:color w:val="0000EE"/>
                </w:rPr>
                <w:t>7</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Trust Indenture and Security Agreement between the District and The Bank of New York Mellon Trust Company, National Association, dated as of</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February 1, 2016 (incorporated by reference to Exhibit 10.7 of the Company's Annual Report on Form 10-K, filed on March 10, 2016).</w:t>
            </w:r>
          </w:p>
        </w:tc>
      </w:tr>
      <w:tr>
        <w:trPr>
          <w:trHeight w:val="182"/>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EE"/>
              </w:rPr>
            </w:pPr>
            <w:hyperlink r:id="rId43">
              <w:r>
                <w:rPr>
                  <w:rFonts w:ascii="Arial" w:cs="Arial" w:eastAsia="Arial" w:hAnsi="Arial"/>
                  <w:sz w:val="14"/>
                  <w:szCs w:val="14"/>
                  <w:color w:val="0000EE"/>
                </w:rPr>
                <w:t>10.</w:t>
              </w:r>
              <w:r>
                <w:rPr>
                  <w:rFonts w:ascii="Arial" w:cs="Arial" w:eastAsia="Arial" w:hAnsi="Arial"/>
                  <w:sz w:val="14"/>
                  <w:szCs w:val="14"/>
                  <w:u w:val="single" w:color="auto"/>
                  <w:color w:val="0000EE"/>
                </w:rPr>
                <w:t>8</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Standby Bond Purchase Agreement among the Port of Beaumont Navigation District of Jefferson County, Texas, The Bank of New York Mellon Trust</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 National Association, Jefferson Railport Terminal II Holdings LLC and Jefferson Railport Terminal II LLC dated as of February 1, 2016</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10.8 of the Company's Annual Report on Form 10-K, filed on March 10, 2016).</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EE"/>
              </w:rPr>
            </w:pPr>
            <w:hyperlink r:id="rId44">
              <w:r>
                <w:rPr>
                  <w:rFonts w:ascii="Arial" w:cs="Arial" w:eastAsia="Arial" w:hAnsi="Arial"/>
                  <w:sz w:val="14"/>
                  <w:szCs w:val="14"/>
                  <w:color w:val="0000EE"/>
                </w:rPr>
                <w:t>10.</w:t>
              </w:r>
              <w:r>
                <w:rPr>
                  <w:rFonts w:ascii="Arial" w:cs="Arial" w:eastAsia="Arial" w:hAnsi="Arial"/>
                  <w:sz w:val="14"/>
                  <w:szCs w:val="14"/>
                  <w:u w:val="single" w:color="auto"/>
                  <w:color w:val="0000EE"/>
                </w:rPr>
                <w:t>9</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Capital Call Agreement, by and among Fortress Transportation and Infrastructure Investors LLC, FTAI Energy Holdings LLC, FTAI Partner Holdings LLC,</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FTAI Midstream GP Holdings LLC, FTAI Midstream GP LLC, FTAI Midstream Holdings LLC, FTAI Energy Partners LLC and Jefferson Railport Terminal II</w:t>
            </w:r>
          </w:p>
        </w:tc>
      </w:tr>
      <w:tr>
        <w:trPr>
          <w:trHeight w:val="16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Holdings LLC, dated as of February 1, 2016 (incorporated by reference to Exhibit 10.9 of the Company's Annual Report on Form 10-K, filed on March 10,</w:t>
            </w:r>
          </w:p>
        </w:tc>
      </w:tr>
      <w:tr>
        <w:trPr>
          <w:trHeight w:val="17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2016).</w:t>
            </w:r>
          </w:p>
        </w:tc>
      </w:tr>
      <w:tr>
        <w:trPr>
          <w:trHeight w:val="188"/>
        </w:trPr>
        <w:tc>
          <w:tcPr>
            <w:tcW w:w="240" w:type="dxa"/>
            <w:vAlign w:val="bottom"/>
          </w:tcPr>
          <w:p>
            <w:pPr>
              <w:spacing w:after="0"/>
              <w:rPr>
                <w:sz w:val="16"/>
                <w:szCs w:val="16"/>
                <w:color w:val="auto"/>
              </w:rPr>
            </w:pPr>
          </w:p>
        </w:tc>
        <w:tc>
          <w:tcPr>
            <w:tcW w:w="380" w:type="dxa"/>
            <w:vAlign w:val="bottom"/>
            <w:gridSpan w:val="4"/>
          </w:tcPr>
          <w:p>
            <w:pPr>
              <w:ind w:left="20"/>
              <w:spacing w:after="0"/>
              <w:rPr>
                <w:rFonts w:ascii="Arial" w:cs="Arial" w:eastAsia="Arial" w:hAnsi="Arial"/>
                <w:sz w:val="14"/>
                <w:szCs w:val="14"/>
                <w:color w:val="0000EE"/>
                <w:w w:val="96"/>
              </w:rPr>
            </w:pPr>
            <w:hyperlink r:id="rId45">
              <w:r>
                <w:rPr>
                  <w:rFonts w:ascii="Arial" w:cs="Arial" w:eastAsia="Arial" w:hAnsi="Arial"/>
                  <w:sz w:val="14"/>
                  <w:szCs w:val="14"/>
                  <w:color w:val="0000EE"/>
                  <w:w w:val="96"/>
                </w:rPr>
                <w:t>10.</w:t>
              </w:r>
              <w:r>
                <w:rPr>
                  <w:rFonts w:ascii="Arial" w:cs="Arial" w:eastAsia="Arial" w:hAnsi="Arial"/>
                  <w:sz w:val="14"/>
                  <w:szCs w:val="14"/>
                  <w:u w:val="single" w:color="auto"/>
                  <w:color w:val="0000EE"/>
                  <w:w w:val="96"/>
                </w:rPr>
                <w:t>10</w:t>
              </w:r>
            </w:hyperlink>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Fee and Support Agreement, among FTAI Energy Holdings LLC, FEP Terminal Holdings LLC, FTAI Energy Partners LLC and Jefferson Railport Terminal</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720344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ind w:left="1560" w:right="40" w:hanging="6"/>
        <w:spacing w:after="0" w:line="258" w:lineRule="auto"/>
        <w:tabs>
          <w:tab w:leader="none" w:pos="1688" w:val="left"/>
        </w:tabs>
        <w:numPr>
          <w:ilvl w:val="0"/>
          <w:numId w:val="37"/>
        </w:numPr>
        <w:rPr>
          <w:rFonts w:ascii="Arial" w:cs="Arial" w:eastAsia="Arial" w:hAnsi="Arial"/>
          <w:sz w:val="14"/>
          <w:szCs w:val="14"/>
          <w:color w:val="auto"/>
        </w:rPr>
      </w:pPr>
      <w:r>
        <w:rPr>
          <w:rFonts w:ascii="Arial" w:cs="Arial" w:eastAsia="Arial" w:hAnsi="Arial"/>
          <w:sz w:val="14"/>
          <w:szCs w:val="14"/>
          <w:color w:val="auto"/>
        </w:rPr>
        <w:t>LLC, dated as of March 7, 2016 (incorporated by reference to Exhibit 10.10 of the Company's Amended Annual Report on Form 10-K/A, filed on April 29, 2016).</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60" w:type="dxa"/>
            <w:vAlign w:val="bottom"/>
            <w:gridSpan w:val="4"/>
          </w:tcPr>
          <w:p>
            <w:pPr>
              <w:jc w:val="right"/>
              <w:ind w:right="440"/>
              <w:spacing w:after="0"/>
              <w:rPr>
                <w:rFonts w:ascii="Arial" w:cs="Arial" w:eastAsia="Arial" w:hAnsi="Arial"/>
                <w:sz w:val="14"/>
                <w:szCs w:val="14"/>
                <w:color w:val="0000EE"/>
              </w:rPr>
            </w:pPr>
            <w:hyperlink r:id="rId47">
              <w:r>
                <w:rPr>
                  <w:rFonts w:ascii="Arial" w:cs="Arial" w:eastAsia="Arial" w:hAnsi="Arial"/>
                  <w:sz w:val="14"/>
                  <w:szCs w:val="14"/>
                  <w:color w:val="0000EE"/>
                </w:rPr>
                <w:t>10.</w:t>
              </w:r>
              <w:r>
                <w:rPr>
                  <w:rFonts w:ascii="Arial" w:cs="Arial" w:eastAsia="Arial" w:hAnsi="Arial"/>
                  <w:sz w:val="14"/>
                  <w:szCs w:val="14"/>
                  <w:u w:val="single" w:color="auto"/>
                  <w:color w:val="0000EE"/>
                </w:rPr>
                <w:t>11</w:t>
              </w:r>
            </w:hyperlink>
          </w:p>
        </w:tc>
        <w:tc>
          <w:tcPr>
            <w:tcW w:w="10300" w:type="dxa"/>
            <w:vAlign w:val="bottom"/>
          </w:tcPr>
          <w:p>
            <w:pPr>
              <w:ind w:left="460"/>
              <w:spacing w:after="0"/>
              <w:rPr>
                <w:sz w:val="20"/>
                <w:szCs w:val="20"/>
                <w:color w:val="auto"/>
              </w:rPr>
            </w:pPr>
            <w:r>
              <w:rPr>
                <w:rFonts w:ascii="Arial" w:cs="Arial" w:eastAsia="Arial" w:hAnsi="Arial"/>
                <w:sz w:val="14"/>
                <w:szCs w:val="14"/>
                <w:color w:val="auto"/>
              </w:rPr>
              <w:t>Lease and Development Agreement (Facilities Lease), dated as of February 1, 2016, by and between the Port of Beaumont Navigation District of</w:t>
            </w:r>
          </w:p>
        </w:tc>
      </w:tr>
      <w:tr>
        <w:trPr>
          <w:trHeight w:val="160"/>
        </w:trPr>
        <w:tc>
          <w:tcPr>
            <w:tcW w:w="260" w:type="dxa"/>
            <w:vAlign w:val="bottom"/>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40" w:type="dxa"/>
            <w:vAlign w:val="bottom"/>
          </w:tcPr>
          <w:p>
            <w:pPr>
              <w:spacing w:after="0"/>
              <w:rPr>
                <w:sz w:val="13"/>
                <w:szCs w:val="13"/>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Jefferson County, Texas and Jefferson Railport Terminal II LLC (incorporated by reference to Exhibit 10.11 of the Company's Annual Report on Form 10-</w:t>
            </w:r>
          </w:p>
        </w:tc>
      </w:tr>
      <w:tr>
        <w:trPr>
          <w:trHeight w:val="178"/>
        </w:trPr>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K, filed on March 10, 2016).</w:t>
            </w:r>
          </w:p>
        </w:tc>
      </w:tr>
      <w:tr>
        <w:trPr>
          <w:trHeight w:val="182"/>
        </w:trPr>
        <w:tc>
          <w:tcPr>
            <w:tcW w:w="1060" w:type="dxa"/>
            <w:vAlign w:val="bottom"/>
            <w:gridSpan w:val="4"/>
            <w:shd w:val="clear" w:color="auto" w:fill="CCEEFF"/>
          </w:tcPr>
          <w:p>
            <w:pPr>
              <w:jc w:val="right"/>
              <w:ind w:right="440"/>
              <w:spacing w:after="0"/>
              <w:rPr>
                <w:rFonts w:ascii="Arial" w:cs="Arial" w:eastAsia="Arial" w:hAnsi="Arial"/>
                <w:sz w:val="14"/>
                <w:szCs w:val="14"/>
                <w:color w:val="0000EE"/>
              </w:rPr>
            </w:pPr>
            <w:hyperlink r:id="rId48">
              <w:r>
                <w:rPr>
                  <w:rFonts w:ascii="Arial" w:cs="Arial" w:eastAsia="Arial" w:hAnsi="Arial"/>
                  <w:sz w:val="14"/>
                  <w:szCs w:val="14"/>
                  <w:color w:val="0000EE"/>
                </w:rPr>
                <w:t>10.</w:t>
              </w:r>
              <w:r>
                <w:rPr>
                  <w:rFonts w:ascii="Arial" w:cs="Arial" w:eastAsia="Arial" w:hAnsi="Arial"/>
                  <w:sz w:val="14"/>
                  <w:szCs w:val="14"/>
                  <w:u w:val="single" w:color="auto"/>
                  <w:color w:val="0000EE"/>
                </w:rPr>
                <w:t>12</w:t>
              </w:r>
            </w:hyperlink>
          </w:p>
        </w:tc>
        <w:tc>
          <w:tcPr>
            <w:tcW w:w="10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Deed of Trust of Jefferson Railport Terminal II LLC, dated as of February 1, 2016 (incorporated by reference to Exhibit 10.12 of the Company's Annual</w:t>
            </w:r>
          </w:p>
        </w:tc>
      </w:tr>
      <w:tr>
        <w:trPr>
          <w:trHeight w:val="183"/>
        </w:trPr>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3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Report on Form 10-K, filed on March 10, 2016).</w:t>
            </w:r>
          </w:p>
        </w:tc>
      </w:tr>
      <w:tr>
        <w:trPr>
          <w:trHeight w:val="176"/>
        </w:trPr>
        <w:tc>
          <w:tcPr>
            <w:tcW w:w="1060" w:type="dxa"/>
            <w:vAlign w:val="bottom"/>
            <w:gridSpan w:val="4"/>
          </w:tcPr>
          <w:p>
            <w:pPr>
              <w:jc w:val="right"/>
              <w:ind w:right="440"/>
              <w:spacing w:after="0"/>
              <w:rPr>
                <w:rFonts w:ascii="Arial" w:cs="Arial" w:eastAsia="Arial" w:hAnsi="Arial"/>
                <w:sz w:val="14"/>
                <w:szCs w:val="14"/>
                <w:color w:val="0000EE"/>
              </w:rPr>
            </w:pPr>
            <w:hyperlink r:id="rId49">
              <w:r>
                <w:rPr>
                  <w:rFonts w:ascii="Arial" w:cs="Arial" w:eastAsia="Arial" w:hAnsi="Arial"/>
                  <w:sz w:val="14"/>
                  <w:szCs w:val="14"/>
                  <w:color w:val="0000EE"/>
                </w:rPr>
                <w:t>10.</w:t>
              </w:r>
              <w:r>
                <w:rPr>
                  <w:rFonts w:ascii="Arial" w:cs="Arial" w:eastAsia="Arial" w:hAnsi="Arial"/>
                  <w:sz w:val="14"/>
                  <w:szCs w:val="14"/>
                  <w:u w:val="single" w:color="auto"/>
                  <w:color w:val="0000EE"/>
                </w:rPr>
                <w:t>13</w:t>
              </w:r>
            </w:hyperlink>
          </w:p>
        </w:tc>
        <w:tc>
          <w:tcPr>
            <w:tcW w:w="10300" w:type="dxa"/>
            <w:vAlign w:val="bottom"/>
          </w:tcPr>
          <w:p>
            <w:pPr>
              <w:ind w:left="460"/>
              <w:spacing w:after="0"/>
              <w:rPr>
                <w:sz w:val="20"/>
                <w:szCs w:val="20"/>
                <w:color w:val="auto"/>
              </w:rPr>
            </w:pPr>
            <w:r>
              <w:rPr>
                <w:rFonts w:ascii="Arial" w:cs="Arial" w:eastAsia="Arial" w:hAnsi="Arial"/>
                <w:sz w:val="14"/>
                <w:szCs w:val="14"/>
                <w:color w:val="auto"/>
              </w:rPr>
              <w:t>Credit Agreement, dated January 23, 2017, among Fortress Transportation and Infrastructure Investors LLC, as holdings, Fortress Worldwide</w:t>
            </w:r>
          </w:p>
        </w:tc>
      </w:tr>
      <w:tr>
        <w:trPr>
          <w:trHeight w:val="160"/>
        </w:trPr>
        <w:tc>
          <w:tcPr>
            <w:tcW w:w="260" w:type="dxa"/>
            <w:vAlign w:val="bottom"/>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40" w:type="dxa"/>
            <w:vAlign w:val="bottom"/>
          </w:tcPr>
          <w:p>
            <w:pPr>
              <w:spacing w:after="0"/>
              <w:rPr>
                <w:sz w:val="13"/>
                <w:szCs w:val="13"/>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Transportation and Infrastructure General Partnership, as IntermediateCo, WWTAI Finance Ltd., as Borrower, the Subsidiary Guarantors from time to time</w:t>
            </w:r>
          </w:p>
        </w:tc>
      </w:tr>
      <w:tr>
        <w:trPr>
          <w:trHeight w:val="162"/>
        </w:trPr>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party thereto, the lenders from time to time party thereto and Morgan Stanley Senior Funding, Inc., as Administrative Agent (incorporated by reference to</w:t>
            </w:r>
          </w:p>
        </w:tc>
      </w:tr>
      <w:tr>
        <w:trPr>
          <w:trHeight w:val="178"/>
        </w:trPr>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Exhibit 10.1 of the Company's Current Report on Form 8-K, filed on January 27, 2017).</w:t>
            </w:r>
          </w:p>
        </w:tc>
      </w:tr>
      <w:tr>
        <w:trPr>
          <w:trHeight w:val="182"/>
        </w:trPr>
        <w:tc>
          <w:tcPr>
            <w:tcW w:w="1060" w:type="dxa"/>
            <w:vAlign w:val="bottom"/>
            <w:gridSpan w:val="4"/>
            <w:shd w:val="clear" w:color="auto" w:fill="CCEEFF"/>
          </w:tcPr>
          <w:p>
            <w:pPr>
              <w:jc w:val="right"/>
              <w:ind w:right="440"/>
              <w:spacing w:after="0"/>
              <w:rPr>
                <w:rFonts w:ascii="Arial" w:cs="Arial" w:eastAsia="Arial" w:hAnsi="Arial"/>
                <w:sz w:val="14"/>
                <w:szCs w:val="14"/>
                <w:color w:val="0000EE"/>
              </w:rPr>
            </w:pPr>
            <w:hyperlink r:id="rId50">
              <w:r>
                <w:rPr>
                  <w:rFonts w:ascii="Arial" w:cs="Arial" w:eastAsia="Arial" w:hAnsi="Arial"/>
                  <w:sz w:val="14"/>
                  <w:szCs w:val="14"/>
                  <w:color w:val="0000EE"/>
                </w:rPr>
                <w:t>10.</w:t>
              </w:r>
              <w:r>
                <w:rPr>
                  <w:rFonts w:ascii="Arial" w:cs="Arial" w:eastAsia="Arial" w:hAnsi="Arial"/>
                  <w:sz w:val="14"/>
                  <w:szCs w:val="14"/>
                  <w:u w:val="single" w:color="auto"/>
                  <w:color w:val="0000EE"/>
                </w:rPr>
                <w:t>14</w:t>
              </w:r>
            </w:hyperlink>
          </w:p>
        </w:tc>
        <w:tc>
          <w:tcPr>
            <w:tcW w:w="10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Credit Agreement, dated June 16, 2017, among Fortress Transportation and Infrastructure Investors LLC, as Borrower, the lenders and issuing banks</w:t>
            </w:r>
          </w:p>
        </w:tc>
      </w:tr>
      <w:tr>
        <w:trPr>
          <w:trHeight w:val="160"/>
        </w:trPr>
        <w:tc>
          <w:tcPr>
            <w:tcW w:w="2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from time to time party thereto and JPMorgan Chase Bank, N.A., as Administrative Agent (incorporated by reference to Exhibit 10.1 of the Company’s</w:t>
            </w:r>
          </w:p>
        </w:tc>
      </w:tr>
      <w:tr>
        <w:trPr>
          <w:trHeight w:val="184"/>
        </w:trPr>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Current Report on Form 8-K, filed on June 22, 2017).</w:t>
            </w:r>
          </w:p>
        </w:tc>
      </w:tr>
      <w:tr>
        <w:trPr>
          <w:trHeight w:val="176"/>
        </w:trPr>
        <w:tc>
          <w:tcPr>
            <w:tcW w:w="1060" w:type="dxa"/>
            <w:vAlign w:val="bottom"/>
            <w:gridSpan w:val="4"/>
          </w:tcPr>
          <w:p>
            <w:pPr>
              <w:jc w:val="right"/>
              <w:ind w:right="440"/>
              <w:spacing w:after="0"/>
              <w:rPr>
                <w:rFonts w:ascii="Arial" w:cs="Arial" w:eastAsia="Arial" w:hAnsi="Arial"/>
                <w:sz w:val="14"/>
                <w:szCs w:val="14"/>
                <w:color w:val="auto"/>
              </w:rPr>
            </w:pPr>
            <w:r>
              <w:rPr>
                <w:rFonts w:ascii="Arial" w:cs="Arial" w:eastAsia="Arial" w:hAnsi="Arial"/>
                <w:sz w:val="14"/>
                <w:szCs w:val="14"/>
                <w:color w:val="auto"/>
              </w:rPr>
              <w:t xml:space="preserve">†  </w:t>
            </w:r>
            <w:hyperlink r:id="rId51">
              <w:r>
                <w:rPr>
                  <w:rFonts w:ascii="Arial" w:cs="Arial" w:eastAsia="Arial" w:hAnsi="Arial"/>
                  <w:sz w:val="14"/>
                  <w:szCs w:val="14"/>
                  <w:color w:val="0000EE"/>
                </w:rPr>
                <w:t>10.15</w:t>
              </w:r>
            </w:hyperlink>
          </w:p>
        </w:tc>
        <w:tc>
          <w:tcPr>
            <w:tcW w:w="10300" w:type="dxa"/>
            <w:vAlign w:val="bottom"/>
          </w:tcPr>
          <w:p>
            <w:pPr>
              <w:ind w:left="460"/>
              <w:spacing w:after="0"/>
              <w:rPr>
                <w:sz w:val="20"/>
                <w:szCs w:val="20"/>
                <w:color w:val="auto"/>
              </w:rPr>
            </w:pPr>
            <w:r>
              <w:rPr>
                <w:rFonts w:ascii="Arial" w:cs="Arial" w:eastAsia="Arial" w:hAnsi="Arial"/>
                <w:sz w:val="14"/>
                <w:szCs w:val="14"/>
                <w:color w:val="auto"/>
              </w:rPr>
              <w:t>Form of Award Agreement under the Fortress Transportation and Infrastructure Investors Nonqualified Stock Option</w:t>
            </w:r>
          </w:p>
        </w:tc>
      </w:tr>
      <w:tr>
        <w:trPr>
          <w:trHeight w:val="160"/>
        </w:trPr>
        <w:tc>
          <w:tcPr>
            <w:tcW w:w="260" w:type="dxa"/>
            <w:vAlign w:val="bottom"/>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40" w:type="dxa"/>
            <w:vAlign w:val="bottom"/>
          </w:tcPr>
          <w:p>
            <w:pPr>
              <w:spacing w:after="0"/>
              <w:rPr>
                <w:sz w:val="13"/>
                <w:szCs w:val="13"/>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and Incentive Award Plan (incorporated by reference to Exhibit 10.1 of the Company’s Current Report on Form 8-K,</w:t>
            </w:r>
          </w:p>
        </w:tc>
      </w:tr>
      <w:tr>
        <w:trPr>
          <w:trHeight w:val="172"/>
        </w:trPr>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filed on January 17, 2018).</w:t>
            </w:r>
          </w:p>
        </w:tc>
      </w:tr>
      <w:tr>
        <w:trPr>
          <w:trHeight w:val="174"/>
        </w:trPr>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300" w:type="dxa"/>
            <w:vAlign w:val="bottom"/>
          </w:tcPr>
          <w:p>
            <w:pPr>
              <w:spacing w:after="0"/>
              <w:rPr>
                <w:sz w:val="15"/>
                <w:szCs w:val="15"/>
                <w:color w:val="auto"/>
              </w:rPr>
            </w:pPr>
          </w:p>
        </w:tc>
      </w:tr>
      <w:tr>
        <w:trPr>
          <w:trHeight w:val="176"/>
        </w:trPr>
        <w:tc>
          <w:tcPr>
            <w:tcW w:w="620" w:type="dxa"/>
            <w:vAlign w:val="bottom"/>
            <w:gridSpan w:val="3"/>
            <w:shd w:val="clear" w:color="auto" w:fill="CCEEFF"/>
          </w:tcPr>
          <w:p>
            <w:pPr>
              <w:jc w:val="right"/>
              <w:ind w:right="80"/>
              <w:spacing w:after="0"/>
              <w:rPr>
                <w:rFonts w:ascii="Arial" w:cs="Arial" w:eastAsia="Arial" w:hAnsi="Arial"/>
                <w:sz w:val="14"/>
                <w:szCs w:val="14"/>
                <w:color w:val="0000EE"/>
              </w:rPr>
            </w:pPr>
            <w:hyperlink w:anchor="page92">
              <w:r>
                <w:rPr>
                  <w:rFonts w:ascii="Arial" w:cs="Arial" w:eastAsia="Arial" w:hAnsi="Arial"/>
                  <w:sz w:val="14"/>
                  <w:szCs w:val="14"/>
                  <w:color w:val="0000EE"/>
                </w:rPr>
                <w:t>31.</w:t>
              </w:r>
              <w:r>
                <w:rPr>
                  <w:rFonts w:ascii="Arial" w:cs="Arial" w:eastAsia="Arial" w:hAnsi="Arial"/>
                  <w:sz w:val="14"/>
                  <w:szCs w:val="14"/>
                  <w:u w:val="single" w:color="auto"/>
                  <w:color w:val="0000EE"/>
                </w:rPr>
                <w:t>1</w:t>
              </w:r>
            </w:hyperlink>
          </w:p>
        </w:tc>
        <w:tc>
          <w:tcPr>
            <w:tcW w:w="440" w:type="dxa"/>
            <w:vAlign w:val="bottom"/>
            <w:shd w:val="clear" w:color="auto" w:fill="CCEEFF"/>
          </w:tcPr>
          <w:p>
            <w:pPr>
              <w:spacing w:after="0"/>
              <w:rPr>
                <w:sz w:val="15"/>
                <w:szCs w:val="15"/>
                <w:color w:val="auto"/>
              </w:rPr>
            </w:pPr>
          </w:p>
        </w:tc>
        <w:tc>
          <w:tcPr>
            <w:tcW w:w="10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Certification of Chief Executive Officer pursuant to Rule 13a-14(a)/15d-14(a), as adopted pursuant to Section 302 of the Sarbanes-Oxley Act of 2002.</w:t>
            </w:r>
          </w:p>
        </w:tc>
      </w:tr>
      <w:tr>
        <w:trPr>
          <w:trHeight w:val="75"/>
        </w:trPr>
        <w:tc>
          <w:tcPr>
            <w:tcW w:w="2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300" w:type="dxa"/>
            <w:vAlign w:val="bottom"/>
            <w:tcBorders>
              <w:top w:val="single" w:sz="8" w:color="CCEEFF"/>
            </w:tcBorders>
            <w:shd w:val="clear" w:color="auto" w:fill="CCEEFF"/>
          </w:tcPr>
          <w:p>
            <w:pPr>
              <w:spacing w:after="0"/>
              <w:rPr>
                <w:sz w:val="6"/>
                <w:szCs w:val="6"/>
                <w:color w:val="auto"/>
              </w:rPr>
            </w:pPr>
          </w:p>
        </w:tc>
      </w:tr>
      <w:tr>
        <w:trPr>
          <w:trHeight w:val="440"/>
        </w:trPr>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300" w:type="dxa"/>
            <w:vAlign w:val="bottom"/>
          </w:tcPr>
          <w:p>
            <w:pPr>
              <w:ind w:left="4520"/>
              <w:spacing w:after="0"/>
              <w:rPr>
                <w:sz w:val="20"/>
                <w:szCs w:val="20"/>
                <w:color w:val="auto"/>
              </w:rPr>
            </w:pPr>
            <w:r>
              <w:rPr>
                <w:rFonts w:ascii="Arial" w:cs="Arial" w:eastAsia="Arial" w:hAnsi="Arial"/>
                <w:sz w:val="16"/>
                <w:szCs w:val="16"/>
                <w:color w:val="auto"/>
              </w:rPr>
              <w:t>89</w:t>
            </w:r>
          </w:p>
        </w:tc>
      </w:tr>
    </w:tbl>
    <w:p>
      <w:pPr>
        <w:sectPr>
          <w:pgSz w:w="11900" w:h="16838" w:orient="portrait"/>
          <w:cols w:equalWidth="0" w:num="1">
            <w:col w:w="11400"/>
          </w:cols>
          <w:pgMar w:left="240" w:top="630" w:right="25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7"/>
                <w:szCs w:val="17"/>
                <w:color w:val="auto"/>
              </w:rPr>
            </w:pPr>
          </w:p>
        </w:tc>
        <w:tc>
          <w:tcPr>
            <w:tcW w:w="98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1380" w:type="dxa"/>
            <w:vAlign w:val="bottom"/>
            <w:gridSpan w:val="4"/>
          </w:tcPr>
          <w:p>
            <w:pPr>
              <w:ind w:left="260"/>
              <w:spacing w:after="0"/>
              <w:rPr>
                <w:rFonts w:ascii="Arial" w:cs="Arial" w:eastAsia="Arial" w:hAnsi="Arial"/>
                <w:sz w:val="14"/>
                <w:szCs w:val="14"/>
                <w:color w:val="0000EE"/>
              </w:rPr>
            </w:pPr>
            <w:hyperlink w:anchor="page93">
              <w:r>
                <w:rPr>
                  <w:rFonts w:ascii="Arial" w:cs="Arial" w:eastAsia="Arial" w:hAnsi="Arial"/>
                  <w:sz w:val="14"/>
                  <w:szCs w:val="14"/>
                  <w:color w:val="0000EE"/>
                </w:rPr>
                <w:t>31.</w:t>
              </w:r>
              <w:r>
                <w:rPr>
                  <w:rFonts w:ascii="Arial" w:cs="Arial" w:eastAsia="Arial" w:hAnsi="Arial"/>
                  <w:sz w:val="14"/>
                  <w:szCs w:val="14"/>
                  <w:u w:val="single" w:color="auto"/>
                  <w:color w:val="0000EE"/>
                </w:rPr>
                <w:t>2</w:t>
              </w:r>
            </w:hyperlink>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Certification of Chief Financial Officer pursuant to Rule 13a-14(a)/15d-14(a), as adopted pursuant to Section 302 of the Sarbanes-Oxley Act of 2002</w:t>
            </w:r>
          </w:p>
        </w:tc>
      </w:tr>
      <w:tr>
        <w:trPr>
          <w:trHeight w:val="61"/>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176"/>
        </w:trPr>
        <w:tc>
          <w:tcPr>
            <w:tcW w:w="1380" w:type="dxa"/>
            <w:vAlign w:val="bottom"/>
            <w:gridSpan w:val="4"/>
            <w:shd w:val="clear" w:color="auto" w:fill="CCEEFF"/>
          </w:tcPr>
          <w:p>
            <w:pPr>
              <w:ind w:left="260"/>
              <w:spacing w:after="0"/>
              <w:rPr>
                <w:rFonts w:ascii="Arial" w:cs="Arial" w:eastAsia="Arial" w:hAnsi="Arial"/>
                <w:sz w:val="14"/>
                <w:szCs w:val="14"/>
                <w:color w:val="0000EE"/>
              </w:rPr>
            </w:pPr>
            <w:hyperlink w:anchor="page94">
              <w:r>
                <w:rPr>
                  <w:rFonts w:ascii="Arial" w:cs="Arial" w:eastAsia="Arial" w:hAnsi="Arial"/>
                  <w:sz w:val="14"/>
                  <w:szCs w:val="14"/>
                  <w:color w:val="0000EE"/>
                </w:rPr>
                <w:t>32.</w:t>
              </w:r>
              <w:r>
                <w:rPr>
                  <w:rFonts w:ascii="Arial" w:cs="Arial" w:eastAsia="Arial" w:hAnsi="Arial"/>
                  <w:sz w:val="14"/>
                  <w:szCs w:val="14"/>
                  <w:u w:val="single" w:color="auto"/>
                  <w:color w:val="0000EE"/>
                </w:rPr>
                <w:t>1</w:t>
              </w:r>
            </w:hyperlink>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Executive Officer pursuant to 18 U.S.C. Section 1350, as adopted pursuant to Section 906 of the Sarbanes-Oxley Act of 2002.</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860" w:type="dxa"/>
            <w:vAlign w:val="bottom"/>
            <w:tcBorders>
              <w:top w:val="single" w:sz="8" w:color="CCEEFF"/>
            </w:tcBorders>
            <w:shd w:val="clear" w:color="auto" w:fill="CCEEFF"/>
          </w:tcPr>
          <w:p>
            <w:pPr>
              <w:spacing w:after="0"/>
              <w:rPr>
                <w:sz w:val="6"/>
                <w:szCs w:val="6"/>
                <w:color w:val="auto"/>
              </w:rPr>
            </w:pPr>
          </w:p>
        </w:tc>
      </w:tr>
      <w:tr>
        <w:trPr>
          <w:trHeight w:val="176"/>
        </w:trPr>
        <w:tc>
          <w:tcPr>
            <w:tcW w:w="1380" w:type="dxa"/>
            <w:vAlign w:val="bottom"/>
            <w:gridSpan w:val="4"/>
          </w:tcPr>
          <w:p>
            <w:pPr>
              <w:ind w:left="260"/>
              <w:spacing w:after="0"/>
              <w:rPr>
                <w:rFonts w:ascii="Arial" w:cs="Arial" w:eastAsia="Arial" w:hAnsi="Arial"/>
                <w:sz w:val="14"/>
                <w:szCs w:val="14"/>
                <w:color w:val="0000EE"/>
              </w:rPr>
            </w:pPr>
            <w:hyperlink w:anchor="page95">
              <w:r>
                <w:rPr>
                  <w:rFonts w:ascii="Arial" w:cs="Arial" w:eastAsia="Arial" w:hAnsi="Arial"/>
                  <w:sz w:val="14"/>
                  <w:szCs w:val="14"/>
                  <w:color w:val="0000EE"/>
                </w:rPr>
                <w:t>32.</w:t>
              </w:r>
              <w:r>
                <w:rPr>
                  <w:rFonts w:ascii="Arial" w:cs="Arial" w:eastAsia="Arial" w:hAnsi="Arial"/>
                  <w:sz w:val="14"/>
                  <w:szCs w:val="14"/>
                  <w:u w:val="single" w:color="auto"/>
                  <w:color w:val="0000EE"/>
                </w:rPr>
                <w:t>2</w:t>
              </w:r>
            </w:hyperlink>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Certification of Chief Financial Officer pursuant to 18 U.S.C. Section 1350, as adopted pursuant to Section 906 of the Sarbanes-Oxley Act of 2002.</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204"/>
        </w:trPr>
        <w:tc>
          <w:tcPr>
            <w:tcW w:w="24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101.INS</w:t>
            </w: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Instance Document.</w:t>
            </w:r>
          </w:p>
        </w:tc>
      </w:tr>
      <w:tr>
        <w:trPr>
          <w:trHeight w:val="66"/>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60" w:type="dxa"/>
            <w:vAlign w:val="bottom"/>
            <w:shd w:val="clear" w:color="auto" w:fill="CCEEFF"/>
          </w:tcPr>
          <w:p>
            <w:pPr>
              <w:spacing w:after="0"/>
              <w:rPr>
                <w:sz w:val="5"/>
                <w:szCs w:val="5"/>
                <w:color w:val="auto"/>
              </w:rPr>
            </w:pPr>
          </w:p>
        </w:tc>
      </w:tr>
      <w:tr>
        <w:trPr>
          <w:trHeight w:val="204"/>
        </w:trPr>
        <w:tc>
          <w:tcPr>
            <w:tcW w:w="240" w:type="dxa"/>
            <w:vAlign w:val="bottom"/>
          </w:tcPr>
          <w:p>
            <w:pPr>
              <w:spacing w:after="0"/>
              <w:rPr>
                <w:sz w:val="17"/>
                <w:szCs w:val="17"/>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color w:val="auto"/>
              </w:rPr>
              <w:t>101.SCH</w:t>
            </w:r>
          </w:p>
        </w:tc>
        <w:tc>
          <w:tcPr>
            <w:tcW w:w="9860" w:type="dxa"/>
            <w:vAlign w:val="bottom"/>
          </w:tcPr>
          <w:p>
            <w:pPr>
              <w:ind w:left="20"/>
              <w:spacing w:after="0"/>
              <w:rPr>
                <w:sz w:val="20"/>
                <w:szCs w:val="20"/>
                <w:color w:val="auto"/>
              </w:rPr>
            </w:pPr>
            <w:r>
              <w:rPr>
                <w:rFonts w:ascii="Arial" w:cs="Arial" w:eastAsia="Arial" w:hAnsi="Arial"/>
                <w:sz w:val="14"/>
                <w:szCs w:val="14"/>
                <w:color w:val="auto"/>
              </w:rPr>
              <w:t>XBRL Taxonomy Extension Schema Document.</w:t>
            </w:r>
          </w:p>
        </w:tc>
      </w:tr>
      <w:tr>
        <w:trPr>
          <w:trHeight w:val="66"/>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04"/>
        </w:trPr>
        <w:tc>
          <w:tcPr>
            <w:tcW w:w="24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101.CAL</w:t>
            </w: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66"/>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60" w:type="dxa"/>
            <w:vAlign w:val="bottom"/>
            <w:shd w:val="clear" w:color="auto" w:fill="CCEEFF"/>
          </w:tcPr>
          <w:p>
            <w:pPr>
              <w:spacing w:after="0"/>
              <w:rPr>
                <w:sz w:val="5"/>
                <w:szCs w:val="5"/>
                <w:color w:val="auto"/>
              </w:rPr>
            </w:pPr>
          </w:p>
        </w:tc>
      </w:tr>
      <w:tr>
        <w:trPr>
          <w:trHeight w:val="204"/>
        </w:trPr>
        <w:tc>
          <w:tcPr>
            <w:tcW w:w="240" w:type="dxa"/>
            <w:vAlign w:val="bottom"/>
          </w:tcPr>
          <w:p>
            <w:pPr>
              <w:spacing w:after="0"/>
              <w:rPr>
                <w:sz w:val="17"/>
                <w:szCs w:val="17"/>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color w:val="auto"/>
              </w:rPr>
              <w:t>101.DEF</w:t>
            </w:r>
          </w:p>
        </w:tc>
        <w:tc>
          <w:tcPr>
            <w:tcW w:w="9860" w:type="dxa"/>
            <w:vAlign w:val="bottom"/>
          </w:tcPr>
          <w:p>
            <w:pPr>
              <w:ind w:left="20"/>
              <w:spacing w:after="0"/>
              <w:rPr>
                <w:sz w:val="20"/>
                <w:szCs w:val="20"/>
                <w:color w:val="auto"/>
              </w:rPr>
            </w:pPr>
            <w:r>
              <w:rPr>
                <w:rFonts w:ascii="Arial" w:cs="Arial" w:eastAsia="Arial" w:hAnsi="Arial"/>
                <w:sz w:val="14"/>
                <w:szCs w:val="14"/>
                <w:color w:val="auto"/>
              </w:rPr>
              <w:t>XBRL Taxonomy Extension Definition Linkbase Document.</w:t>
            </w:r>
          </w:p>
        </w:tc>
      </w:tr>
      <w:tr>
        <w:trPr>
          <w:trHeight w:val="66"/>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04"/>
        </w:trPr>
        <w:tc>
          <w:tcPr>
            <w:tcW w:w="24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101.LAB</w:t>
            </w: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Label Linkbase Document.</w:t>
            </w:r>
          </w:p>
        </w:tc>
      </w:tr>
      <w:tr>
        <w:trPr>
          <w:trHeight w:val="66"/>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60" w:type="dxa"/>
            <w:vAlign w:val="bottom"/>
            <w:shd w:val="clear" w:color="auto" w:fill="CCEEFF"/>
          </w:tcPr>
          <w:p>
            <w:pPr>
              <w:spacing w:after="0"/>
              <w:rPr>
                <w:sz w:val="5"/>
                <w:szCs w:val="5"/>
                <w:color w:val="auto"/>
              </w:rPr>
            </w:pPr>
          </w:p>
        </w:tc>
      </w:tr>
      <w:tr>
        <w:trPr>
          <w:trHeight w:val="204"/>
        </w:trPr>
        <w:tc>
          <w:tcPr>
            <w:tcW w:w="240" w:type="dxa"/>
            <w:vAlign w:val="bottom"/>
          </w:tcPr>
          <w:p>
            <w:pPr>
              <w:spacing w:after="0"/>
              <w:rPr>
                <w:sz w:val="17"/>
                <w:szCs w:val="17"/>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color w:val="auto"/>
              </w:rPr>
              <w:t>101.PRE</w:t>
            </w:r>
          </w:p>
        </w:tc>
        <w:tc>
          <w:tcPr>
            <w:tcW w:w="9860" w:type="dxa"/>
            <w:vAlign w:val="bottom"/>
          </w:tcPr>
          <w:p>
            <w:pPr>
              <w:ind w:left="20"/>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41910</wp:posOffset>
            </wp:positionV>
            <wp:extent cx="72034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extLst>
                    </a:blip>
                    <a:srcRect/>
                    <a:stretch>
                      <a:fillRect/>
                    </a:stretch>
                  </pic:blipFill>
                  <pic:spPr bwMode="auto">
                    <a:xfrm>
                      <a:off x="0" y="0"/>
                      <a:ext cx="7203440" cy="137160"/>
                    </a:xfrm>
                    <a:prstGeom prst="rect">
                      <a:avLst/>
                    </a:prstGeom>
                    <a:noFill/>
                  </pic:spPr>
                </pic:pic>
              </a:graphicData>
            </a:graphic>
          </wp:anchor>
        </w:drawing>
      </w:r>
    </w:p>
    <w:p>
      <w:pPr>
        <w:spacing w:after="0" w:line="64" w:lineRule="exact"/>
        <w:rPr>
          <w:sz w:val="20"/>
          <w:szCs w:val="20"/>
          <w:color w:val="auto"/>
        </w:rPr>
      </w:pPr>
    </w:p>
    <w:p>
      <w:pPr>
        <w:ind w:left="260" w:hanging="231"/>
        <w:spacing w:after="0"/>
        <w:tabs>
          <w:tab w:leader="none" w:pos="26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60"/>
          </w:cols>
          <w:pgMar w:left="280" w:top="747" w:right="259" w:bottom="1440" w:gutter="0" w:footer="0" w:header="0"/>
        </w:sectPr>
      </w:pPr>
    </w:p>
    <w:bookmarkStart w:id="90" w:name="page91"/>
    <w:bookmarkEnd w:id="90"/>
    <w:p>
      <w:pPr>
        <w:jc w:val="center"/>
        <w:ind w:right="-199"/>
        <w:spacing w:after="0"/>
        <w:rPr>
          <w:sz w:val="20"/>
          <w:szCs w:val="20"/>
          <w:color w:val="auto"/>
        </w:rPr>
      </w:pPr>
      <w:r>
        <w:rPr>
          <w:rFonts w:ascii="Arial" w:cs="Arial" w:eastAsia="Arial" w:hAnsi="Arial"/>
          <w:sz w:val="16"/>
          <w:szCs w:val="16"/>
          <w:b w:val="1"/>
          <w:bCs w:val="1"/>
          <w:color w:val="00497F"/>
        </w:rPr>
        <w:t>SIGNATURES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220" w:type="dxa"/>
            <w:vAlign w:val="bottom"/>
          </w:tcPr>
          <w:p>
            <w:pPr>
              <w:ind w:left="320"/>
              <w:spacing w:after="0"/>
              <w:rPr>
                <w:sz w:val="20"/>
                <w:szCs w:val="20"/>
                <w:color w:val="auto"/>
              </w:rPr>
            </w:pPr>
            <w:r>
              <w:rPr>
                <w:rFonts w:ascii="Arial" w:cs="Arial" w:eastAsia="Arial" w:hAnsi="Arial"/>
                <w:sz w:val="16"/>
                <w:szCs w:val="16"/>
                <w:color w:val="auto"/>
                <w:w w:val="99"/>
              </w:rPr>
              <w:t>May 4, 2018</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Joseph P. Adams, Jr.</w:t>
            </w:r>
          </w:p>
        </w:tc>
        <w:tc>
          <w:tcPr>
            <w:tcW w:w="4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Chairman and Chief Executive Officer</w:t>
            </w:r>
          </w:p>
        </w:tc>
        <w:tc>
          <w:tcPr>
            <w:tcW w:w="46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220" w:type="dxa"/>
            <w:vAlign w:val="bottom"/>
          </w:tcPr>
          <w:p>
            <w:pPr>
              <w:ind w:left="320"/>
              <w:spacing w:after="0"/>
              <w:rPr>
                <w:sz w:val="20"/>
                <w:szCs w:val="20"/>
                <w:color w:val="auto"/>
              </w:rPr>
            </w:pPr>
            <w:r>
              <w:rPr>
                <w:rFonts w:ascii="Arial" w:cs="Arial" w:eastAsia="Arial" w:hAnsi="Arial"/>
                <w:sz w:val="16"/>
                <w:szCs w:val="16"/>
                <w:color w:val="auto"/>
                <w:w w:val="99"/>
              </w:rPr>
              <w:t>May 4, 2018</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Scott Christopher</w:t>
            </w:r>
          </w:p>
        </w:tc>
        <w:tc>
          <w:tcPr>
            <w:tcW w:w="460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4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Chief Financial Officer and Chief Accounting</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Officer</w:t>
      </w: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20"/>
          </w:cols>
          <w:pgMar w:left="240" w:top="635" w:right="43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396"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right="20" w:firstLine="8"/>
        <w:spacing w:after="0" w:line="260" w:lineRule="auto"/>
        <w:tabs>
          <w:tab w:leader="none" w:pos="33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038"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204"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1138"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10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38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1062"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right="20" w:firstLine="656"/>
        <w:spacing w:after="0" w:line="260" w:lineRule="auto"/>
        <w:tabs>
          <w:tab w:leader="none" w:pos="1048"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May 4, 2018</w:t>
            </w:r>
          </w:p>
        </w:tc>
        <w:tc>
          <w:tcPr>
            <w:tcW w:w="582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(Date)</w:t>
            </w:r>
          </w:p>
        </w:tc>
        <w:tc>
          <w:tcPr>
            <w:tcW w:w="3760" w:type="dxa"/>
            <w:vAlign w:val="bottom"/>
          </w:tcPr>
          <w:p>
            <w:pPr>
              <w:ind w:left="40"/>
              <w:spacing w:after="0"/>
              <w:rPr>
                <w:sz w:val="20"/>
                <w:szCs w:val="20"/>
                <w:color w:val="auto"/>
              </w:rPr>
            </w:pPr>
            <w:r>
              <w:rPr>
                <w:rFonts w:ascii="Arial" w:cs="Arial" w:eastAsia="Arial" w:hAnsi="Arial"/>
                <w:sz w:val="16"/>
                <w:szCs w:val="16"/>
                <w:color w:val="auto"/>
              </w:rPr>
              <w:t>Joseph P. Adams, Jr.</w:t>
            </w:r>
          </w:p>
        </w:tc>
      </w:tr>
      <w:tr>
        <w:trPr>
          <w:trHeight w:val="270"/>
        </w:trPr>
        <w:tc>
          <w:tcPr>
            <w:tcW w:w="184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58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firstLine="8"/>
        <w:spacing w:after="0" w:line="260" w:lineRule="auto"/>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right="20" w:firstLine="8"/>
        <w:spacing w:after="0" w:line="260" w:lineRule="auto"/>
        <w:tabs>
          <w:tab w:leader="none" w:pos="33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4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038"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204"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1138"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1078"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38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1062"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right="20" w:firstLine="656"/>
        <w:spacing w:after="0" w:line="260" w:lineRule="auto"/>
        <w:tabs>
          <w:tab w:leader="none" w:pos="1048"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May 4, 2018</w:t>
            </w:r>
          </w:p>
        </w:tc>
        <w:tc>
          <w:tcPr>
            <w:tcW w:w="57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(Date)</w:t>
            </w:r>
          </w:p>
        </w:tc>
        <w:tc>
          <w:tcPr>
            <w:tcW w:w="3760" w:type="dxa"/>
            <w:vAlign w:val="bottom"/>
          </w:tcPr>
          <w:p>
            <w:pPr>
              <w:ind w:left="40"/>
              <w:spacing w:after="0"/>
              <w:rPr>
                <w:sz w:val="20"/>
                <w:szCs w:val="20"/>
                <w:color w:val="auto"/>
              </w:rPr>
            </w:pPr>
            <w:r>
              <w:rPr>
                <w:rFonts w:ascii="Arial" w:cs="Arial" w:eastAsia="Arial" w:hAnsi="Arial"/>
                <w:sz w:val="16"/>
                <w:szCs w:val="16"/>
                <w:color w:val="auto"/>
              </w:rPr>
              <w:t>Scott Christopher</w:t>
            </w:r>
          </w:p>
        </w:tc>
      </w:tr>
      <w:tr>
        <w:trPr>
          <w:trHeight w:val="270"/>
        </w:trPr>
        <w:tc>
          <w:tcPr>
            <w:tcW w:w="196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581"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March 31, 2018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9"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380" w:hanging="372"/>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27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Joseph P. Adams, Jr.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May 4, 2018</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March 31, 2018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49"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380" w:hanging="372"/>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27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Scott Christopher</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May 4, 2018</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3"/>
    </w:lvl>
  </w:abstractNum>
  <w:abstractNum w:abstractNumId="11">
    <w:nsid w:val="54E49EB4"/>
    <w:multiLevelType w:val="hybridMultilevel"/>
    <w:lvl w:ilvl="0">
      <w:lvlJc w:val="left"/>
      <w:lvlText w:val="(%1)"/>
      <w:numFmt w:val="lowerLetter"/>
      <w:start w:val="2"/>
    </w:lvl>
  </w:abstractNum>
  <w:abstractNum w:abstractNumId="12">
    <w:nsid w:val="71F32454"/>
    <w:multiLevelType w:val="hybridMultilevel"/>
    <w:lvl w:ilvl="0">
      <w:lvlJc w:val="left"/>
      <w:lvlText w:val="(%1)"/>
      <w:numFmt w:val="lowerLetter"/>
      <w:start w:val="2"/>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3"/>
    </w:lvl>
  </w:abstractNum>
  <w:abstractNum w:abstractNumId="15">
    <w:nsid w:val="2901D82"/>
    <w:multiLevelType w:val="hybridMultilevel"/>
    <w:lvl w:ilvl="0">
      <w:lvlJc w:val="left"/>
      <w:lvlText w:val="(%1)"/>
      <w:numFmt w:val="decimal"/>
      <w:start w:val="5"/>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2"/>
    </w:lvl>
  </w:abstractNum>
  <w:abstractNum w:abstractNumId="18">
    <w:nsid w:val="1E7FF521"/>
    <w:multiLevelType w:val="hybridMultilevel"/>
    <w:lvl w:ilvl="0">
      <w:lvlJc w:val="left"/>
      <w:lvlText w:val="(%1)"/>
      <w:numFmt w:val="decimal"/>
      <w:start w:val="1"/>
    </w:lvl>
    <w:lvl w:ilvl="1">
      <w:lvlJc w:val="left"/>
      <w:lvlText w:val="(%2)"/>
      <w:numFmt w:val="lowerRoman"/>
      <w:start w:val="2"/>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2"/>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3"/>
    </w:lvl>
  </w:abstractNum>
  <w:abstractNum w:abstractNumId="23">
    <w:nsid w:val="4516DDE9"/>
    <w:multiLevelType w:val="hybridMultilevel"/>
    <w:lvl w:ilvl="0">
      <w:lvlJc w:val="left"/>
      <w:lvlText w:val="(%1)"/>
      <w:numFmt w:val="decimal"/>
      <w:start w:val="1"/>
    </w:lvl>
    <w:lvl w:ilvl="1">
      <w:lvlJc w:val="left"/>
      <w:lvlText w:val="(%2)"/>
      <w:numFmt w:val="lowerRoman"/>
      <w:start w:val="2"/>
    </w:lvl>
  </w:abstractNum>
  <w:abstractNum w:abstractNumId="24">
    <w:nsid w:val="3006C83E"/>
    <w:multiLevelType w:val="hybridMultilevel"/>
    <w:lvl w:ilvl="0">
      <w:lvlJc w:val="left"/>
      <w:lvlText w:val="(%1)"/>
      <w:numFmt w:val="lowerRoman"/>
      <w:start w:val="3"/>
    </w:lvl>
    <w:lvl w:ilvl="1">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upperLetter"/>
      <w:start w:val="35"/>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46" Type="http://schemas.openxmlformats.org/officeDocument/2006/relationships/image" Target="media/image21.png"/><Relationship Id="rId52" Type="http://schemas.openxmlformats.org/officeDocument/2006/relationships/image" Target="media/image22.png"/><Relationship Id="rId53" Type="http://schemas.openxmlformats.org/officeDocument/2006/relationships/image" Target="media/image23.png"/><Relationship Id="rId54" Type="http://schemas.openxmlformats.org/officeDocument/2006/relationships/image" Target="media/image24.png"/><Relationship Id="rId28" Type="http://schemas.openxmlformats.org/officeDocument/2006/relationships/hyperlink" Target="http://www.sec.gov/Archives/edgar/data/1590364/000119312515163776/d616610dex31.htm" TargetMode="External"/><Relationship Id="rId29" Type="http://schemas.openxmlformats.org/officeDocument/2006/relationships/hyperlink" Target="http://www.sec.gov/Archives/edgar/data/1590364/000119312515197222/d931434dex31.htm" TargetMode="External"/><Relationship Id="rId30" Type="http://schemas.openxmlformats.org/officeDocument/2006/relationships/hyperlink" Target="http://www.sec.gov/Archives/edgar/data/1590364/000159036416000014/ftai12312015exhibit33.htm" TargetMode="External"/><Relationship Id="rId31" Type="http://schemas.openxmlformats.org/officeDocument/2006/relationships/hyperlink" Target="http://www.sec.gov/Archives/edgar/data/1590364/000095015717000381/ex4-1.htm" TargetMode="External"/><Relationship Id="rId32" Type="http://schemas.openxmlformats.org/officeDocument/2006/relationships/hyperlink" Target="http://www.sec.gov/Archives/edgar/data/1590364/000095015717000381/0000950157-17-000381-index.htm" TargetMode="External"/><Relationship Id="rId33" Type="http://schemas.openxmlformats.org/officeDocument/2006/relationships/hyperlink" Target="http://www.sec.gov/Archives/edgar/data/1590364/000159036418000003/ftai12312017exhibit43.htm" TargetMode="External"/><Relationship Id="rId34" Type="http://schemas.openxmlformats.org/officeDocument/2006/relationships/hyperlink" Target="http://www.sec.gov/Archives/edgar/data/1590364/000095015717001232/ex4-1.htm" TargetMode="External"/><Relationship Id="rId35" Type="http://schemas.openxmlformats.org/officeDocument/2006/relationships/hyperlink" Target="http://www.sec.gov/Archives/edgar/data/1590364/000114036117046889/s001999x5_ex4-1.htm" TargetMode="External"/><Relationship Id="rId36" Type="http://schemas.openxmlformats.org/officeDocument/2006/relationships/hyperlink" Target="http://www.sec.gov/Archives/edgar/data/1590364/000119312515197222/d931434dex101.htm" TargetMode="External"/><Relationship Id="rId37" Type="http://schemas.openxmlformats.org/officeDocument/2006/relationships/hyperlink" Target="http://www.sec.gov/Archives/edgar/data/1590364/000119312515197222/d931434dex102.htm" TargetMode="External"/><Relationship Id="rId38" Type="http://schemas.openxmlformats.org/officeDocument/2006/relationships/hyperlink" Target="http://www.sec.gov/Archives/edgar/data/1590364/000119312515163776/d616610dex103.htm" TargetMode="External"/><Relationship Id="rId39" Type="http://schemas.openxmlformats.org/officeDocument/2006/relationships/hyperlink" Target="http://www.sec.gov/Archives/edgar/data/1590364/000119312515197222/d931434dex103.htm" TargetMode="External"/><Relationship Id="rId40" Type="http://schemas.openxmlformats.org/officeDocument/2006/relationships/hyperlink" Target="http://www.sec.gov/Archives/edgar/data/1590364/000119312515163776/d616610dex105.htm" TargetMode="External"/><Relationship Id="rId41" Type="http://schemas.openxmlformats.org/officeDocument/2006/relationships/hyperlink" Target="http://www.sec.gov/Archives/edgar/data/1590364/000119312515163776/d616610dex106.htm" TargetMode="External"/><Relationship Id="rId42" Type="http://schemas.openxmlformats.org/officeDocument/2006/relationships/hyperlink" Target="http://www.sec.gov/Archives/edgar/data/1590364/000159036416000014/ftai12312015exhibit107.htm" TargetMode="External"/><Relationship Id="rId43" Type="http://schemas.openxmlformats.org/officeDocument/2006/relationships/hyperlink" Target="http://www.sec.gov/Archives/edgar/data/1590364/000159036416000014/ftai12312015exhibit108.htm" TargetMode="External"/><Relationship Id="rId44" Type="http://schemas.openxmlformats.org/officeDocument/2006/relationships/hyperlink" Target="http://www.sec.gov/Archives/edgar/data/1590364/000159036416000014/ftai12312015exhibit109.htm" TargetMode="External"/><Relationship Id="rId45" Type="http://schemas.openxmlformats.org/officeDocument/2006/relationships/hyperlink" Target="http://www.sec.gov/Archives/edgar/data/1590364/000159036416000014/ftai12312015exhibit1010.htm" TargetMode="External"/><Relationship Id="rId47" Type="http://schemas.openxmlformats.org/officeDocument/2006/relationships/hyperlink" Target="http://www.sec.gov/Archives/edgar/data/1590364/000159036416000014/0001590364-16-000014-index.htm" TargetMode="External"/><Relationship Id="rId48" Type="http://schemas.openxmlformats.org/officeDocument/2006/relationships/hyperlink" Target="http://www.sec.gov/Archives/edgar/data/1590364/000159036416000014/ftai12312015exhibit1012.htm" TargetMode="External"/><Relationship Id="rId49" Type="http://schemas.openxmlformats.org/officeDocument/2006/relationships/hyperlink" Target="http://www.sec.gov/Archives/edgar/data/1590364/000156761917000090/s001516x1_ex10-1.htm" TargetMode="External"/><Relationship Id="rId50" Type="http://schemas.openxmlformats.org/officeDocument/2006/relationships/hyperlink" Target="http://www.sec.gov/Archives/edgar/data/1590364/000156761917001299/s001761x1_ex10-1.htm" TargetMode="External"/><Relationship Id="rId51" Type="http://schemas.openxmlformats.org/officeDocument/2006/relationships/hyperlink" Target="http://www.sec.gov/Archives/edgar/data/1590364/000114036118002262/s002014x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2019-12-28T23:03:10Z</dcterms:created>
  <dcterms:modified xsi:type="dcterms:W3CDTF">2019-12-28T23:03:10Z</dcterms:modified>
</cp:coreProperties>
</file>