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171"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221" w:lineRule="exact"/>
        <w:rPr>
          <w:sz w:val="24"/>
          <w:szCs w:val="24"/>
          <w:color w:val="auto"/>
        </w:rPr>
      </w:pPr>
    </w:p>
    <w:p>
      <w:pPr>
        <w:ind w:left="1920" w:hanging="187"/>
        <w:spacing w:after="0"/>
        <w:tabs>
          <w:tab w:leader="none" w:pos="19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September 30, 2016</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left="4300" w:right="1700" w:hanging="2595"/>
        <w:spacing w:after="0" w:line="684" w:lineRule="auto"/>
        <w:tabs>
          <w:tab w:leader="none" w:pos="18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ind w:left="45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54610</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FORTRESS TRANSPORTATION AND INFRASTRUCTURE INVESTORS LLC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w w:val="93"/>
              </w:rPr>
              <w:t>Delaware</w:t>
            </w:r>
          </w:p>
        </w:tc>
        <w:tc>
          <w:tcPr>
            <w:tcW w:w="5240" w:type="dxa"/>
            <w:vAlign w:val="bottom"/>
          </w:tcPr>
          <w:p>
            <w:pPr>
              <w:jc w:val="right"/>
              <w:ind w:right="2139"/>
              <w:spacing w:after="0"/>
              <w:rPr>
                <w:sz w:val="20"/>
                <w:szCs w:val="20"/>
                <w:color w:val="auto"/>
              </w:rPr>
            </w:pPr>
            <w:r>
              <w:rPr>
                <w:rFonts w:ascii="Arial" w:cs="Arial" w:eastAsia="Arial" w:hAnsi="Arial"/>
                <w:sz w:val="16"/>
                <w:szCs w:val="16"/>
                <w:b w:val="1"/>
                <w:bCs w:val="1"/>
                <w:color w:val="auto"/>
              </w:rPr>
              <w:t>32-0434238</w:t>
            </w:r>
          </w:p>
        </w:tc>
      </w:tr>
      <w:tr>
        <w:trPr>
          <w:trHeight w:val="47"/>
        </w:trPr>
        <w:tc>
          <w:tcPr>
            <w:tcW w:w="52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jc w:val="center"/>
              <w:ind w:right="90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519"/>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89"/>
              </w:rPr>
              <w:t>1345 Avenue of the Americas,</w:t>
            </w:r>
          </w:p>
        </w:tc>
        <w:tc>
          <w:tcPr>
            <w:tcW w:w="5240" w:type="dxa"/>
            <w:vAlign w:val="bottom"/>
          </w:tcPr>
          <w:p>
            <w:pPr>
              <w:jc w:val="right"/>
              <w:ind w:right="2339"/>
              <w:spacing w:after="0"/>
              <w:rPr>
                <w:sz w:val="20"/>
                <w:szCs w:val="20"/>
                <w:color w:val="auto"/>
              </w:rPr>
            </w:pPr>
            <w:r>
              <w:rPr>
                <w:rFonts w:ascii="Arial" w:cs="Arial" w:eastAsia="Arial" w:hAnsi="Arial"/>
                <w:sz w:val="16"/>
                <w:szCs w:val="16"/>
                <w:b w:val="1"/>
                <w:bCs w:val="1"/>
                <w:color w:val="auto"/>
              </w:rPr>
              <w:t>10105</w:t>
            </w:r>
          </w:p>
        </w:tc>
      </w:tr>
      <w:tr>
        <w:trPr>
          <w:trHeight w:val="210"/>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96"/>
              </w:rPr>
              <w:t>New York, NY</w:t>
            </w:r>
          </w:p>
        </w:tc>
        <w:tc>
          <w:tcPr>
            <w:tcW w:w="5240" w:type="dxa"/>
            <w:vAlign w:val="bottom"/>
          </w:tcPr>
          <w:p>
            <w:pPr>
              <w:spacing w:after="0"/>
              <w:rPr>
                <w:sz w:val="18"/>
                <w:szCs w:val="18"/>
                <w:color w:val="auto"/>
              </w:rPr>
            </w:pPr>
          </w:p>
        </w:tc>
      </w:tr>
      <w:tr>
        <w:trPr>
          <w:trHeight w:val="33"/>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17"/>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3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25"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_______________________________________________</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4"/>
          <w:szCs w:val="24"/>
          <w:color w:val="auto"/>
        </w:rPr>
      </w:pPr>
    </w:p>
    <w:p>
      <w:pPr>
        <w:ind w:right="1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210" w:lineRule="exact"/>
        <w:rPr>
          <w:sz w:val="24"/>
          <w:szCs w:val="24"/>
          <w:color w:val="auto"/>
        </w:rPr>
      </w:pPr>
    </w:p>
    <w:p>
      <w:pPr>
        <w:ind w:left="20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2">
            <w:col w:w="7220" w:space="720"/>
            <w:col w:w="3480"/>
          </w:cols>
          <w:pgMar w:left="240" w:top="234" w:right="239" w:bottom="1440" w:gutter="0" w:footer="0" w:header="0"/>
          <w:type w:val="continuous"/>
        </w:sectPr>
      </w:pPr>
    </w:p>
    <w:p>
      <w:pPr>
        <w:spacing w:after="0" w:line="30" w:lineRule="exact"/>
        <w:rPr>
          <w:sz w:val="24"/>
          <w:szCs w:val="24"/>
          <w:color w:val="auto"/>
        </w:rPr>
      </w:pPr>
    </w:p>
    <w:p>
      <w:pPr>
        <w:ind w:left="20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29" w:lineRule="exact"/>
        <w:rPr>
          <w:sz w:val="24"/>
          <w:szCs w:val="24"/>
          <w:color w:val="auto"/>
        </w:rPr>
      </w:pPr>
    </w:p>
    <w:p>
      <w:pPr>
        <w:sectPr>
          <w:pgSz w:w="11900" w:h="16838" w:orient="portrait"/>
          <w:cols w:equalWidth="0" w:num="3">
            <w:col w:w="3440" w:space="80"/>
            <w:col w:w="3340" w:space="720"/>
            <w:col w:w="3840"/>
          </w:cols>
          <w:pgMar w:left="240" w:top="234" w:right="239" w:bottom="1440" w:gutter="0" w:footer="0" w:header="0"/>
          <w:type w:val="continuous"/>
        </w:sectPr>
      </w:pPr>
    </w:p>
    <w:p>
      <w:pPr>
        <w:spacing w:after="0" w:line="28" w:lineRule="exact"/>
        <w:rPr>
          <w:sz w:val="24"/>
          <w:szCs w:val="24"/>
          <w:color w:val="auto"/>
        </w:rPr>
      </w:pPr>
    </w:p>
    <w:p>
      <w:pPr>
        <w:ind w:right="31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There were 75,750,943 common shares representing limited liability company interests outstanding at November 3, 2016.</w:t>
      </w:r>
    </w:p>
    <w:p>
      <w:pPr>
        <w:sectPr>
          <w:pgSz w:w="11900" w:h="16838" w:orient="portrait"/>
          <w:cols w:equalWidth="0" w:num="1">
            <w:col w:w="11420"/>
          </w:cols>
          <w:pgMar w:left="240" w:top="234"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bottom w:val="single" w:sz="8" w:color="0000EE"/>
            </w:tcBorders>
            <w:gridSpan w:val="9"/>
          </w:tcPr>
          <w:p>
            <w:pPr>
              <w:jc w:val="center"/>
              <w:spacing w:after="0"/>
              <w:rPr>
                <w:rFonts w:ascii="Arial" w:cs="Arial" w:eastAsia="Arial" w:hAnsi="Arial"/>
                <w:sz w:val="16"/>
                <w:szCs w:val="16"/>
                <w:color w:val="0000EE"/>
              </w:rPr>
            </w:pPr>
            <w:hyperlink w:anchor="page3">
              <w:r>
                <w:rPr>
                  <w:rFonts w:ascii="Arial" w:cs="Arial" w:eastAsia="Arial" w:hAnsi="Arial"/>
                  <w:sz w:val="16"/>
                  <w:szCs w:val="16"/>
                  <w:color w:val="0000EE"/>
                </w:rPr>
                <w:t>PART I—FINANCIAL INFORMATION</w:t>
              </w:r>
            </w:hyperlink>
          </w:p>
        </w:tc>
        <w:tc>
          <w:tcPr>
            <w:tcW w:w="3580" w:type="dxa"/>
            <w:vAlign w:val="bottom"/>
            <w:gridSpan w:val="5"/>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960" w:type="dxa"/>
            <w:vAlign w:val="bottom"/>
            <w:gridSpan w:val="15"/>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Unaudited Consolidated Financial Statements</w:t>
              </w:r>
            </w:hyperlink>
          </w:p>
        </w:tc>
        <w:tc>
          <w:tcPr>
            <w:tcW w:w="6660" w:type="dxa"/>
            <w:vAlign w:val="bottom"/>
            <w:gridSpan w:val="17"/>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620" w:type="dxa"/>
            <w:vAlign w:val="bottom"/>
            <w:gridSpan w:val="32"/>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(unaudited) as of September 30, 2016 and December 31, 2015</w:t>
              </w:r>
            </w:hyperlink>
          </w:p>
        </w:tc>
        <w:tc>
          <w:tcPr>
            <w:tcW w:w="82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620" w:type="dxa"/>
            <w:vAlign w:val="bottom"/>
            <w:gridSpan w:val="3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Operations (unaudited) for the three and nine months ended September 30, 2016 and 2015</w:t>
              </w:r>
            </w:hyperlink>
          </w:p>
        </w:tc>
        <w:tc>
          <w:tcPr>
            <w:tcW w:w="820" w:type="dxa"/>
            <w:vAlign w:val="bottom"/>
            <w:gridSpan w:val="3"/>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960" w:type="dxa"/>
            <w:vAlign w:val="bottom"/>
            <w:gridSpan w:val="31"/>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Statements of Comprehensive (Loss) Income (unaudited) for the three and nine months ended September 30, 2016 and 2015</w:t>
              </w:r>
            </w:hyperlink>
          </w:p>
        </w:tc>
        <w:tc>
          <w:tcPr>
            <w:tcW w:w="660" w:type="dxa"/>
            <w:vAlign w:val="bottom"/>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6820" w:type="dxa"/>
            <w:vAlign w:val="bottom"/>
            <w:gridSpan w:val="28"/>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 of Changes in Equity (unaudited) for the nine months ended September 30, 2016</w:t>
              </w:r>
            </w:hyperlink>
          </w:p>
        </w:tc>
        <w:tc>
          <w:tcPr>
            <w:tcW w:w="2140" w:type="dxa"/>
            <w:vAlign w:val="bottom"/>
            <w:gridSpan w:val="3"/>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080" w:type="dxa"/>
            <w:vAlign w:val="bottom"/>
            <w:gridSpan w:val="29"/>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Consolidated Statements of Cash Flows (unaudited) for the nine months ended September 30, 2016 and 2015</w:t>
              </w:r>
            </w:hyperlink>
          </w:p>
        </w:tc>
        <w:tc>
          <w:tcPr>
            <w:tcW w:w="2540" w:type="dxa"/>
            <w:vAlign w:val="bottom"/>
            <w:gridSpan w:val="3"/>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620" w:type="dxa"/>
            <w:vAlign w:val="bottom"/>
            <w:gridSpan w:val="21"/>
          </w:tcPr>
          <w:p>
            <w:pPr>
              <w:spacing w:after="0"/>
              <w:rPr>
                <w:rFonts w:ascii="Arial" w:cs="Arial" w:eastAsia="Arial" w:hAnsi="Arial"/>
                <w:sz w:val="16"/>
                <w:szCs w:val="16"/>
                <w:color w:val="0000EE"/>
                <w:w w:val="90"/>
              </w:rPr>
            </w:pPr>
            <w:hyperlink w:anchor="page9">
              <w:r>
                <w:rPr>
                  <w:rFonts w:ascii="Arial" w:cs="Arial" w:eastAsia="Arial" w:hAnsi="Arial"/>
                  <w:sz w:val="16"/>
                  <w:szCs w:val="16"/>
                  <w:color w:val="0000EE"/>
                  <w:w w:val="90"/>
                </w:rPr>
                <w:t>Notes to Consolidated Financial Statements (unaudited)</w:t>
              </w:r>
            </w:hyperlink>
          </w:p>
        </w:tc>
        <w:tc>
          <w:tcPr>
            <w:tcW w:w="3460" w:type="dxa"/>
            <w:vAlign w:val="bottom"/>
            <w:gridSpan w:val="8"/>
          </w:tcPr>
          <w:p>
            <w:pPr>
              <w:spacing w:after="0"/>
              <w:rPr>
                <w:sz w:val="21"/>
                <w:szCs w:val="21"/>
                <w:color w:val="auto"/>
              </w:rPr>
            </w:pPr>
          </w:p>
        </w:tc>
        <w:tc>
          <w:tcPr>
            <w:tcW w:w="2540" w:type="dxa"/>
            <w:vAlign w:val="bottom"/>
            <w:gridSpan w:val="3"/>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80" w:type="dxa"/>
            <w:vAlign w:val="bottom"/>
            <w:gridSpan w:val="20"/>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1: Organization</w:t>
              </w:r>
            </w:hyperlink>
          </w:p>
        </w:tc>
        <w:tc>
          <w:tcPr>
            <w:tcW w:w="6000" w:type="dxa"/>
            <w:vAlign w:val="bottom"/>
            <w:gridSpan w:val="11"/>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40" w:type="dxa"/>
            <w:vAlign w:val="bottom"/>
            <w:gridSpan w:val="21"/>
          </w:tcPr>
          <w:p>
            <w:pPr>
              <w:spacing w:after="0"/>
              <w:rPr>
                <w:rFonts w:ascii="Arial" w:cs="Arial" w:eastAsia="Arial" w:hAnsi="Arial"/>
                <w:sz w:val="16"/>
                <w:szCs w:val="16"/>
                <w:color w:val="0000EE"/>
                <w:w w:val="94"/>
              </w:rPr>
            </w:pPr>
            <w:hyperlink w:anchor="page9">
              <w:r>
                <w:rPr>
                  <w:rFonts w:ascii="Arial" w:cs="Arial" w:eastAsia="Arial" w:hAnsi="Arial"/>
                  <w:sz w:val="16"/>
                  <w:szCs w:val="16"/>
                  <w:color w:val="0000EE"/>
                  <w:w w:val="94"/>
                </w:rPr>
                <w:t>Note 2: Summary of Significant Accounting Policies</w:t>
              </w:r>
            </w:hyperlink>
          </w:p>
        </w:tc>
        <w:tc>
          <w:tcPr>
            <w:tcW w:w="5840" w:type="dxa"/>
            <w:vAlign w:val="bottom"/>
            <w:gridSpan w:val="10"/>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80" w:type="dxa"/>
            <w:vAlign w:val="bottom"/>
            <w:gridSpan w:val="11"/>
          </w:tcPr>
          <w:p>
            <w:pPr>
              <w:spacing w:after="0"/>
              <w:rPr>
                <w:rFonts w:ascii="Arial" w:cs="Arial" w:eastAsia="Arial" w:hAnsi="Arial"/>
                <w:sz w:val="16"/>
                <w:szCs w:val="16"/>
                <w:color w:val="0000EE"/>
                <w:w w:val="91"/>
              </w:rPr>
            </w:pPr>
            <w:hyperlink w:anchor="page14">
              <w:r>
                <w:rPr>
                  <w:rFonts w:ascii="Arial" w:cs="Arial" w:eastAsia="Arial" w:hAnsi="Arial"/>
                  <w:sz w:val="16"/>
                  <w:szCs w:val="16"/>
                  <w:color w:val="0000EE"/>
                  <w:w w:val="91"/>
                </w:rPr>
                <w:t>Note 3: Leasing Equipment, net</w:t>
              </w:r>
            </w:hyperlink>
          </w:p>
        </w:tc>
        <w:tc>
          <w:tcPr>
            <w:tcW w:w="1360" w:type="dxa"/>
            <w:vAlign w:val="bottom"/>
            <w:gridSpan w:val="10"/>
          </w:tcPr>
          <w:p>
            <w:pPr>
              <w:spacing w:after="0"/>
              <w:rPr>
                <w:sz w:val="21"/>
                <w:szCs w:val="21"/>
                <w:color w:val="auto"/>
              </w:rPr>
            </w:pPr>
          </w:p>
        </w:tc>
        <w:tc>
          <w:tcPr>
            <w:tcW w:w="5840" w:type="dxa"/>
            <w:vAlign w:val="bottom"/>
            <w:gridSpan w:val="10"/>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80" w:type="dxa"/>
            <w:vAlign w:val="bottom"/>
            <w:gridSpan w:val="11"/>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Note 4: Finance Leases, net</w:t>
              </w:r>
            </w:hyperlink>
          </w:p>
        </w:tc>
        <w:tc>
          <w:tcPr>
            <w:tcW w:w="7200" w:type="dxa"/>
            <w:vAlign w:val="bottom"/>
            <w:gridSpan w:val="20"/>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60" w:type="dxa"/>
            <w:vAlign w:val="bottom"/>
            <w:gridSpan w:val="15"/>
          </w:tcPr>
          <w:p>
            <w:pPr>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Note 5: Property, Plant and Equipment, net</w:t>
              </w:r>
            </w:hyperlink>
          </w:p>
        </w:tc>
        <w:tc>
          <w:tcPr>
            <w:tcW w:w="6520" w:type="dxa"/>
            <w:vAlign w:val="bottom"/>
            <w:gridSpan w:val="16"/>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80" w:type="dxa"/>
            <w:vAlign w:val="bottom"/>
            <w:gridSpan w:val="31"/>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Note 6: Investments in Unconsolidated Entities</w:t>
              </w:r>
            </w:hyperlink>
          </w:p>
        </w:tc>
        <w:tc>
          <w:tcPr>
            <w:tcW w:w="820" w:type="dxa"/>
            <w:vAlign w:val="bottom"/>
            <w:gridSpan w:val="3"/>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00" w:type="dxa"/>
            <w:vAlign w:val="bottom"/>
            <w:gridSpan w:val="16"/>
          </w:tcPr>
          <w:p>
            <w:pPr>
              <w:spacing w:after="0"/>
              <w:rPr>
                <w:rFonts w:ascii="Arial" w:cs="Arial" w:eastAsia="Arial" w:hAnsi="Arial"/>
                <w:sz w:val="16"/>
                <w:szCs w:val="16"/>
                <w:color w:val="0000EE"/>
                <w:w w:val="92"/>
              </w:rPr>
            </w:pPr>
            <w:hyperlink w:anchor="page17">
              <w:r>
                <w:rPr>
                  <w:rFonts w:ascii="Arial" w:cs="Arial" w:eastAsia="Arial" w:hAnsi="Arial"/>
                  <w:sz w:val="16"/>
                  <w:szCs w:val="16"/>
                  <w:color w:val="0000EE"/>
                  <w:w w:val="92"/>
                </w:rPr>
                <w:t>Note 7: Intangible Assets and Liabilities, net</w:t>
              </w:r>
            </w:hyperlink>
          </w:p>
        </w:tc>
        <w:tc>
          <w:tcPr>
            <w:tcW w:w="160" w:type="dxa"/>
            <w:vAlign w:val="bottom"/>
            <w:gridSpan w:val="2"/>
          </w:tcPr>
          <w:p>
            <w:pPr>
              <w:spacing w:after="0"/>
              <w:rPr>
                <w:sz w:val="21"/>
                <w:szCs w:val="21"/>
                <w:color w:val="auto"/>
              </w:rPr>
            </w:pPr>
          </w:p>
        </w:tc>
        <w:tc>
          <w:tcPr>
            <w:tcW w:w="622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00" w:type="dxa"/>
            <w:vAlign w:val="bottom"/>
            <w:gridSpan w:val="16"/>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8: Debt, net</w:t>
              </w:r>
            </w:hyperlink>
          </w:p>
        </w:tc>
        <w:tc>
          <w:tcPr>
            <w:tcW w:w="6380" w:type="dxa"/>
            <w:vAlign w:val="bottom"/>
            <w:gridSpan w:val="15"/>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80" w:type="dxa"/>
            <w:vAlign w:val="bottom"/>
            <w:gridSpan w:val="31"/>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Note 9: Fair Value Measurements</w:t>
              </w:r>
            </w:hyperlink>
          </w:p>
        </w:tc>
        <w:tc>
          <w:tcPr>
            <w:tcW w:w="820" w:type="dxa"/>
            <w:vAlign w:val="bottom"/>
            <w:gridSpan w:val="3"/>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5"/>
          </w:tcPr>
          <w:p>
            <w:pPr>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Note 10: Revenues</w:t>
              </w:r>
            </w:hyperlink>
          </w:p>
        </w:tc>
        <w:tc>
          <w:tcPr>
            <w:tcW w:w="940" w:type="dxa"/>
            <w:vAlign w:val="bottom"/>
            <w:gridSpan w:val="7"/>
          </w:tcPr>
          <w:p>
            <w:pPr>
              <w:spacing w:after="0"/>
              <w:rPr>
                <w:sz w:val="21"/>
                <w:szCs w:val="21"/>
                <w:color w:val="auto"/>
              </w:rPr>
            </w:pPr>
          </w:p>
        </w:tc>
        <w:tc>
          <w:tcPr>
            <w:tcW w:w="7100" w:type="dxa"/>
            <w:vAlign w:val="bottom"/>
            <w:gridSpan w:val="19"/>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80" w:type="dxa"/>
            <w:vAlign w:val="bottom"/>
            <w:gridSpan w:val="31"/>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Note 11: Equity-Based Compensation</w:t>
              </w:r>
            </w:hyperlink>
          </w:p>
        </w:tc>
        <w:tc>
          <w:tcPr>
            <w:tcW w:w="820" w:type="dxa"/>
            <w:vAlign w:val="bottom"/>
            <w:gridSpan w:val="3"/>
          </w:tcPr>
          <w:p>
            <w:pPr>
              <w:jc w:val="right"/>
              <w:spacing w:after="0"/>
              <w:rPr>
                <w:rFonts w:ascii="Arial" w:cs="Arial" w:eastAsia="Arial" w:hAnsi="Arial"/>
                <w:sz w:val="16"/>
                <w:szCs w:val="16"/>
                <w:color w:val="0000EE"/>
              </w:rPr>
            </w:pPr>
            <w:hyperlink w:anchor="page25">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60" w:type="dxa"/>
            <w:vAlign w:val="bottom"/>
            <w:gridSpan w:val="13"/>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Note 12: Income Taxes</w:t>
              </w:r>
            </w:hyperlink>
          </w:p>
        </w:tc>
        <w:tc>
          <w:tcPr>
            <w:tcW w:w="6820" w:type="dxa"/>
            <w:vAlign w:val="bottom"/>
            <w:gridSpan w:val="18"/>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26">
              <w:r>
                <w:rPr>
                  <w:rFonts w:ascii="Arial" w:cs="Arial" w:eastAsia="Arial" w:hAnsi="Arial"/>
                  <w:sz w:val="16"/>
                  <w:szCs w:val="16"/>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40" w:type="dxa"/>
            <w:vAlign w:val="bottom"/>
            <w:gridSpan w:val="23"/>
          </w:tcPr>
          <w:p>
            <w:pPr>
              <w:spacing w:after="0"/>
              <w:rPr>
                <w:rFonts w:ascii="Arial" w:cs="Arial" w:eastAsia="Arial" w:hAnsi="Arial"/>
                <w:sz w:val="16"/>
                <w:szCs w:val="16"/>
                <w:color w:val="0000EE"/>
                <w:w w:val="92"/>
              </w:rPr>
            </w:pPr>
            <w:hyperlink w:anchor="page27">
              <w:r>
                <w:rPr>
                  <w:rFonts w:ascii="Arial" w:cs="Arial" w:eastAsia="Arial" w:hAnsi="Arial"/>
                  <w:sz w:val="16"/>
                  <w:szCs w:val="16"/>
                  <w:color w:val="0000EE"/>
                  <w:w w:val="92"/>
                </w:rPr>
                <w:t>Note 13: Management Agreement and Affiliate Transactions</w:t>
              </w:r>
            </w:hyperlink>
          </w:p>
        </w:tc>
        <w:tc>
          <w:tcPr>
            <w:tcW w:w="5340" w:type="dxa"/>
            <w:vAlign w:val="bottom"/>
            <w:gridSpan w:val="8"/>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27">
              <w:r>
                <w:rPr>
                  <w:rFonts w:ascii="Arial" w:cs="Arial" w:eastAsia="Arial" w:hAnsi="Arial"/>
                  <w:sz w:val="16"/>
                  <w:szCs w:val="16"/>
                  <w:color w:val="0000EE"/>
                </w:rPr>
                <w:t>27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40" w:type="dxa"/>
            <w:vAlign w:val="bottom"/>
            <w:gridSpan w:val="23"/>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Note 14: Segment Information</w:t>
              </w:r>
            </w:hyperlink>
          </w:p>
        </w:tc>
        <w:tc>
          <w:tcPr>
            <w:tcW w:w="5340" w:type="dxa"/>
            <w:vAlign w:val="bottom"/>
            <w:gridSpan w:val="8"/>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28">
              <w:r>
                <w:rPr>
                  <w:rFonts w:ascii="Arial" w:cs="Arial" w:eastAsia="Arial" w:hAnsi="Arial"/>
                  <w:sz w:val="16"/>
                  <w:szCs w:val="16"/>
                  <w:color w:val="0000EE"/>
                </w:rPr>
                <w:t>28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9"/>
          </w:tcPr>
          <w:p>
            <w:pPr>
              <w:spacing w:after="0"/>
              <w:rPr>
                <w:rFonts w:ascii="Arial" w:cs="Arial" w:eastAsia="Arial" w:hAnsi="Arial"/>
                <w:sz w:val="16"/>
                <w:szCs w:val="16"/>
                <w:color w:val="0000EE"/>
                <w:w w:val="88"/>
              </w:rPr>
            </w:pPr>
            <w:hyperlink w:anchor="page38">
              <w:r>
                <w:rPr>
                  <w:rFonts w:ascii="Arial" w:cs="Arial" w:eastAsia="Arial" w:hAnsi="Arial"/>
                  <w:sz w:val="16"/>
                  <w:szCs w:val="16"/>
                  <w:color w:val="0000EE"/>
                  <w:w w:val="88"/>
                </w:rPr>
                <w:t>Note 15: Earnings per Share</w:t>
              </w:r>
            </w:hyperlink>
          </w:p>
        </w:tc>
        <w:tc>
          <w:tcPr>
            <w:tcW w:w="140" w:type="dxa"/>
            <w:vAlign w:val="bottom"/>
          </w:tcPr>
          <w:p>
            <w:pPr>
              <w:spacing w:after="0"/>
              <w:rPr>
                <w:sz w:val="21"/>
                <w:szCs w:val="21"/>
                <w:color w:val="auto"/>
              </w:rPr>
            </w:pPr>
          </w:p>
        </w:tc>
        <w:tc>
          <w:tcPr>
            <w:tcW w:w="7300" w:type="dxa"/>
            <w:vAlign w:val="bottom"/>
            <w:gridSpan w:val="21"/>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80" w:type="dxa"/>
            <w:vAlign w:val="bottom"/>
            <w:gridSpan w:val="31"/>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Note 16: Commitments and Contingencies</w:t>
              </w:r>
            </w:hyperlink>
          </w:p>
        </w:tc>
        <w:tc>
          <w:tcPr>
            <w:tcW w:w="820" w:type="dxa"/>
            <w:vAlign w:val="bottom"/>
            <w:gridSpan w:val="3"/>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6"/>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9"/>
          </w:tcPr>
          <w:p>
            <w:pPr>
              <w:spacing w:after="0"/>
              <w:rPr>
                <w:rFonts w:ascii="Arial" w:cs="Arial" w:eastAsia="Arial" w:hAnsi="Arial"/>
                <w:sz w:val="16"/>
                <w:szCs w:val="16"/>
                <w:color w:val="0000EE"/>
                <w:w w:val="88"/>
              </w:rPr>
            </w:pPr>
            <w:hyperlink w:anchor="page39">
              <w:r>
                <w:rPr>
                  <w:rFonts w:ascii="Arial" w:cs="Arial" w:eastAsia="Arial" w:hAnsi="Arial"/>
                  <w:sz w:val="16"/>
                  <w:szCs w:val="16"/>
                  <w:color w:val="0000EE"/>
                  <w:w w:val="88"/>
                </w:rPr>
                <w:t>Note 17: Subsequent Events</w:t>
              </w:r>
            </w:hyperlink>
          </w:p>
        </w:tc>
        <w:tc>
          <w:tcPr>
            <w:tcW w:w="920" w:type="dxa"/>
            <w:vAlign w:val="bottom"/>
            <w:gridSpan w:val="6"/>
          </w:tcPr>
          <w:p>
            <w:pPr>
              <w:spacing w:after="0"/>
              <w:rPr>
                <w:sz w:val="21"/>
                <w:szCs w:val="21"/>
                <w:color w:val="auto"/>
              </w:rPr>
            </w:pPr>
          </w:p>
        </w:tc>
        <w:tc>
          <w:tcPr>
            <w:tcW w:w="6520" w:type="dxa"/>
            <w:vAlign w:val="bottom"/>
            <w:gridSpan w:val="16"/>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620" w:type="dxa"/>
            <w:vAlign w:val="bottom"/>
            <w:gridSpan w:val="32"/>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Management’s Discussion and Analysis of Financial Condition and Results of Operations</w:t>
              </w:r>
            </w:hyperlink>
          </w:p>
        </w:tc>
        <w:tc>
          <w:tcPr>
            <w:tcW w:w="820" w:type="dxa"/>
            <w:vAlign w:val="bottom"/>
            <w:gridSpan w:val="3"/>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40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3.</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1"/>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3"/>
          </w:tcPr>
          <w:p>
            <w:pPr>
              <w:spacing w:after="0"/>
              <w:rPr>
                <w:rFonts w:ascii="Arial" w:cs="Arial" w:eastAsia="Arial" w:hAnsi="Arial"/>
                <w:sz w:val="16"/>
                <w:szCs w:val="16"/>
                <w:color w:val="0000EE"/>
                <w:w w:val="92"/>
              </w:rPr>
            </w:pPr>
            <w:hyperlink w:anchor="page70">
              <w:r>
                <w:rPr>
                  <w:rFonts w:ascii="Arial" w:cs="Arial" w:eastAsia="Arial" w:hAnsi="Arial"/>
                  <w:sz w:val="16"/>
                  <w:szCs w:val="16"/>
                  <w:color w:val="0000EE"/>
                  <w:w w:val="92"/>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7"/>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70">
              <w:r>
                <w:rPr>
                  <w:rFonts w:ascii="Arial" w:cs="Arial" w:eastAsia="Arial" w:hAnsi="Arial"/>
                  <w:sz w:val="16"/>
                  <w:szCs w:val="16"/>
                  <w:color w:val="0000EE"/>
                </w:rPr>
                <w:t>70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4.</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1"/>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40" w:type="dxa"/>
            <w:vAlign w:val="bottom"/>
            <w:tcBorders>
              <w:left w:val="single" w:sz="8" w:color="0000EE"/>
            </w:tcBorders>
            <w:gridSpan w:val="3"/>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3"/>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Controls and Procedures</w:t>
              </w:r>
            </w:hyperlink>
          </w:p>
        </w:tc>
        <w:tc>
          <w:tcPr>
            <w:tcW w:w="5720" w:type="dxa"/>
            <w:vAlign w:val="bottom"/>
            <w:gridSpan w:val="9"/>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71">
              <w:r>
                <w:rPr>
                  <w:rFonts w:ascii="Arial" w:cs="Arial" w:eastAsia="Arial" w:hAnsi="Arial"/>
                  <w:sz w:val="16"/>
                  <w:szCs w:val="16"/>
                  <w:color w:val="0000EE"/>
                </w:rPr>
                <w:t>71</w:t>
              </w:r>
            </w:hyperlink>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bottom w:val="single" w:sz="8" w:color="0000EE"/>
            </w:tcBorders>
            <w:gridSpan w:val="6"/>
          </w:tcPr>
          <w:p>
            <w:pPr>
              <w:jc w:val="center"/>
              <w:ind w:right="40"/>
              <w:spacing w:after="0"/>
              <w:rPr>
                <w:rFonts w:ascii="Arial" w:cs="Arial" w:eastAsia="Arial" w:hAnsi="Arial"/>
                <w:sz w:val="16"/>
                <w:szCs w:val="16"/>
                <w:color w:val="0000EE"/>
                <w:w w:val="98"/>
              </w:rPr>
            </w:pPr>
            <w:hyperlink w:anchor="page71">
              <w:r>
                <w:rPr>
                  <w:rFonts w:ascii="Arial" w:cs="Arial" w:eastAsia="Arial" w:hAnsi="Arial"/>
                  <w:sz w:val="16"/>
                  <w:szCs w:val="16"/>
                  <w:color w:val="0000EE"/>
                  <w:w w:val="98"/>
                </w:rPr>
                <w:t>PART II—OTHER INFORMATION</w:t>
              </w:r>
            </w:hyperlink>
          </w:p>
        </w:tc>
        <w:tc>
          <w:tcPr>
            <w:tcW w:w="368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180" w:type="dxa"/>
            <w:vAlign w:val="bottom"/>
            <w:gridSpan w:val="4"/>
          </w:tcPr>
          <w:p>
            <w:pPr>
              <w:spacing w:after="0"/>
              <w:rPr>
                <w:rFonts w:ascii="Arial" w:cs="Arial" w:eastAsia="Arial" w:hAnsi="Arial"/>
                <w:sz w:val="16"/>
                <w:szCs w:val="16"/>
                <w:color w:val="0000EE"/>
                <w:w w:val="85"/>
              </w:rPr>
            </w:pPr>
            <w:hyperlink w:anchor="page71">
              <w:r>
                <w:rPr>
                  <w:rFonts w:ascii="Arial" w:cs="Arial" w:eastAsia="Arial" w:hAnsi="Arial"/>
                  <w:sz w:val="16"/>
                  <w:szCs w:val="16"/>
                  <w:color w:val="0000EE"/>
                  <w:w w:val="85"/>
                </w:rPr>
                <w:t>Legal Proceedings</w:t>
              </w:r>
            </w:hyperlink>
          </w:p>
        </w:tc>
        <w:tc>
          <w:tcPr>
            <w:tcW w:w="8440" w:type="dxa"/>
            <w:vAlign w:val="bottom"/>
            <w:gridSpan w:val="28"/>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71">
              <w:r>
                <w:rPr>
                  <w:rFonts w:ascii="Arial" w:cs="Arial" w:eastAsia="Arial" w:hAnsi="Arial"/>
                  <w:sz w:val="16"/>
                  <w:szCs w:val="16"/>
                  <w:color w:val="0000EE"/>
                </w:rPr>
                <w:t>71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1A.</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tcPr>
          <w:p>
            <w:pPr>
              <w:spacing w:after="0" w:line="20" w:lineRule="exact"/>
              <w:rPr>
                <w:sz w:val="1"/>
                <w:szCs w:val="1"/>
                <w:color w:val="auto"/>
              </w:rPr>
            </w:pPr>
          </w:p>
        </w:tc>
        <w:tc>
          <w:tcPr>
            <w:tcW w:w="1820" w:type="dxa"/>
            <w:vAlign w:val="bottom"/>
            <w:gridSpan w:val="14"/>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Risk Factors</w:t>
              </w:r>
            </w:hyperlink>
          </w:p>
        </w:tc>
        <w:tc>
          <w:tcPr>
            <w:tcW w:w="8440" w:type="dxa"/>
            <w:vAlign w:val="bottom"/>
            <w:gridSpan w:val="28"/>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71">
              <w:r>
                <w:rPr>
                  <w:rFonts w:ascii="Arial" w:cs="Arial" w:eastAsia="Arial" w:hAnsi="Arial"/>
                  <w:sz w:val="16"/>
                  <w:szCs w:val="16"/>
                  <w:color w:val="0000EE"/>
                </w:rPr>
                <w:t>71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820" w:type="dxa"/>
            <w:vAlign w:val="bottom"/>
            <w:gridSpan w:val="14"/>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620" w:type="dxa"/>
            <w:vAlign w:val="bottom"/>
            <w:gridSpan w:val="32"/>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Unregistered Sales of Equity Securities and Use of Proceeds</w:t>
              </w:r>
            </w:hyperlink>
          </w:p>
        </w:tc>
        <w:tc>
          <w:tcPr>
            <w:tcW w:w="820" w:type="dxa"/>
            <w:vAlign w:val="bottom"/>
            <w:gridSpan w:val="3"/>
          </w:tcPr>
          <w:p>
            <w:pPr>
              <w:jc w:val="right"/>
              <w:spacing w:after="0"/>
              <w:rPr>
                <w:rFonts w:ascii="Arial" w:cs="Arial" w:eastAsia="Arial" w:hAnsi="Arial"/>
                <w:sz w:val="16"/>
                <w:szCs w:val="16"/>
                <w:color w:val="0000EE"/>
              </w:rPr>
            </w:pPr>
            <w:hyperlink w:anchor="page91">
              <w:r>
                <w:rPr>
                  <w:rFonts w:ascii="Arial" w:cs="Arial" w:eastAsia="Arial" w:hAnsi="Arial"/>
                  <w:sz w:val="16"/>
                  <w:szCs w:val="16"/>
                  <w:color w:val="0000EE"/>
                </w:rPr>
                <w:t>91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3.</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1820" w:type="dxa"/>
            <w:vAlign w:val="bottom"/>
            <w:tcBorders>
              <w:left w:val="single" w:sz="8" w:color="0000EE"/>
            </w:tcBorders>
            <w:gridSpan w:val="14"/>
            <w:shd w:val="clear" w:color="auto" w:fill="0000EE"/>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3"/>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Defaults Upon Senior Securities</w:t>
              </w:r>
            </w:hyperlink>
          </w:p>
        </w:tc>
        <w:tc>
          <w:tcPr>
            <w:tcW w:w="5720" w:type="dxa"/>
            <w:vAlign w:val="bottom"/>
            <w:gridSpan w:val="9"/>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1">
              <w:r>
                <w:rPr>
                  <w:rFonts w:ascii="Arial" w:cs="Arial" w:eastAsia="Arial" w:hAnsi="Arial"/>
                  <w:sz w:val="16"/>
                  <w:szCs w:val="16"/>
                  <w:color w:val="0000EE"/>
                </w:rPr>
                <w:t>91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4.</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7540" w:type="dxa"/>
            <w:vAlign w:val="bottom"/>
            <w:gridSpan w:val="2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2080" w:type="dxa"/>
            <w:vAlign w:val="bottom"/>
            <w:gridSpan w:val="9"/>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Mine Safety Disclosures</w:t>
              </w:r>
            </w:hyperlink>
          </w:p>
        </w:tc>
        <w:tc>
          <w:tcPr>
            <w:tcW w:w="7540" w:type="dxa"/>
            <w:vAlign w:val="bottom"/>
            <w:gridSpan w:val="23"/>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1">
              <w:r>
                <w:rPr>
                  <w:rFonts w:ascii="Arial" w:cs="Arial" w:eastAsia="Arial" w:hAnsi="Arial"/>
                  <w:sz w:val="16"/>
                  <w:szCs w:val="16"/>
                  <w:color w:val="0000EE"/>
                </w:rPr>
                <w:t>91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5.</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8040" w:type="dxa"/>
            <w:vAlign w:val="bottom"/>
            <w:gridSpan w:val="2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91"/>
              </w:rPr>
            </w:pPr>
            <w:hyperlink w:anchor="page91">
              <w:r>
                <w:rPr>
                  <w:rFonts w:ascii="Arial" w:cs="Arial" w:eastAsia="Arial" w:hAnsi="Arial"/>
                  <w:sz w:val="16"/>
                  <w:szCs w:val="16"/>
                  <w:color w:val="0000EE"/>
                  <w:w w:val="91"/>
                </w:rPr>
                <w:t>Other Information</w:t>
              </w:r>
            </w:hyperlink>
          </w:p>
        </w:tc>
        <w:tc>
          <w:tcPr>
            <w:tcW w:w="400" w:type="dxa"/>
            <w:vAlign w:val="bottom"/>
            <w:gridSpan w:val="2"/>
          </w:tcPr>
          <w:p>
            <w:pPr>
              <w:spacing w:after="0"/>
              <w:rPr>
                <w:sz w:val="20"/>
                <w:szCs w:val="20"/>
                <w:color w:val="auto"/>
              </w:rPr>
            </w:pPr>
          </w:p>
        </w:tc>
        <w:tc>
          <w:tcPr>
            <w:tcW w:w="8040" w:type="dxa"/>
            <w:vAlign w:val="bottom"/>
            <w:gridSpan w:val="26"/>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1">
              <w:r>
                <w:rPr>
                  <w:rFonts w:ascii="Arial" w:cs="Arial" w:eastAsia="Arial" w:hAnsi="Arial"/>
                  <w:sz w:val="16"/>
                  <w:szCs w:val="16"/>
                  <w:color w:val="0000EE"/>
                </w:rPr>
                <w:t>91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6.</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440" w:type="dxa"/>
            <w:vAlign w:val="bottom"/>
            <w:gridSpan w:val="2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EE"/>
                <w:w w:val="92"/>
              </w:rPr>
            </w:pPr>
            <w:hyperlink w:anchor="page91">
              <w:r>
                <w:rPr>
                  <w:rFonts w:ascii="Arial" w:cs="Arial" w:eastAsia="Arial" w:hAnsi="Arial"/>
                  <w:sz w:val="16"/>
                  <w:szCs w:val="16"/>
                  <w:color w:val="0000EE"/>
                  <w:w w:val="92"/>
                </w:rPr>
                <w:t>Exhibits</w:t>
              </w:r>
            </w:hyperlink>
          </w:p>
        </w:tc>
        <w:tc>
          <w:tcPr>
            <w:tcW w:w="640" w:type="dxa"/>
            <w:vAlign w:val="bottom"/>
            <w:gridSpan w:val="2"/>
          </w:tcPr>
          <w:p>
            <w:pPr>
              <w:spacing w:after="0"/>
              <w:rPr>
                <w:sz w:val="20"/>
                <w:szCs w:val="20"/>
                <w:color w:val="auto"/>
              </w:rPr>
            </w:pPr>
          </w:p>
        </w:tc>
        <w:tc>
          <w:tcPr>
            <w:tcW w:w="8440" w:type="dxa"/>
            <w:vAlign w:val="bottom"/>
            <w:gridSpan w:val="28"/>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1">
              <w:r>
                <w:rPr>
                  <w:rFonts w:ascii="Arial" w:cs="Arial" w:eastAsia="Arial" w:hAnsi="Arial"/>
                  <w:sz w:val="16"/>
                  <w:szCs w:val="16"/>
                  <w:color w:val="0000EE"/>
                </w:rPr>
                <w:t>91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66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Notes</w:t>
            </w:r>
          </w:p>
        </w:tc>
        <w:tc>
          <w:tcPr>
            <w:tcW w:w="19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2016</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2015</w:t>
            </w:r>
          </w:p>
        </w:tc>
        <w:tc>
          <w:tcPr>
            <w:tcW w:w="0" w:type="dxa"/>
            <w:vAlign w:val="bottom"/>
          </w:tcPr>
          <w:p>
            <w:pPr>
              <w:spacing w:after="0"/>
              <w:rPr>
                <w:sz w:val="1"/>
                <w:szCs w:val="1"/>
                <w:color w:val="auto"/>
              </w:rPr>
            </w:pPr>
          </w:p>
        </w:tc>
      </w:tr>
      <w:tr>
        <w:trPr>
          <w:trHeight w:val="33"/>
        </w:trPr>
        <w:tc>
          <w:tcPr>
            <w:tcW w:w="6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197,874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381,703</w:t>
            </w:r>
          </w:p>
        </w:tc>
        <w:tc>
          <w:tcPr>
            <w:tcW w:w="0" w:type="dxa"/>
            <w:vAlign w:val="bottom"/>
          </w:tcPr>
          <w:p>
            <w:pPr>
              <w:spacing w:after="0"/>
              <w:rPr>
                <w:sz w:val="1"/>
                <w:szCs w:val="1"/>
                <w:color w:val="auto"/>
              </w:rPr>
            </w:pP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63,891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21,610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 net</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14,466</w:t>
            </w:r>
          </w:p>
        </w:tc>
        <w:tc>
          <w:tcPr>
            <w:tcW w:w="0" w:type="dxa"/>
            <w:vAlign w:val="bottom"/>
          </w:tcPr>
          <w:p>
            <w:pPr>
              <w:spacing w:after="0"/>
              <w:rPr>
                <w:sz w:val="1"/>
                <w:szCs w:val="1"/>
                <w:color w:val="auto"/>
              </w:rPr>
            </w:pP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Leasing equipment, net</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694,568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636,681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Finance leases, net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82,521</w:t>
            </w:r>
          </w:p>
        </w:tc>
        <w:tc>
          <w:tcPr>
            <w:tcW w:w="0" w:type="dxa"/>
            <w:vAlign w:val="bottom"/>
          </w:tcPr>
          <w:p>
            <w:pPr>
              <w:spacing w:after="0"/>
              <w:rPr>
                <w:sz w:val="1"/>
                <w:szCs w:val="1"/>
                <w:color w:val="auto"/>
              </w:rPr>
            </w:pP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Property, plant, and equipment, net</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345,146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299,678</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Investments in and advances to unconsolidated entities</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10,675</w:t>
            </w:r>
          </w:p>
        </w:tc>
        <w:tc>
          <w:tcPr>
            <w:tcW w:w="0" w:type="dxa"/>
            <w:vAlign w:val="bottom"/>
          </w:tcPr>
          <w:p>
            <w:pPr>
              <w:spacing w:after="0"/>
              <w:rPr>
                <w:sz w:val="1"/>
                <w:szCs w:val="1"/>
                <w:color w:val="auto"/>
              </w:rPr>
            </w:pP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Intangible assets, net</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37,328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44,129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Goodwill</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116,584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116,584</w:t>
            </w:r>
          </w:p>
        </w:tc>
        <w:tc>
          <w:tcPr>
            <w:tcW w:w="0" w:type="dxa"/>
            <w:vAlign w:val="bottom"/>
          </w:tcPr>
          <w:p>
            <w:pPr>
              <w:spacing w:after="0"/>
              <w:rPr>
                <w:sz w:val="1"/>
                <w:szCs w:val="1"/>
                <w:color w:val="auto"/>
              </w:rPr>
            </w:pP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57,048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36,758</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1,554,583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1,644,805</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32,382</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34,995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Debt, net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261,543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266,221</w:t>
            </w:r>
          </w:p>
        </w:tc>
        <w:tc>
          <w:tcPr>
            <w:tcW w:w="0" w:type="dxa"/>
            <w:vAlign w:val="bottom"/>
          </w:tcPr>
          <w:p>
            <w:pPr>
              <w:spacing w:after="0"/>
              <w:rPr>
                <w:sz w:val="1"/>
                <w:szCs w:val="1"/>
                <w:color w:val="auto"/>
              </w:rPr>
            </w:pP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Maintenance deposits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39,570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30,494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Security deposits</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15,990</w:t>
            </w:r>
          </w:p>
        </w:tc>
        <w:tc>
          <w:tcPr>
            <w:tcW w:w="0" w:type="dxa"/>
            <w:vAlign w:val="bottom"/>
          </w:tcPr>
          <w:p>
            <w:pPr>
              <w:spacing w:after="0"/>
              <w:rPr>
                <w:sz w:val="1"/>
                <w:szCs w:val="1"/>
                <w:color w:val="auto"/>
              </w:rPr>
            </w:pP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17,460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6,419</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369,397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354,119</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Commitments and contingencies</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0" w:type="dxa"/>
            <w:vAlign w:val="bottom"/>
          </w:tcPr>
          <w:p>
            <w:pPr>
              <w:ind w:left="500"/>
              <w:spacing w:after="0"/>
              <w:rPr>
                <w:sz w:val="20"/>
                <w:szCs w:val="20"/>
                <w:color w:val="auto"/>
              </w:rPr>
            </w:pPr>
            <w:r>
              <w:rPr>
                <w:rFonts w:ascii="Arial" w:cs="Arial" w:eastAsia="Arial" w:hAnsi="Arial"/>
                <w:sz w:val="16"/>
                <w:szCs w:val="16"/>
                <w:color w:val="auto"/>
                <w:w w:val="91"/>
              </w:rPr>
              <w:t>Common shares ($0.01 par value per share; 2,000,000,000 shares authorized; 75,750,943</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500"/>
              <w:spacing w:after="0"/>
              <w:rPr>
                <w:sz w:val="20"/>
                <w:szCs w:val="20"/>
                <w:color w:val="auto"/>
              </w:rPr>
            </w:pPr>
            <w:r>
              <w:rPr>
                <w:rFonts w:ascii="Arial" w:cs="Arial" w:eastAsia="Arial" w:hAnsi="Arial"/>
                <w:sz w:val="16"/>
                <w:szCs w:val="16"/>
                <w:color w:val="auto"/>
                <w:w w:val="89"/>
              </w:rPr>
              <w:t>and 75,718,183 shares issued and outstanding as of September 30, 2016 and December 31,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00" w:type="dxa"/>
            <w:vAlign w:val="bottom"/>
          </w:tcPr>
          <w:p>
            <w:pPr>
              <w:ind w:left="500"/>
              <w:spacing w:after="0"/>
              <w:rPr>
                <w:sz w:val="20"/>
                <w:szCs w:val="20"/>
                <w:color w:val="auto"/>
              </w:rPr>
            </w:pPr>
            <w:r>
              <w:rPr>
                <w:rFonts w:ascii="Arial" w:cs="Arial" w:eastAsia="Arial" w:hAnsi="Arial"/>
                <w:sz w:val="16"/>
                <w:szCs w:val="16"/>
                <w:color w:val="auto"/>
              </w:rPr>
              <w:t>2015, respectively)</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Additional paid in capital</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1,109,755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1,184,198</w:t>
            </w:r>
          </w:p>
        </w:tc>
        <w:tc>
          <w:tcPr>
            <w:tcW w:w="0" w:type="dxa"/>
            <w:vAlign w:val="bottom"/>
          </w:tcPr>
          <w:p>
            <w:pPr>
              <w:spacing w:after="0"/>
              <w:rPr>
                <w:sz w:val="1"/>
                <w:szCs w:val="1"/>
                <w:color w:val="auto"/>
              </w:rPr>
            </w:pPr>
          </w:p>
        </w:tc>
      </w:tr>
      <w:tr>
        <w:trPr>
          <w:trHeight w:val="237"/>
        </w:trPr>
        <w:tc>
          <w:tcPr>
            <w:tcW w:w="6400" w:type="dxa"/>
            <w:vAlign w:val="bottom"/>
          </w:tcPr>
          <w:p>
            <w:pPr>
              <w:ind w:left="500"/>
              <w:spacing w:after="0"/>
              <w:rPr>
                <w:sz w:val="20"/>
                <w:szCs w:val="20"/>
                <w:color w:val="auto"/>
              </w:rPr>
            </w:pPr>
            <w:r>
              <w:rPr>
                <w:rFonts w:ascii="Arial" w:cs="Arial" w:eastAsia="Arial" w:hAnsi="Arial"/>
                <w:sz w:val="16"/>
                <w:szCs w:val="16"/>
                <w:color w:val="auto"/>
              </w:rPr>
              <w:t>Accumulated deficit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(37,020)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(18,769)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other comprehensive income</w:t>
            </w: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7"/>
        </w:trPr>
        <w:tc>
          <w:tcPr>
            <w:tcW w:w="6400" w:type="dxa"/>
            <w:vAlign w:val="bottom"/>
          </w:tcPr>
          <w:p>
            <w:pPr>
              <w:ind w:left="500"/>
              <w:spacing w:after="0"/>
              <w:rPr>
                <w:sz w:val="20"/>
                <w:szCs w:val="20"/>
                <w:color w:val="auto"/>
              </w:rPr>
            </w:pPr>
            <w:r>
              <w:rPr>
                <w:rFonts w:ascii="Arial" w:cs="Arial" w:eastAsia="Arial" w:hAnsi="Arial"/>
                <w:sz w:val="16"/>
                <w:szCs w:val="16"/>
                <w:color w:val="auto"/>
              </w:rPr>
              <w:t>Shareholders' 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1,073,493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1,166,283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Non-controlling interest in equity of consolidated subsidiaries</w:t>
            </w: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111,693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124,403</w:t>
            </w:r>
          </w:p>
        </w:tc>
        <w:tc>
          <w:tcPr>
            <w:tcW w:w="0" w:type="dxa"/>
            <w:vAlign w:val="bottom"/>
          </w:tcPr>
          <w:p>
            <w:pPr>
              <w:spacing w:after="0"/>
              <w:rPr>
                <w:sz w:val="1"/>
                <w:szCs w:val="1"/>
                <w:color w:val="auto"/>
              </w:rPr>
            </w:pPr>
          </w:p>
        </w:tc>
      </w:tr>
      <w:tr>
        <w:trPr>
          <w:trHeight w:val="217"/>
        </w:trPr>
        <w:tc>
          <w:tcPr>
            <w:tcW w:w="6400" w:type="dxa"/>
            <w:vAlign w:val="bottom"/>
          </w:tcPr>
          <w:p>
            <w:pPr>
              <w:ind w:left="500"/>
              <w:spacing w:after="0"/>
              <w:rPr>
                <w:sz w:val="20"/>
                <w:szCs w:val="20"/>
                <w:color w:val="auto"/>
              </w:rPr>
            </w:pPr>
            <w:r>
              <w:rPr>
                <w:rFonts w:ascii="Arial" w:cs="Arial" w:eastAsia="Arial" w:hAnsi="Arial"/>
                <w:sz w:val="16"/>
                <w:szCs w:val="16"/>
                <w:color w:val="auto"/>
              </w:rPr>
              <w:t>Total 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1,185,186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1,290,686</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liabilities and equity</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1,554,583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1,644,805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013"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13"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except share and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39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800" w:type="dxa"/>
            <w:vAlign w:val="bottom"/>
            <w:gridSpan w:val="2"/>
          </w:tcPr>
          <w:p>
            <w:pPr>
              <w:ind w:left="140"/>
              <w:spacing w:after="0"/>
              <w:rPr>
                <w:sz w:val="20"/>
                <w:szCs w:val="20"/>
                <w:color w:val="auto"/>
              </w:rPr>
            </w:pPr>
            <w:r>
              <w:rPr>
                <w:rFonts w:ascii="Arial" w:cs="Arial" w:eastAsia="Arial" w:hAnsi="Arial"/>
                <w:sz w:val="16"/>
                <w:szCs w:val="16"/>
                <w:b w:val="1"/>
                <w:bCs w:val="1"/>
                <w:color w:val="auto"/>
              </w:rPr>
              <w:t>Notes</w:t>
            </w:r>
          </w:p>
        </w:tc>
        <w:tc>
          <w:tcPr>
            <w:tcW w:w="280" w:type="dxa"/>
            <w:vAlign w:val="bottom"/>
          </w:tcPr>
          <w:p>
            <w:pPr>
              <w:spacing w:after="0"/>
              <w:rPr>
                <w:sz w:val="20"/>
                <w:szCs w:val="20"/>
                <w:color w:val="auto"/>
              </w:rPr>
            </w:pPr>
          </w:p>
        </w:tc>
        <w:tc>
          <w:tcPr>
            <w:tcW w:w="13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39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3900" w:type="dxa"/>
            <w:vAlign w:val="bottom"/>
          </w:tcPr>
          <w:p>
            <w:pPr>
              <w:ind w:left="500"/>
              <w:spacing w:after="0"/>
              <w:rPr>
                <w:sz w:val="20"/>
                <w:szCs w:val="20"/>
                <w:color w:val="auto"/>
              </w:rPr>
            </w:pPr>
            <w:r>
              <w:rPr>
                <w:rFonts w:ascii="Arial" w:cs="Arial" w:eastAsia="Arial" w:hAnsi="Arial"/>
                <w:sz w:val="16"/>
                <w:szCs w:val="16"/>
                <w:color w:val="auto"/>
              </w:rPr>
              <w:t>Equipment leasing revenues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30,054</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24,360</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71,980</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70,031</w:t>
            </w:r>
          </w:p>
        </w:tc>
      </w:tr>
      <w:tr>
        <w:trPr>
          <w:trHeight w:val="33"/>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Infrastructure revenues</w:t>
            </w: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11,672</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32,739</w:t>
            </w:r>
          </w:p>
        </w:tc>
      </w:tr>
      <w:tr>
        <w:trPr>
          <w:trHeight w:val="217"/>
        </w:trPr>
        <w:tc>
          <w:tcPr>
            <w:tcW w:w="390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41,726</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35,233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106,374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102,770</w:t>
            </w:r>
          </w:p>
        </w:tc>
      </w:tr>
      <w:tr>
        <w:trPr>
          <w:trHeight w:val="33"/>
        </w:trPr>
        <w:tc>
          <w:tcPr>
            <w:tcW w:w="39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9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3"/>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Operating expenses</w:t>
            </w: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17,028</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50,198</w:t>
            </w:r>
          </w:p>
        </w:tc>
      </w:tr>
      <w:tr>
        <w:trPr>
          <w:trHeight w:val="224"/>
        </w:trPr>
        <w:tc>
          <w:tcPr>
            <w:tcW w:w="390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3,205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4,905</w:t>
            </w:r>
          </w:p>
        </w:tc>
      </w:tr>
      <w:tr>
        <w:trPr>
          <w:trHeight w:val="33"/>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Acquisition and transaction expenses</w:t>
            </w: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1,688</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4,172</w:t>
            </w:r>
          </w:p>
        </w:tc>
      </w:tr>
      <w:tr>
        <w:trPr>
          <w:trHeight w:val="220"/>
        </w:trPr>
        <w:tc>
          <w:tcPr>
            <w:tcW w:w="3900" w:type="dxa"/>
            <w:vAlign w:val="bottom"/>
          </w:tcPr>
          <w:p>
            <w:pPr>
              <w:ind w:left="500"/>
              <w:spacing w:after="0"/>
              <w:rPr>
                <w:sz w:val="20"/>
                <w:szCs w:val="20"/>
                <w:color w:val="auto"/>
              </w:rPr>
            </w:pPr>
            <w:r>
              <w:rPr>
                <w:rFonts w:ascii="Arial" w:cs="Arial" w:eastAsia="Arial" w:hAnsi="Arial"/>
                <w:sz w:val="16"/>
                <w:szCs w:val="16"/>
                <w:color w:val="auto"/>
              </w:rPr>
              <w:t>Management fees and incentive allocation to</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3900" w:type="dxa"/>
            <w:vAlign w:val="bottom"/>
          </w:tcPr>
          <w:p>
            <w:pPr>
              <w:ind w:left="500"/>
              <w:spacing w:after="0"/>
              <w:rPr>
                <w:sz w:val="20"/>
                <w:szCs w:val="20"/>
                <w:color w:val="auto"/>
              </w:rPr>
            </w:pPr>
            <w:r>
              <w:rPr>
                <w:rFonts w:ascii="Arial" w:cs="Arial" w:eastAsia="Arial" w:hAnsi="Arial"/>
                <w:sz w:val="16"/>
                <w:szCs w:val="16"/>
                <w:color w:val="auto"/>
              </w:rPr>
              <w:t>affiliate</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4,146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4,606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12,725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10,505</w:t>
            </w:r>
          </w:p>
        </w:tc>
      </w:tr>
      <w:tr>
        <w:trPr>
          <w:trHeight w:val="33"/>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3, 5, 7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15,376</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32,875</w:t>
            </w:r>
          </w:p>
        </w:tc>
      </w:tr>
      <w:tr>
        <w:trPr>
          <w:trHeight w:val="224"/>
        </w:trPr>
        <w:tc>
          <w:tcPr>
            <w:tcW w:w="3900" w:type="dxa"/>
            <w:vAlign w:val="bottom"/>
          </w:tcPr>
          <w:p>
            <w:pPr>
              <w:ind w:left="500"/>
              <w:spacing w:after="0"/>
              <w:rPr>
                <w:sz w:val="20"/>
                <w:szCs w:val="20"/>
                <w:color w:val="auto"/>
              </w:rPr>
            </w:pPr>
            <w:r>
              <w:rPr>
                <w:rFonts w:ascii="Arial" w:cs="Arial" w:eastAsia="Arial" w:hAnsi="Arial"/>
                <w:sz w:val="16"/>
                <w:szCs w:val="16"/>
                <w:color w:val="auto"/>
              </w:rPr>
              <w:t>Interest expense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5,416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15,839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14,240</w:t>
            </w:r>
          </w:p>
        </w:tc>
      </w:tr>
      <w:tr>
        <w:trPr>
          <w:trHeight w:val="33"/>
        </w:trPr>
        <w:tc>
          <w:tcPr>
            <w:tcW w:w="39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expenses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46,859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116,895</w:t>
            </w:r>
          </w:p>
        </w:tc>
      </w:tr>
      <w:tr>
        <w:trPr>
          <w:trHeight w:val="250"/>
        </w:trPr>
        <w:tc>
          <w:tcPr>
            <w:tcW w:w="3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3900" w:type="dxa"/>
            <w:vAlign w:val="bottom"/>
          </w:tcPr>
          <w:p>
            <w:pPr>
              <w:ind w:left="500"/>
              <w:spacing w:after="0"/>
              <w:rPr>
                <w:sz w:val="20"/>
                <w:szCs w:val="20"/>
                <w:color w:val="auto"/>
              </w:rPr>
            </w:pPr>
            <w:r>
              <w:rPr>
                <w:rFonts w:ascii="Arial" w:cs="Arial" w:eastAsia="Arial" w:hAnsi="Arial"/>
                <w:sz w:val="16"/>
                <w:szCs w:val="16"/>
                <w:color w:val="auto"/>
              </w:rPr>
              <w:t>Equity in losses of unconsolidated entities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(7,118)</w:t>
            </w:r>
          </w:p>
        </w:tc>
      </w:tr>
      <w:tr>
        <w:trPr>
          <w:trHeight w:val="33"/>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4"/>
              </w:rPr>
              <w:t>Gain on sale of equipment and finance leases, net</w:t>
            </w: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2,037</w:t>
            </w:r>
          </w:p>
        </w:tc>
      </w:tr>
      <w:tr>
        <w:trPr>
          <w:trHeight w:val="224"/>
        </w:trPr>
        <w:tc>
          <w:tcPr>
            <w:tcW w:w="390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 impairment</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3900" w:type="dxa"/>
            <w:vAlign w:val="bottom"/>
          </w:tcPr>
          <w:p>
            <w:pPr>
              <w:ind w:left="500"/>
              <w:spacing w:after="0"/>
              <w:rPr>
                <w:sz w:val="20"/>
                <w:szCs w:val="20"/>
                <w:color w:val="auto"/>
              </w:rPr>
            </w:pPr>
            <w:r>
              <w:rPr>
                <w:rFonts w:ascii="Arial" w:cs="Arial" w:eastAsia="Arial" w:hAnsi="Arial"/>
                <w:sz w:val="16"/>
                <w:szCs w:val="16"/>
                <w:color w:val="auto"/>
              </w:rPr>
              <w:t>Interest income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462</w:t>
            </w:r>
          </w:p>
        </w:tc>
      </w:tr>
      <w:tr>
        <w:trPr>
          <w:trHeight w:val="33"/>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income</w:t>
            </w: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17"/>
        </w:trPr>
        <w:tc>
          <w:tcPr>
            <w:tcW w:w="3900" w:type="dxa"/>
            <w:vAlign w:val="bottom"/>
          </w:tcPr>
          <w:p>
            <w:pPr>
              <w:ind w:left="500"/>
              <w:spacing w:after="0"/>
              <w:rPr>
                <w:sz w:val="20"/>
                <w:szCs w:val="20"/>
                <w:color w:val="auto"/>
              </w:rPr>
            </w:pPr>
            <w:r>
              <w:rPr>
                <w:rFonts w:ascii="Arial" w:cs="Arial" w:eastAsia="Arial" w:hAnsi="Arial"/>
                <w:sz w:val="16"/>
                <w:szCs w:val="16"/>
                <w:color w:val="auto"/>
              </w:rPr>
              <w:t>Total other expense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(6,387)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(4,613)</w:t>
            </w:r>
          </w:p>
        </w:tc>
      </w:tr>
      <w:tr>
        <w:trPr>
          <w:trHeight w:val="33"/>
        </w:trPr>
        <w:tc>
          <w:tcPr>
            <w:tcW w:w="39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9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4"/>
        </w:trPr>
        <w:tc>
          <w:tcPr>
            <w:tcW w:w="3900" w:type="dxa"/>
            <w:vAlign w:val="bottom"/>
          </w:tcPr>
          <w:p>
            <w:pPr>
              <w:ind w:left="500"/>
              <w:spacing w:after="0"/>
              <w:rPr>
                <w:sz w:val="20"/>
                <w:szCs w:val="20"/>
                <w:color w:val="auto"/>
              </w:rPr>
            </w:pPr>
            <w:r>
              <w:rPr>
                <w:rFonts w:ascii="Arial" w:cs="Arial" w:eastAsia="Arial" w:hAnsi="Arial"/>
                <w:sz w:val="16"/>
                <w:szCs w:val="16"/>
                <w:b w:val="1"/>
                <w:bCs w:val="1"/>
                <w:color w:val="auto"/>
              </w:rPr>
              <w:t>Loss before income taxes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(5,563)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(15,906)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(34,584)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(18,738)</w:t>
            </w:r>
          </w:p>
        </w:tc>
      </w:tr>
      <w:tr>
        <w:trPr>
          <w:trHeight w:val="33"/>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Provision for income taxes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r>
      <w:tr>
        <w:trPr>
          <w:trHeight w:val="217"/>
        </w:trPr>
        <w:tc>
          <w:tcPr>
            <w:tcW w:w="3900" w:type="dxa"/>
            <w:vAlign w:val="bottom"/>
          </w:tcPr>
          <w:p>
            <w:pPr>
              <w:ind w:left="500"/>
              <w:spacing w:after="0"/>
              <w:rPr>
                <w:sz w:val="20"/>
                <w:szCs w:val="20"/>
                <w:color w:val="auto"/>
              </w:rPr>
            </w:pPr>
            <w:r>
              <w:rPr>
                <w:rFonts w:ascii="Arial" w:cs="Arial" w:eastAsia="Arial" w:hAnsi="Arial"/>
                <w:sz w:val="16"/>
                <w:szCs w:val="16"/>
                <w:b w:val="1"/>
                <w:bCs w:val="1"/>
                <w:color w:val="auto"/>
              </w:rPr>
              <w:t>Net loss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(5,646)</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(16,056)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(34,779)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(19,384)</w:t>
            </w:r>
          </w:p>
        </w:tc>
      </w:tr>
      <w:tr>
        <w:trPr>
          <w:trHeight w:val="33"/>
        </w:trPr>
        <w:tc>
          <w:tcPr>
            <w:tcW w:w="39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0"/>
        </w:trPr>
        <w:tc>
          <w:tcPr>
            <w:tcW w:w="39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Less: Net loss attributable to non-controlling</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9"/>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interests in consolidated subsidiaries</w:t>
            </w: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(12,257)</w:t>
            </w: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(1,276)</w:t>
            </w:r>
          </w:p>
        </w:tc>
        <w:tc>
          <w:tcPr>
            <w:tcW w:w="14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(11,738)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(18,251)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(7,127)</w:t>
            </w:r>
          </w:p>
        </w:tc>
      </w:tr>
      <w:tr>
        <w:trPr>
          <w:trHeight w:val="244"/>
        </w:trPr>
        <w:tc>
          <w:tcPr>
            <w:tcW w:w="39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Basic and Diluted Loss per Share</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33"/>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Shares Outstanding:</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500"/>
              <w:spacing w:after="0"/>
              <w:rPr>
                <w:sz w:val="20"/>
                <w:szCs w:val="20"/>
                <w:color w:val="auto"/>
              </w:rPr>
            </w:pPr>
            <w:r>
              <w:rPr>
                <w:rFonts w:ascii="Arial" w:cs="Arial" w:eastAsia="Arial" w:hAnsi="Arial"/>
                <w:sz w:val="16"/>
                <w:szCs w:val="16"/>
                <w:color w:val="auto"/>
              </w:rPr>
              <w:t>Basic</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75,746,200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75,718,183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75,734,587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64,114,734</w:t>
            </w:r>
          </w:p>
        </w:tc>
      </w:tr>
      <w:tr>
        <w:trPr>
          <w:trHeight w:val="33"/>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3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75,746,200</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75,718,183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75,734,587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64,114,734</w:t>
            </w:r>
          </w:p>
        </w:tc>
      </w:tr>
      <w:tr>
        <w:trPr>
          <w:trHeight w:val="33"/>
        </w:trPr>
        <w:tc>
          <w:tcPr>
            <w:tcW w:w="39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44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6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r>
      <w:tr>
        <w:trPr>
          <w:trHeight w:val="33"/>
        </w:trPr>
        <w:tc>
          <w:tcPr>
            <w:tcW w:w="4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(34,779)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(19,384)</w:t>
            </w: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cash flow hedge</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8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(5,646)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(16,150)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(34,876)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(19,614)</w:t>
            </w: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10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(12,257)</w:t>
            </w:r>
          </w:p>
        </w:tc>
      </w:tr>
      <w:tr>
        <w:trPr>
          <w:trHeight w:val="20"/>
        </w:trPr>
        <w:tc>
          <w:tcPr>
            <w:tcW w:w="4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7"/>
        </w:trPr>
        <w:tc>
          <w:tcPr>
            <w:tcW w:w="4680" w:type="dxa"/>
            <w:vAlign w:val="bottom"/>
          </w:tcPr>
          <w:p>
            <w:pPr>
              <w:ind w:left="40"/>
              <w:spacing w:after="0"/>
              <w:rPr>
                <w:sz w:val="20"/>
                <w:szCs w:val="20"/>
                <w:color w:val="auto"/>
              </w:rPr>
            </w:pPr>
            <w:r>
              <w:rPr>
                <w:rFonts w:ascii="Arial" w:cs="Arial" w:eastAsia="Arial" w:hAnsi="Arial"/>
                <w:sz w:val="16"/>
                <w:szCs w:val="16"/>
                <w:b w:val="1"/>
                <w:bCs w:val="1"/>
                <w:color w:val="auto"/>
              </w:rPr>
              <w:t>Comprehensive loss attributable to shareholders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(1,276)</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(11,832)</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(18,348)</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Non-Controlling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Accumulated Other</w:t>
            </w: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Interest in Equity of</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Additional Paid In</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Consolidated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Income</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Total Equity</w:t>
            </w:r>
          </w:p>
        </w:tc>
      </w:tr>
      <w:tr>
        <w:trPr>
          <w:trHeight w:val="33"/>
        </w:trPr>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 - December 31, 2015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1,184,198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124,403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1,290,686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for the period</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(34,779)</w:t>
            </w: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33"/>
        </w:trPr>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comprehensive loss</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(34,876)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Capital contributions</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8,074</w:t>
            </w:r>
          </w:p>
        </w:tc>
      </w:tr>
      <w:tr>
        <w:trPr>
          <w:trHeight w:val="3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of equity-based</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(74,979)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(75,017)</w:t>
            </w:r>
          </w:p>
        </w:tc>
      </w:tr>
      <w:tr>
        <w:trPr>
          <w:trHeight w:val="3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shares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Equity-based compensation</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(3,818)</w:t>
            </w:r>
          </w:p>
        </w:tc>
      </w:tr>
      <w:tr>
        <w:trPr>
          <w:trHeight w:val="33"/>
        </w:trPr>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Equity - September 30, 2016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1,109,755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(37,020)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111,693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1,185,186</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(34,779)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(19,384)</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Equity in losses of unconsolidated entities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7,118</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sale of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Security deposits and maintenance claims included in earnings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on extinguishment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Equity-based compensation</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3,694</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32,875</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Asset impairment</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 in current and deferred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Change in fair value of non-hedge derivative</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lease intangibles and incentives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5,380</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Amortization of deferred financing costs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1,101</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distributions from unconsolidated entities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Bad debt expense</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Change in:</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(2,718)</w:t>
            </w:r>
          </w:p>
        </w:tc>
      </w:tr>
      <w:tr>
        <w:trPr>
          <w:trHeight w:val="237"/>
        </w:trPr>
        <w:tc>
          <w:tcPr>
            <w:tcW w:w="7900" w:type="dxa"/>
            <w:vAlign w:val="bottom"/>
          </w:tcPr>
          <w:p>
            <w:pPr>
              <w:ind w:left="1400"/>
              <w:spacing w:after="0"/>
              <w:rPr>
                <w:sz w:val="20"/>
                <w:szCs w:val="20"/>
                <w:color w:val="auto"/>
              </w:rPr>
            </w:pPr>
            <w:r>
              <w:rPr>
                <w:rFonts w:ascii="Arial" w:cs="Arial" w:eastAsia="Arial" w:hAnsi="Arial"/>
                <w:sz w:val="16"/>
                <w:szCs w:val="16"/>
                <w:color w:val="auto"/>
              </w:rPr>
              <w:t>Other assets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(3,540)</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Accounts payable and accrued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4,109</w:t>
            </w:r>
          </w:p>
        </w:tc>
      </w:tr>
      <w:tr>
        <w:trPr>
          <w:trHeight w:val="237"/>
        </w:trPr>
        <w:tc>
          <w:tcPr>
            <w:tcW w:w="7900" w:type="dxa"/>
            <w:vAlign w:val="bottom"/>
          </w:tcPr>
          <w:p>
            <w:pPr>
              <w:ind w:left="1400"/>
              <w:spacing w:after="0"/>
              <w:rPr>
                <w:sz w:val="20"/>
                <w:szCs w:val="20"/>
                <w:color w:val="auto"/>
              </w:rPr>
            </w:pPr>
            <w:r>
              <w:rPr>
                <w:rFonts w:ascii="Arial" w:cs="Arial" w:eastAsia="Arial" w:hAnsi="Arial"/>
                <w:sz w:val="16"/>
                <w:szCs w:val="16"/>
                <w:color w:val="auto"/>
              </w:rPr>
              <w:t>Management fees payable to affiliate</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(1,207)</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Other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1,724</w:t>
            </w:r>
          </w:p>
        </w:tc>
      </w:tr>
      <w:tr>
        <w:trPr>
          <w:trHeight w:val="21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15,662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26,870</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Release of restricted cash</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4,915</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Payments to restricted cash</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(23,532)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Investment in notes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(10,776)</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Investment in and advances to unconsolidated entity</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Principal collections on finance leases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17,412</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Acquisition of leasing equipment</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(114,012)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(136,672)</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Acquisition of property plant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(88,068)</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Acquisition of lease intangibles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(2,447)</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Purchase deposit for aircraft and aircraft engines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Proceeds from sale of finance leases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71,000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Proceeds from sale of leasing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9,000</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Proceeds from sale of property, plant and equipment</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253</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Proceeds from deposit on sale of engine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Return of capital distributions from unconsolidated entities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2,921</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(88,004)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(203,712)</w:t>
            </w:r>
          </w:p>
        </w:tc>
      </w:tr>
      <w:tr>
        <w:trPr>
          <w:trHeight w:val="20"/>
        </w:trPr>
        <w:tc>
          <w:tcPr>
            <w:tcW w:w="79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Proceeds from debt</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110,658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200</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Repayment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(157,603)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(19,764)</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Payment of other liabilities to non-controlling interest holder</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Payment of deferred financing costs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Receipt of security deposits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3,340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1,695</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Return of security deposits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Receipt of maintenance deposits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10,806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7,127</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Release of maintenance deposits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(10,673)</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Proceeds from issuance of common shares, net of underwriter's discount</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354,057</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Common shares issuance costs</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Capital contributions from shareholders</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295,879</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Capital distributions to shareholders</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(44,917)</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Capital contributions from non-controlling interests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7,433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34,787</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Capital distributions to non-controlling interests</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Settlement of equity-based compensation</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Cash dividends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(75,017)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(11,358)</w:t>
            </w:r>
          </w:p>
        </w:tc>
      </w:tr>
      <w:tr>
        <w:trPr>
          <w:trHeight w:val="21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(111,487)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603,016</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0"/>
              </w:rPr>
              <w:t>(183,829)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426,174</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381,703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22,125</w:t>
            </w:r>
          </w:p>
        </w:tc>
      </w:tr>
      <w:tr>
        <w:trPr>
          <w:trHeight w:val="284"/>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Cash and cash equivalents, end of period</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197,874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448,299</w:t>
            </w:r>
          </w:p>
        </w:tc>
      </w:tr>
      <w:tr>
        <w:trPr>
          <w:trHeight w:val="284"/>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Restricted cash proceeds from borrowings of debt</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Acquisition of leasing equipment</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(1,083)</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Acquisition of property, plant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Financing of property, plant and equipment</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5,321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Settled and assumed security deposits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2,463</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Billed, assumed and settled maintenance deposits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3,923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(2,710)</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financing costs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7900" w:type="dxa"/>
            <w:vAlign w:val="bottom"/>
          </w:tcPr>
          <w:p>
            <w:pPr>
              <w:ind w:left="720"/>
              <w:spacing w:after="0"/>
              <w:rPr>
                <w:sz w:val="20"/>
                <w:szCs w:val="20"/>
                <w:color w:val="auto"/>
              </w:rPr>
            </w:pPr>
            <w:r>
              <w:rPr>
                <w:rFonts w:ascii="Arial" w:cs="Arial" w:eastAsia="Arial" w:hAnsi="Arial"/>
                <w:sz w:val="16"/>
                <w:szCs w:val="16"/>
                <w:color w:val="auto"/>
              </w:rPr>
              <w:t>Common share issuance costs</w:t>
            </w:r>
          </w:p>
        </w:tc>
        <w:tc>
          <w:tcPr>
            <w:tcW w:w="10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0"/>
        </w:trPr>
        <w:tc>
          <w:tcPr>
            <w:tcW w:w="79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Fortress Transportation and Infrastructure Investors LLC (the “Company”) is a Delaware limited liability company which, through its subsidiary, Fortress Worldwide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and a multi-modal crude oil and refined products terminal in Beaumont, Texas (“Jefferson Terminal”). The Company has five reportable segments, Aviation Leasing, Offshore Energy, Shipping Containers, Jefferson Terminal and Railroad, which operate in two primary businesses, Equipment Leasing and Infrastructure (Note 14).</w:t>
      </w:r>
    </w:p>
    <w:p>
      <w:pPr>
        <w:spacing w:after="0" w:line="7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managed by FIG LLC (the “Manager”), an affiliate of Fortress Investment Group LLC (“Fortress”), pursuant to a management agreement (the “Management Agreement”) that provides for the Company to bear obligations for management fees payable to the Manager as well as reimbursement of costs and expenses as provided therein (Note 13).</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Basis of Accounting</w:t>
      </w:r>
      <w:r>
        <w:rPr>
          <w:rFonts w:ascii="Arial" w:cs="Arial" w:eastAsia="Arial" w:hAnsi="Arial"/>
          <w:sz w:val="17"/>
          <w:szCs w:val="17"/>
          <w:color w:val="auto"/>
        </w:rPr>
        <w:t>—The unaudited consolidated financial statements have been prepared in accordance with Generally Accepted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Principles in the United States (“GAAP”) and in accordance with the instructions to Form 10-Q and Article 10 of Regulation S-X for interim financial information. Certain information or footnote disclosures normally included in financial statements prepared in accordance with GAAP have been condensed or omitted, pursuant to the rules and regulations of the Securities and Exchange Commission (“SEC”) for interim financial reporting. Accordingly, they do not include all of the information and notes required by GAAP for complete financial statements. The consolidated balance sheet at December 31, 2015 has been derived from audited financial statements but does not include all of the information and notes required by GAAP for complete financial statements. In the opinion of management, all adjustments considered necessary for a fair statement of the Company’s financial position, results of operations and cash flows have been included and are of a normal and recurring nature. The operating results presented for interim periods are not necessarily indicative of the results that may be expected for any other interim period or for the entire year. The interim financial information contained herein should be read in conjunction with the consolidated financial statements and notes thereto for the year ended December 31, 2015 included in Form 10-K.</w:t>
      </w:r>
    </w:p>
    <w:p>
      <w:pPr>
        <w:spacing w:after="0" w:line="74"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Principles of Consolidation</w:t>
      </w:r>
      <w:r>
        <w:rPr>
          <w:rFonts w:ascii="Arial" w:cs="Arial" w:eastAsia="Arial" w:hAnsi="Arial"/>
          <w:sz w:val="18"/>
          <w:szCs w:val="18"/>
          <w:color w:val="auto"/>
        </w:rPr>
        <w:t>—The Company consolidates all entities in which it has a controlling financial interest and in which it has control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7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73"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Variable Interest Entities</w:t>
      </w:r>
      <w:r>
        <w:rPr>
          <w:rFonts w:ascii="Arial" w:cs="Arial" w:eastAsia="Arial" w:hAnsi="Arial"/>
          <w:sz w:val="18"/>
          <w:szCs w:val="18"/>
          <w:color w:val="auto"/>
        </w:rPr>
        <w:t>—The assessment of whether an entity is a VIE and the determination of whether to consolidate a VIE requires judgment.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8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WWTAI IES MT6015 Ltd</w:t>
      </w:r>
    </w:p>
    <w:p>
      <w:pPr>
        <w:spacing w:after="0" w:line="117" w:lineRule="exact"/>
        <w:rPr>
          <w:rFonts w:ascii="Arial" w:cs="Arial" w:eastAsia="Arial" w:hAnsi="Arial"/>
          <w:sz w:val="18"/>
          <w:szCs w:val="18"/>
          <w:b w:val="1"/>
          <w:bCs w:val="1"/>
          <w:color w:val="auto"/>
        </w:rPr>
      </w:pPr>
    </w:p>
    <w:p>
      <w:pPr>
        <w:jc w:val="both"/>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has an interest in WWTAI IES MT6015 Ltd. (“MT6015”), an entity formed in 2014 which had entered into a contract with a shipbuilder for the construction of an offshore multi service / inspection, maintenance and repair vessel (the “Vessel”) for a price of approximately $75 million. A subsidiary of the Company and a third party each hold a 50% interest in MT6015 and have equal representation on its board of directors. In connection with the initial capitalization of MT6015, another subsidiary of the Company provided the third party partner with a $3,725 loan which was utilized by the third party partner to fund its equity contribution to MT6015. In addition, the agreement provides the Company with disproportionate voting rights, in certain situations, as defined in the agreement. Accordingly, the Company determined that MT6015 is a VIE and that it was the primary beneficiary; accordingly, MT6015 has been presented on a consolidated basis in the accompanying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At December 31, 2015, MT6015 had total assets of $7,533, which are available only to settle the obligations of MT6015. Other than entering into the above commitment, MT6015 has conducted no operations, and no creditors of MT6015 have recourse to any assets of the Company or to its general credit.</w:t>
      </w:r>
    </w:p>
    <w:p>
      <w:pPr>
        <w:spacing w:after="0" w:line="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second quarter of 2016, the Company determined not to proceed with the purchase of the Vessel. The shipbuilder delivered a notice of termination of the shipbuilding contract to MT6015 in July 2016. Correspondingly, in the second quarter of 2016, the Company recorded an impairment in its MT6015 investment of $7,450. The shipbuilder has no further recourse to the Company.</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JGP Energy Partners LLC</w:t>
      </w:r>
    </w:p>
    <w:p>
      <w:pPr>
        <w:spacing w:after="0" w:line="11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During the quarter ended September 30, 2016, the Company initiated activities in its 50% owned joint venture, JGP Energy Partners LLC (“JGP”). The other 50% member to the joint venture is a third party ethanol producer. The purpose of the venture is to build storage capacity with capabilities to receive and/or distribute ethanol via water, rail or truck. Each member agreed to contribute up to $27,000 (for a total of $54,000) for the development and construction of the ethanol terminal facilities. JGP is governed by a designated operating committee selected by the members in proportion to their equity interests. JGP is solely reliant on its members to finance its activities and therefore is a variable interest entity. The Company concluded that it is not the primary beneficiary of JGP as the members share equally in the risks and rewards and decision making authority of the entity; therefore, the Company does not consolidate JGP and instead accounts for this investment in accordance with the equity method.</w:t>
      </w:r>
    </w:p>
    <w:p>
      <w:pPr>
        <w:spacing w:after="0" w:line="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As of September 30, 2016, the Company’s investment in JGP was $1,754, which is included in investments in and advances to unconsolidated entities on the Company’s balance sheet.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Delaware River Partners LLC</w:t>
      </w:r>
    </w:p>
    <w:p>
      <w:pPr>
        <w:spacing w:after="0" w:line="117"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On July 1, 2016, the Company, through Delaware River Partners LLC (“DRP”), a consolidated subsidiary, purchased the assets of Repauno Delaware Port (“Repauno”), which consisted primarily of land, a storage cavern, and riparian rights for the acquired land, site improvements and rights. Currently there are no operational processes that could be applied to these assets that would result in outputs without significant green field development. DRP is solely reliant on the Company to finance its activities and therefore is a variable interest entity. The Company currently holds 100% of the voting interests in DRP. The non-controlling interest was valued at $641 at the acquisition date.</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5 for details.</w:t>
      </w:r>
    </w:p>
    <w:p>
      <w:pPr>
        <w:spacing w:after="0" w:line="11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39"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b w:val="1"/>
          <w:bCs w:val="1"/>
          <w:i w:val="1"/>
          <w:iCs w:val="1"/>
          <w:color w:val="auto"/>
        </w:rPr>
        <w:t>Risks and Uncertainties</w:t>
      </w:r>
      <w:r>
        <w:rPr>
          <w:rFonts w:ascii="Arial" w:cs="Arial" w:eastAsia="Arial" w:hAnsi="Arial"/>
          <w:sz w:val="16"/>
          <w:szCs w:val="16"/>
          <w:color w:val="auto"/>
        </w:rPr>
        <w:t>—In the normal course of business, the Company encounters several significant types of economic risk including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65"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—Restricted cash of $63,891 and $21,610 at September 30, 2016 and December 31, 2015, respectively, consists of prepaid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principal pursuant to the requirements of certain of the Company’s debt agreements (Note 8), and funds set aside for qualifying constructions projects at Jefferson Terminal.</w:t>
      </w:r>
    </w:p>
    <w:p>
      <w:pPr>
        <w:spacing w:after="0" w:line="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Concentration of Credit Risk</w:t>
      </w:r>
      <w:r>
        <w:rPr>
          <w:rFonts w:ascii="Arial" w:cs="Arial" w:eastAsia="Arial" w:hAnsi="Arial"/>
          <w:sz w:val="18"/>
          <w:szCs w:val="18"/>
          <w:color w:val="auto"/>
        </w:rPr>
        <w:t>—The Company is subject to concentrations of credit risk with respect to amounts due from customers on its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leases and operating leases. The Company attempts to limit its credit risk by performing ongoing credit evaluations. During the three and nine months ended September 30, 2016, the Company earned approximately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10% and 11%, respectively, of its revenue from one customer in the Jefferson Terminal segment. During the three and nine months ended September 30, 2015, the Company earned approximately 12% and 23%, respectively, of its revenue from one customer in the Offshore Energy segment, and one customer in Offshore Energy and Jefferson Terminal segments, respectively. As of September 30, 2016, accounts receivable from two customers in the Offshore Energy segment each represented 20% and 23% of total accounts receivable, net. As of December 31, 2015, accounts receivable from two customers in the Offshore Segment each represented 27% and 25% of total accounts receivable, net.</w:t>
      </w:r>
    </w:p>
    <w:p>
      <w:pPr>
        <w:spacing w:after="0" w:line="5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7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b w:val="1"/>
          <w:bCs w:val="1"/>
          <w:i w:val="1"/>
          <w:iCs w:val="1"/>
          <w:color w:val="auto"/>
        </w:rPr>
        <w:t>Provision for Doubtful Accounts</w:t>
      </w:r>
      <w:r>
        <w:rPr>
          <w:rFonts w:ascii="Arial" w:cs="Arial" w:eastAsia="Arial" w:hAnsi="Arial"/>
          <w:sz w:val="17"/>
          <w:szCs w:val="17"/>
          <w:color w:val="auto"/>
        </w:rPr>
        <w:t>—The Company determines the provision for doubtful accounts based on its assessment of the collectability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receivables on a customer-by-customer basis. The provision for doubtful accounts at September 30, 2016 and December 31, 2015 was $434 and $392, respectively. Bad debt expense for the three and nine months ended September 30, 2016 was $79 and $134, respectively. Bad debt expense for the three and nine months ended September 30, 2015 was $96 and $255, respectively.</w:t>
      </w:r>
    </w:p>
    <w:p>
      <w:pPr>
        <w:spacing w:after="0" w:line="6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Comprehensive Income (Loss)</w:t>
      </w:r>
      <w:r>
        <w:rPr>
          <w:rFonts w:ascii="Arial" w:cs="Arial" w:eastAsia="Arial" w:hAnsi="Arial"/>
          <w:sz w:val="18"/>
          <w:szCs w:val="18"/>
          <w:color w:val="auto"/>
        </w:rPr>
        <w:t>—Comprehensive income (loss) is defined as the change in equity of a business enterprise during a period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and other events and circumstances, excluding those resulting from investments by and distributions to owners. The Company’s comprehensive income (loss) represents net income (loss), as presented in the Consolidated Statements of Operations, adjusted for fair value changes related to derivatives accounted for as cash flow hedges.</w:t>
      </w:r>
    </w:p>
    <w:p>
      <w:pPr>
        <w:spacing w:after="0" w:line="7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i w:val="1"/>
          <w:iCs w:val="1"/>
          <w:color w:val="auto"/>
        </w:rPr>
        <w:t>Derivative Financial Instruments—</w:t>
      </w:r>
      <w:r>
        <w:rPr>
          <w:rFonts w:ascii="Arial" w:cs="Arial" w:eastAsia="Arial" w:hAnsi="Arial"/>
          <w:sz w:val="18"/>
          <w:szCs w:val="18"/>
          <w:color w:val="auto"/>
        </w:rPr>
        <w:t>In the normal course of business the Company may utilize interest rate derivatives to manage its exposure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 risks, principally related to the hedging of variable rate interest payments on various debt facilities. If certain conditions are met, an interest rate derivative may be specifically designated as a cash flow hedge. In connection with its debt obligations, the Company had entered into one interest rate derivative designated as a cash flow hedge and one non-hedge derivative. The Company terminated both derivatives during the first quarter of 2016 when the related debt obligations were paid in full. For the interest rate derivative designated as a cash flow hedge, all remaining net gains or losses in accumulated other comprehensive income at the date of termination were reclassified into earnings during the nine months ended September 30, 2016.</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enter into speculative derivative transactions.</w:t>
      </w:r>
    </w:p>
    <w:p>
      <w:pPr>
        <w:spacing w:after="0" w:line="11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Other Assets—</w:t>
      </w:r>
      <w:r>
        <w:rPr>
          <w:rFonts w:ascii="Arial" w:cs="Arial" w:eastAsia="Arial" w:hAnsi="Arial"/>
          <w:sz w:val="18"/>
          <w:szCs w:val="18"/>
          <w:color w:val="auto"/>
        </w:rPr>
        <w:t>Other assets is primarily comprised of notes receivables of $22,422 and $19,468, leasing equipment purchase deposits of $10,236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$7,450, capitalized costs for potential asset acquisitions of $1,795 and $5,473, prepaid expenses of $4,368 and $1,818, and receivables of $13,000 and $0 as of September 30, 2016 and December 31, 2015, respectively.</w:t>
      </w:r>
    </w:p>
    <w:p>
      <w:pPr>
        <w:spacing w:after="0" w:line="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Dividends are recorded when and if declared by the Board of Directors. For the three and nine months ended September 30, 2016,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declared a cash dividend of $0.33 and $0.99 per share, respectively. For the three and nine months ended September 30, 2015, the Board of Directors declared a cash dividend of $0.33 and $0.48 per share, respectively.</w:t>
      </w:r>
    </w:p>
    <w:p>
      <w:pPr>
        <w:spacing w:after="0" w:line="7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—In February 2015, the Financial Accounting Standards Board (the “FASB”) issued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Update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(“ASU 2015-02”). ASU 2015-02 amends the consolidation guidance for VIEs and general partners’ investments in limited partnerships and modifies the evaluation of whether limited partnerships and similar legal entities are VIEs or voting interest entities. ASU 2015-02 is effective for interim and annual reporting periods beginning after December 15, 2015, with early adoption permitted. The Company has adopted ASU 2015-02 as of January 1, 2016 and the adoption of this guidance did not have a material impact on the Company’s consolidated financial statements.</w:t>
      </w:r>
    </w:p>
    <w:p>
      <w:pPr>
        <w:spacing w:after="0" w:line="8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Imputation of Interest: Simplifying the Presentation of Debt Issuance Costs</w:t>
      </w:r>
      <w:r>
        <w:rPr>
          <w:rFonts w:ascii="Arial" w:cs="Arial" w:eastAsia="Arial" w:hAnsi="Arial"/>
          <w:sz w:val="18"/>
          <w:szCs w:val="18"/>
          <w:color w:val="auto"/>
        </w:rPr>
        <w:t xml:space="preserve"> (“ASU 2015-03”). ASU 2015-03 requires that debt issuance costs related to a recognized debt liability be presented in the balance sheet as a direct deduction from the carrying amount of that debt liability, consistent with debt discounts. The guidance is effective for reporting periods beginning after December 15, 2015 and interim periods within those fiscal years with early adoption permitted. ASU 2015-03 should be applied on a retrospective basis, wherein the balance sheet of each period presented should be adjusted to reflect the effects of adoption. The Company has adopted ASU 2015-03 as of January 1, 2016 and revised its consolidated balance sheets to present debt issuance costs as a direct deduction from debt rather than within other assets, for all periods presented.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660"/>
        <w:spacing w:after="0" w:line="287" w:lineRule="auto"/>
        <w:rPr>
          <w:sz w:val="20"/>
          <w:szCs w:val="20"/>
          <w:color w:val="auto"/>
        </w:rPr>
      </w:pPr>
      <w:r>
        <w:rPr>
          <w:rFonts w:ascii="Arial" w:cs="Arial" w:eastAsia="Arial" w:hAnsi="Arial"/>
          <w:sz w:val="17"/>
          <w:szCs w:val="17"/>
          <w:color w:val="auto"/>
        </w:rPr>
        <w:t xml:space="preserve">In August 2015, the FASB issued ASU 2015-15, </w:t>
      </w:r>
      <w:r>
        <w:rPr>
          <w:rFonts w:ascii="Arial" w:cs="Arial" w:eastAsia="Arial" w:hAnsi="Arial"/>
          <w:sz w:val="17"/>
          <w:szCs w:val="17"/>
          <w:i w:val="1"/>
          <w:iCs w:val="1"/>
          <w:color w:val="auto"/>
        </w:rPr>
        <w:t>Interest - Imputation of Interest (Subtopic 835-30): Presentation and Subsequent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Issuance Costs Associated With Line-Of-Credit Arrangements </w:t>
      </w:r>
      <w:r>
        <w:rPr>
          <w:rFonts w:ascii="Arial" w:cs="Arial" w:eastAsia="Arial" w:hAnsi="Arial"/>
          <w:sz w:val="17"/>
          <w:szCs w:val="17"/>
          <w:color w:val="auto"/>
        </w:rPr>
        <w:t>(“ASU 2015-15”). ASU 2015-15 provides further guidance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or subsequent measurement of debt issuance costs related to line-of-credit arrangements. ASU 2015-15 allows companies to defer and present debt issuance costs as an asset or as a direct deduction from the carrying amount of that debt liability and subsequently amortize the deferred debt issuance costs ratably over the term of the line-of-credit arrangement, regardless of whether there are any outstanding borrowings of the line-of-credit arrangement. The guidance is effective for reporting periods beginning after December 15, 2015 and interim periods within those fiscal years with early adoption permitted. The Company has adopted ASU 2015-15 as of January 1, 2016 and revised its consolidated balance sheets to present debt issuance costs related to debt drawn under a line-of-credit arrangements as a direct deduction from debt rather than within other assets, for all periods presented.</w:t>
      </w:r>
    </w:p>
    <w:p>
      <w:pPr>
        <w:spacing w:after="0" w:line="57"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Simplifying the Accounting for Measurement-Period Adjustments</w:t>
      </w:r>
      <w:r>
        <w:rPr>
          <w:rFonts w:ascii="Arial" w:cs="Arial" w:eastAsia="Arial" w:hAnsi="Arial"/>
          <w:sz w:val="16"/>
          <w:szCs w:val="16"/>
          <w:color w:val="auto"/>
        </w:rPr>
        <w:t xml:space="preserve"> (“ASU 2015-16”)</w:t>
      </w:r>
      <w:r>
        <w:rPr>
          <w:rFonts w:ascii="Arial" w:cs="Arial" w:eastAsia="Arial" w:hAnsi="Arial"/>
          <w:sz w:val="16"/>
          <w:szCs w:val="16"/>
          <w:i w:val="1"/>
          <w:iCs w:val="1"/>
          <w:color w:val="auto"/>
        </w:rPr>
        <w:t>.</w:t>
      </w:r>
      <w:r>
        <w:rPr>
          <w:rFonts w:ascii="Arial" w:cs="Arial" w:eastAsia="Arial" w:hAnsi="Arial"/>
          <w:sz w:val="16"/>
          <w:szCs w:val="16"/>
          <w:color w:val="auto"/>
        </w:rPr>
        <w:t xml:space="preserve"> ASU 2015-16 requires an acquirer in a business combination to recognize adjustments to the initial purchase accounting that are identified during the measurement period in the reporting period in which the adjustment amounts are determined. The amendments in this update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2015-16 is effective for annual and interim reporting periods beginning after December 15, 2015. The Company has adopted ASU 2015-16 as of January 1, 2016 and the adoption of this guidance did not have a material impact on the Company’s consolidated financial statements.</w:t>
      </w:r>
    </w:p>
    <w:p>
      <w:pPr>
        <w:spacing w:after="0" w:line="59"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b w:val="1"/>
          <w:bCs w:val="1"/>
          <w:i w:val="1"/>
          <w:iCs w:val="1"/>
          <w:color w:val="auto"/>
        </w:rPr>
        <w:t>Unadopted Accounting Pronouncements</w:t>
      </w:r>
      <w:r>
        <w:rPr>
          <w:rFonts w:ascii="Arial" w:cs="Arial" w:eastAsia="Arial" w:hAnsi="Arial"/>
          <w:sz w:val="17"/>
          <w:szCs w:val="17"/>
          <w:color w:val="auto"/>
        </w:rPr>
        <w:t>—In May 2014, the FASB issued ASU 2014-09,</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252525"/>
        </w:rPr>
        <w:t>Revenues from Contracts with Customers (Topic 606)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52525"/>
        </w:rPr>
        <w:t>(</w:t>
      </w:r>
      <w:r>
        <w:rPr>
          <w:rFonts w:ascii="Arial" w:cs="Arial" w:eastAsia="Arial" w:hAnsi="Arial"/>
          <w:sz w:val="17"/>
          <w:szCs w:val="17"/>
          <w:color w:val="000000"/>
        </w:rPr>
        <w:t>“ASU 2014-09”</w:t>
      </w:r>
      <w:r>
        <w:rPr>
          <w:rFonts w:ascii="Arial" w:cs="Arial" w:eastAsia="Arial" w:hAnsi="Arial"/>
          <w:sz w:val="17"/>
          <w:szCs w:val="17"/>
          <w:color w:val="252525"/>
        </w:rPr>
        <w:t>)</w:t>
      </w:r>
      <w:r>
        <w:rPr>
          <w:rFonts w:ascii="Arial" w:cs="Arial" w:eastAsia="Arial" w:hAnsi="Arial"/>
          <w:sz w:val="17"/>
          <w:szCs w:val="17"/>
          <w:i w:val="1"/>
          <w:iCs w:val="1"/>
          <w:color w:val="252525"/>
        </w:rPr>
        <w:t>.</w:t>
      </w:r>
      <w:r>
        <w:rPr>
          <w:rFonts w:ascii="Arial" w:cs="Arial" w:eastAsia="Arial" w:hAnsi="Arial"/>
          <w:sz w:val="17"/>
          <w:szCs w:val="17"/>
          <w:color w:val="252525"/>
        </w:rPr>
        <w:t xml:space="preserve"> ASU 2014-09 requires </w:t>
      </w:r>
      <w:r>
        <w:rPr>
          <w:rFonts w:ascii="Arial" w:cs="Arial" w:eastAsia="Arial" w:hAnsi="Arial"/>
          <w:sz w:val="17"/>
          <w:szCs w:val="17"/>
          <w:color w:val="000000"/>
        </w:rPr>
        <w:t>that a company recognize revenue when it transfers promised goods or services to customers in an amount</w:t>
      </w:r>
      <w:r>
        <w:rPr>
          <w:rFonts w:ascii="Arial" w:cs="Arial" w:eastAsia="Arial" w:hAnsi="Arial"/>
          <w:sz w:val="17"/>
          <w:szCs w:val="17"/>
          <w:color w:val="252525"/>
        </w:rPr>
        <w:t xml:space="preserve"> </w:t>
      </w:r>
      <w:r>
        <w:rPr>
          <w:rFonts w:ascii="Arial" w:cs="Arial" w:eastAsia="Arial" w:hAnsi="Arial"/>
          <w:sz w:val="17"/>
          <w:szCs w:val="17"/>
          <w:color w:val="000000"/>
        </w:rPr>
        <w:t xml:space="preserve">that reflects the consideration to which the company expects to be entitled in exchange for those goods or services. In doing so, companies will need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In August 2015, the FASB deferred the effective date of this standard by one year, which will be for fiscal years, and interim periods within those years, beginning after December 15, 2017. Additionally, during 2016, the FASB issued ASU 2016-08, </w:t>
      </w:r>
      <w:r>
        <w:rPr>
          <w:rFonts w:ascii="Arial" w:cs="Arial" w:eastAsia="Arial" w:hAnsi="Arial"/>
          <w:sz w:val="17"/>
          <w:szCs w:val="17"/>
          <w:i w:val="1"/>
          <w:iCs w:val="1"/>
          <w:color w:val="000000"/>
        </w:rPr>
        <w:t>Revenue from Contracts with</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Customers, Principal versus Agent Considerations, </w:t>
      </w:r>
      <w:r>
        <w:rPr>
          <w:rFonts w:ascii="Arial" w:cs="Arial" w:eastAsia="Arial" w:hAnsi="Arial"/>
          <w:sz w:val="17"/>
          <w:szCs w:val="17"/>
          <w:color w:val="000000"/>
        </w:rPr>
        <w:t>ASU 2016-10,</w:t>
      </w:r>
      <w:r>
        <w:rPr>
          <w:rFonts w:ascii="Arial" w:cs="Arial" w:eastAsia="Arial" w:hAnsi="Arial"/>
          <w:sz w:val="17"/>
          <w:szCs w:val="17"/>
          <w:i w:val="1"/>
          <w:iCs w:val="1"/>
          <w:color w:val="000000"/>
        </w:rPr>
        <w:t xml:space="preserve"> Revenue from Contracts with Customers, Identifying Performance Obligations and Licensing </w:t>
      </w:r>
      <w:r>
        <w:rPr>
          <w:rFonts w:ascii="Arial" w:cs="Arial" w:eastAsia="Arial" w:hAnsi="Arial"/>
          <w:sz w:val="17"/>
          <w:szCs w:val="17"/>
          <w:color w:val="000000"/>
        </w:rPr>
        <w:t>and ASU 2016-12,</w:t>
      </w:r>
      <w:r>
        <w:rPr>
          <w:rFonts w:ascii="Arial" w:cs="Arial" w:eastAsia="Arial" w:hAnsi="Arial"/>
          <w:sz w:val="17"/>
          <w:szCs w:val="17"/>
          <w:i w:val="1"/>
          <w:iCs w:val="1"/>
          <w:color w:val="000000"/>
        </w:rPr>
        <w:t xml:space="preserve"> Revenue from Contracts with Customers, Narrow-Scope Improvements and Practical Expedients</w:t>
      </w:r>
      <w:r>
        <w:rPr>
          <w:rFonts w:ascii="Arial" w:cs="Arial" w:eastAsia="Arial" w:hAnsi="Arial"/>
          <w:sz w:val="17"/>
          <w:szCs w:val="17"/>
          <w:color w:val="000000"/>
        </w:rPr>
        <w:t>, which clarify the</w:t>
      </w:r>
      <w:r>
        <w:rPr>
          <w:rFonts w:ascii="Arial" w:cs="Arial" w:eastAsia="Arial" w:hAnsi="Arial"/>
          <w:sz w:val="17"/>
          <w:szCs w:val="17"/>
          <w:i w:val="1"/>
          <w:iCs w:val="1"/>
          <w:color w:val="000000"/>
        </w:rPr>
        <w:t xml:space="preserve"> </w:t>
      </w:r>
      <w:r>
        <w:rPr>
          <w:rFonts w:ascii="Arial" w:cs="Arial" w:eastAsia="Arial" w:hAnsi="Arial"/>
          <w:sz w:val="17"/>
          <w:szCs w:val="17"/>
          <w:color w:val="000000"/>
        </w:rPr>
        <w:t>guidance on reporting revenue as a principal versus agent, identifying performance obligations, accounting for intellectual property licenses, and assessing collectibility, present sales tax and treating noncash consideration. The Company is currently evaluating the impact of adopting this new guidance on its consolidated financial statements.</w:t>
      </w:r>
    </w:p>
    <w:p>
      <w:pPr>
        <w:spacing w:after="0" w:line="18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 (Topic 330)</w:t>
      </w:r>
      <w:r>
        <w:rPr>
          <w:rFonts w:ascii="Arial" w:cs="Arial" w:eastAsia="Arial" w:hAnsi="Arial"/>
          <w:sz w:val="18"/>
          <w:szCs w:val="18"/>
          <w:color w:val="auto"/>
        </w:rPr>
        <w:t xml:space="preserve"> (“ASU 2015-11”), which simplifies the measurement of inventory by requiring certain inventory to be measured at the “lower of cost and net realizable value” and the previous parameters for “market value” will be eliminated. ASU 2015-11 defines net realizable value as the “estimated selling prices in the ordinary course of business, less reasonably predictable costs of completion, disposal, and transportation.” The standard will be effective for fiscal years beginning after December 15, 2016, with earlier adoption permitted. The Company is currently evaluating the impact of adopting this new guidance on its consolidated financial statements.</w:t>
      </w:r>
    </w:p>
    <w:p>
      <w:pPr>
        <w:spacing w:after="0" w:line="85"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requires (i) equity investments, except those accounted for under the equity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of accounting or those that result in consolidation of the investee, to be measured at fair value with changes in fair value recognized in net income,</w:t>
      </w:r>
    </w:p>
    <w:p>
      <w:pPr>
        <w:jc w:val="both"/>
        <w:ind w:left="660" w:hanging="4"/>
        <w:spacing w:after="0" w:line="252"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is currently evaluating the impact of adopting this new guidance on its consolidated financial statements.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17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In March 2016, the FASB issued ASU 2016-06, </w:t>
      </w:r>
      <w:r>
        <w:rPr>
          <w:rFonts w:ascii="Arial" w:cs="Arial" w:eastAsia="Arial" w:hAnsi="Arial"/>
          <w:sz w:val="18"/>
          <w:szCs w:val="18"/>
          <w:i w:val="1"/>
          <w:iCs w:val="1"/>
          <w:color w:val="auto"/>
        </w:rPr>
        <w:t>Contingent put and call options in debt instruments</w:t>
      </w:r>
      <w:r>
        <w:rPr>
          <w:rFonts w:ascii="Arial" w:cs="Arial" w:eastAsia="Arial" w:hAnsi="Arial"/>
          <w:sz w:val="18"/>
          <w:szCs w:val="18"/>
          <w:color w:val="auto"/>
        </w:rPr>
        <w:t xml:space="preserve"> (“ASU 2016-06”). ASU 2016-06 simplifies the embedded derivative analysis for debt instruments containing contingent call or put options. ASU 2016-06 will be effective fiscal years beginning after December 15, 2016, and interim periods within those fiscal years, with early adoption permitted. The Company believes the impact of adopting this new guidance on its consolidated financial statements will be immaterial.</w:t>
      </w:r>
    </w:p>
    <w:p>
      <w:pPr>
        <w:spacing w:after="0" w:line="187"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ASU 2016-09 requires the income tax effects of awards to be recognized in the income statement when the awards vest or are settled, increases the amount an employer can withhold to cover income taxes on awards and still qualify for the exception to liability classification, and allow recognizing forfeitures of awards as they occur. ASU 2016-09 will be effective beginning in the first quarter of 2017, with early adoption permitted. The Company is currently evaluating the impact of adopting this new guidance on its consolidated financial statements.</w:t>
      </w:r>
    </w:p>
    <w:p>
      <w:pPr>
        <w:spacing w:after="0" w:line="173"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 xml:space="preserve">In May 2016, the FASB issued ASU 2016-11, </w:t>
      </w:r>
      <w:r>
        <w:rPr>
          <w:rFonts w:ascii="Arial" w:cs="Arial" w:eastAsia="Arial" w:hAnsi="Arial"/>
          <w:sz w:val="17"/>
          <w:szCs w:val="17"/>
          <w:i w:val="1"/>
          <w:iCs w:val="1"/>
          <w:color w:val="auto"/>
        </w:rPr>
        <w:t>Revenue Recognition (Topic 605) and Derivatives and Hedging (Topic 815): Rescission of SEC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Guidance Because of Accounting Standards Updates 2014-09 and 2014-16 Pursuant to Staff Announcements at the March 3, 2016 EITF Meeting. </w:t>
      </w:r>
      <w:r>
        <w:rPr>
          <w:rFonts w:ascii="Arial" w:cs="Arial" w:eastAsia="Arial" w:hAnsi="Arial"/>
          <w:sz w:val="17"/>
          <w:szCs w:val="17"/>
          <w:color w:val="auto"/>
        </w:rPr>
        <w:t>The Company is currently evaluating the impact of adopting this new guidance on its consolidated financial statements.</w:t>
      </w:r>
    </w:p>
    <w:p>
      <w:pPr>
        <w:spacing w:after="0" w:line="166"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w:t>
      </w:r>
      <w:r>
        <w:rPr>
          <w:rFonts w:ascii="Arial" w:cs="Arial" w:eastAsia="Arial" w:hAnsi="Arial"/>
          <w:sz w:val="16"/>
          <w:szCs w:val="16"/>
          <w:i w:val="1"/>
          <w:iCs w:val="1"/>
          <w:color w:val="auto"/>
        </w:rPr>
        <w:t xml:space="preserve">. </w:t>
      </w:r>
      <w:r>
        <w:rPr>
          <w:rFonts w:ascii="Arial" w:cs="Arial" w:eastAsia="Arial" w:hAnsi="Arial"/>
          <w:sz w:val="16"/>
          <w:szCs w:val="16"/>
          <w:color w:val="auto"/>
        </w:rPr>
        <w:t>For assets held at amortized cost basis, ASU 2016-13 eliminates the probable initial recognition threshold in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ASU 2016-13 will be effective for fiscal years beginning after December 15, 2019, including interim periods within those fiscal years. The Company is currently evaluating the impact of adopting this new guidance on its consolidated financial statements.</w:t>
      </w:r>
    </w:p>
    <w:p>
      <w:pPr>
        <w:spacing w:after="0" w:line="169"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w:t>
      </w:r>
      <w:r>
        <w:rPr>
          <w:rFonts w:ascii="Arial" w:cs="Arial" w:eastAsia="Arial" w:hAnsi="Arial"/>
          <w:sz w:val="18"/>
          <w:szCs w:val="18"/>
          <w:i w:val="1"/>
          <w:iCs w:val="1"/>
          <w:color w:val="auto"/>
        </w:rPr>
        <w:t>.</w:t>
      </w:r>
      <w:r>
        <w:rPr>
          <w:rFonts w:ascii="Arial" w:cs="Arial" w:eastAsia="Arial" w:hAnsi="Arial"/>
          <w:sz w:val="18"/>
          <w:szCs w:val="18"/>
          <w:color w:val="auto"/>
        </w:rPr>
        <w:t xml:space="preserve"> ASU 2016-15 addresses the following eight specific cash flow issues: (i) debt prepayment or debt extinguishment costs; (ii) settlement of zero-coupon debt instruments or other debt instruments with coupon interest rates that are insignificant in relation to the effective interest rate of the borrowing; (iii) contingent consideration payments made after a business combination; (iv) proceeds from the settlement of insurance claims; (v) proceeds from the settlement of corporate-owned life insurance policies (COLIs); (vi) distributions received from equity method investees; (vii) beneficial interests in securitization transactions; (viii) and separately identifiable cash flows and application of the predominance principle. ASU 2013-15 will be effective for fiscal years beginning after December 15, 2017, and interim periods within those fiscal years. Early adoption is permitted, including adoption in an interim period. The Company is currently evaluating the impact of adopting this new guidance on its consolidated financial statements.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LEASING EQUIPMENT,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Leasing equipment, net is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 2016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536,714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185,614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766,654</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(55,078)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(72,086)</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481,636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170,983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694,568</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640"/>
              <w:spacing w:after="0"/>
              <w:rPr>
                <w:sz w:val="20"/>
                <w:szCs w:val="20"/>
                <w:color w:val="auto"/>
              </w:rPr>
            </w:pPr>
            <w:r>
              <w:rPr>
                <w:rFonts w:ascii="Arial" w:cs="Arial" w:eastAsia="Arial" w:hAnsi="Arial"/>
                <w:sz w:val="16"/>
                <w:szCs w:val="16"/>
                <w:b w:val="1"/>
                <w:bCs w:val="1"/>
                <w:color w:val="auto"/>
              </w:rPr>
              <w:t>December 31, 2015</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452,602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184,284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681,212</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(33,281)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(44,531)</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419,321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174,580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636,681</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During the nine months ended September 30, 2016, the Company acquired seven aircraft and thirteen commercial jet engines and sold three commercial jet engines. Depreciation expense for leasing equipment for the three and nine months ended September 30, 2016 was $11,322 and $31,065, respectively. Depreciation expense for leasing equipment for the three and nine months ended September 30, 2015 was $7,888 and $22,072, respectively.</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FINANCE LEASES,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leases, net are summarized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September 30, 2016</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December 31, 2015</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7"/>
        </w:trPr>
        <w:tc>
          <w:tcPr>
            <w:tcW w:w="28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17"/>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Offshore Energy</w:t>
            </w:r>
          </w:p>
        </w:tc>
        <w:tc>
          <w:tcPr>
            <w:tcW w:w="28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Offshore Energy</w:t>
            </w: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Shipping Containers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47"/>
        </w:trPr>
        <w:tc>
          <w:tcPr>
            <w:tcW w:w="28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18,528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82,332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102,369</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(8,704)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(9,915)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(9,933)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(19,848)</w:t>
            </w:r>
          </w:p>
        </w:tc>
      </w:tr>
      <w:tr>
        <w:trPr>
          <w:trHeight w:val="33"/>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9,824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72,399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82,521</w:t>
            </w:r>
          </w:p>
        </w:tc>
      </w:tr>
      <w:tr>
        <w:trPr>
          <w:trHeight w:val="20"/>
        </w:trPr>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During the first quarter of 2016, the Company completed the sale of approximately 42,000 shipping containers that were subject to direct finance leases for a modest gain.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2016, future minimum lease payments to be received under finance leases for the remainder of the lease terms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9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2,008</w:t>
            </w:r>
          </w:p>
        </w:tc>
      </w:tr>
      <w:tr>
        <w:trPr>
          <w:trHeight w:val="33"/>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2,008</w:t>
            </w:r>
          </w:p>
        </w:tc>
      </w:tr>
      <w:tr>
        <w:trPr>
          <w:trHeight w:val="33"/>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9,987</w:t>
            </w:r>
          </w:p>
        </w:tc>
      </w:tr>
      <w:tr>
        <w:trPr>
          <w:trHeight w:val="33"/>
        </w:trPr>
        <w:tc>
          <w:tcPr>
            <w:tcW w:w="9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18,528</w:t>
            </w: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right="6360" w:hanging="652"/>
        <w:spacing w:after="0" w:line="445"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PROPERTY, PLANT AND EQUIPMENT, NET </w:t>
      </w:r>
      <w:r>
        <w:rPr>
          <w:rFonts w:ascii="Arial" w:cs="Arial" w:eastAsia="Arial" w:hAnsi="Arial"/>
          <w:sz w:val="17"/>
          <w:szCs w:val="17"/>
          <w:color w:val="auto"/>
        </w:rPr>
        <w:t>Property, plant and equipment, net is summarized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2016</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2015</w:t>
            </w:r>
          </w:p>
        </w:tc>
      </w:tr>
      <w:tr>
        <w:trPr>
          <w:trHeight w:val="33"/>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Land, site improvements and rights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57,597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19,492</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55,927</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Buildings and improvements</w:t>
            </w:r>
          </w:p>
        </w:tc>
        <w:tc>
          <w:tcPr>
            <w:tcW w:w="2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2,750</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Crude oil terminal machinery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236,656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210,857</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Track and track related assets</w:t>
            </w:r>
          </w:p>
        </w:tc>
        <w:tc>
          <w:tcPr>
            <w:tcW w:w="2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17,433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17,159</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Railroad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Railcars and locomotives</w:t>
            </w:r>
          </w:p>
        </w:tc>
        <w:tc>
          <w:tcPr>
            <w:tcW w:w="2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2,642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1,720</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Computer hardware and software</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Furniture and fixtures</w:t>
            </w:r>
          </w:p>
        </w:tc>
        <w:tc>
          <w:tcPr>
            <w:tcW w:w="2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410</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Vehicles</w:t>
            </w:r>
          </w:p>
        </w:tc>
        <w:tc>
          <w:tcPr>
            <w:tcW w:w="2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r>
      <w:tr>
        <w:trPr>
          <w:trHeight w:val="217"/>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365,109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310,064</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(13,215)</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Spare parts</w:t>
            </w:r>
          </w:p>
        </w:tc>
        <w:tc>
          <w:tcPr>
            <w:tcW w:w="2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2,833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2,829</w:t>
            </w: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345,146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299,678</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During nine months ended September 30, 2016 additional property, plant and equipment of $55,174 was acquired, consisting primarily of the purchase of land, construction in progress, crude oil machinery and equipment, and railcars and locomotives.</w:t>
      </w:r>
    </w:p>
    <w:p>
      <w:pPr>
        <w:spacing w:after="0" w:line="62"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On July 1, 2016, the Company, through one of its consolidated subsidiaries, purchased the assets of Repauno for a cash purchase price of approximately $24,000. These amounts consist primarily of land, a storage cavern, riparian rights for the acquired land, site improvements and rights. As part of the transaction, additional amounts of $13,991 were capitalized for costs directly related to the purchase, including costs for legal advice, exploratory diligence, and regulatory permitting costs in an effort to close the transaction and pre-acquisition services provided by our third party shareholder in exchange for a minority interest. Payment obligations of $5,321 relating to the non-controlling interest shareholder were classified in other liabilities. Further post acquisition costs of $3,406 have been capitalized and are included in construction in progress, as development has commenced on the storage cavern and warehouse facilities. As of September 30, 2016, Repauno is part of the Corporate segment.</w:t>
      </w:r>
    </w:p>
    <w:p>
      <w:pPr>
        <w:spacing w:after="0" w:line="5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During the nine months ended September 30, 2016, disposals of railroad equipment totaled $125. Depreciation expense for property, plant and equipment was $3,154 and $9,530, for the three and nine months ended September 30, 2016, respectively. Depreciation expense for property, plant and equipment was $2,764 and $8,114, for the three and nine months ended September 30, 2015, respectively.</w:t>
      </w:r>
    </w:p>
    <w:p>
      <w:pPr>
        <w:spacing w:after="0" w:line="16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ENTITIES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ownership interests and carrying values of the Company’s investments in unconsolidated entities: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4"/>
          </w:tcPr>
          <w:p>
            <w:pPr>
              <w:ind w:left="1020"/>
              <w:spacing w:after="0"/>
              <w:rPr>
                <w:sz w:val="20"/>
                <w:szCs w:val="20"/>
                <w:color w:val="auto"/>
              </w:rPr>
            </w:pPr>
            <w:r>
              <w:rPr>
                <w:rFonts w:ascii="Arial" w:cs="Arial" w:eastAsia="Arial" w:hAnsi="Arial"/>
                <w:sz w:val="16"/>
                <w:szCs w:val="16"/>
                <w:b w:val="1"/>
                <w:bCs w:val="1"/>
                <w:color w:val="auto"/>
              </w:rPr>
              <w:t>Carrying Value</w:t>
            </w:r>
          </w:p>
        </w:tc>
      </w:tr>
      <w:tr>
        <w:trPr>
          <w:trHeight w:val="33"/>
        </w:trPr>
        <w:tc>
          <w:tcPr>
            <w:tcW w:w="62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628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Ownership Percentage</w:t>
            </w: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2016</w:t>
            </w:r>
          </w:p>
        </w:tc>
        <w:tc>
          <w:tcPr>
            <w:tcW w:w="1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31, 2015</w:t>
            </w:r>
          </w:p>
        </w:tc>
      </w:tr>
      <w:tr>
        <w:trPr>
          <w:trHeight w:val="47"/>
        </w:trPr>
        <w:tc>
          <w:tcPr>
            <w:tcW w:w="6280" w:type="dxa"/>
            <w:vAlign w:val="bottom"/>
            <w:tcBorders>
              <w:bottom w:val="single" w:sz="8" w:color="CCEEFF"/>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3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JGP Energy Partners LLC</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1,754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Intermodal Finance I, Ltd.</w:t>
            </w: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51%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ind w:left="1020"/>
              <w:spacing w:after="0"/>
              <w:rPr>
                <w:sz w:val="20"/>
                <w:szCs w:val="20"/>
                <w:color w:val="auto"/>
              </w:rPr>
            </w:pPr>
            <w:r>
              <w:rPr>
                <w:rFonts w:ascii="Arial" w:cs="Arial" w:eastAsia="Arial" w:hAnsi="Arial"/>
                <w:sz w:val="16"/>
                <w:szCs w:val="16"/>
                <w:color w:val="auto"/>
              </w:rPr>
              <w:t>8,768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10,675</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JGP</w:t>
      </w:r>
    </w:p>
    <w:p>
      <w:pPr>
        <w:spacing w:after="0" w:line="11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2016, the Company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The Company concluded it is not the primary beneficiary of JGP as the members share equally in the risks and rewards and decision making authority of the entity; therefore, the Company does not consolidate JGP and instead accounts for this investment in accordance with the equity method. The primary financial activities for JGP relate to member investments and therefore JGP summary financial information has not been presented.</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Intermodal Finance I, Ltd.</w:t>
      </w:r>
    </w:p>
    <w:p>
      <w:pPr>
        <w:spacing w:after="0" w:line="11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2012, the Company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the Company does not have unilateral rights over this investment; therefore, the Company does not consolidate Intermodal but accounts for this investment in accordance with the equity method. The Company does not have a variable interest in this investment as none of the criteria of ASC 810-10-15-14 were met.</w:t>
      </w:r>
    </w:p>
    <w:p>
      <w:pPr>
        <w:spacing w:after="0" w:line="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Intermodal owns a portfolio of multiple finance leases, representing five customers and comprising approximately 53,000 shipping containers, as well as a portfolio of approximately 30,000 shipping containers subject to multiple operating leases.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financial information for Intermodal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020" w:type="dxa"/>
            <w:vAlign w:val="bottom"/>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b w:val="1"/>
                <w:bCs w:val="1"/>
                <w:color w:val="auto"/>
              </w:rPr>
              <w:t>2,470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3,935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8,931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12,429</w:t>
            </w:r>
          </w:p>
        </w:tc>
      </w:tr>
      <w:tr>
        <w:trPr>
          <w:trHeight w:val="33"/>
        </w:trPr>
        <w:tc>
          <w:tcPr>
            <w:tcW w:w="4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614</w:t>
            </w: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2,788</w:t>
            </w: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expense</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20,604</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2,990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22,657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8,848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26,513</w:t>
            </w:r>
          </w:p>
        </w:tc>
      </w:tr>
      <w:tr>
        <w:trPr>
          <w:trHeight w:val="33"/>
        </w:trPr>
        <w:tc>
          <w:tcPr>
            <w:tcW w:w="4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Other income (loss)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disposal of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(1,848)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0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130</w:t>
            </w:r>
          </w:p>
        </w:tc>
      </w:tr>
      <w:tr>
        <w:trPr>
          <w:trHeight w:val="33"/>
        </w:trPr>
        <w:tc>
          <w:tcPr>
            <w:tcW w:w="4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loss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(1,848)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91"/>
        </w:trPr>
        <w:tc>
          <w:tcPr>
            <w:tcW w:w="47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(2,368)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(14,271)</w:t>
            </w:r>
          </w:p>
        </w:tc>
      </w:tr>
      <w:tr>
        <w:trPr>
          <w:trHeight w:val="291"/>
        </w:trPr>
        <w:tc>
          <w:tcPr>
            <w:tcW w:w="47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(2,368)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(14,271)</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Company's equity in losses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r>
      <w:tr>
        <w:trPr>
          <w:trHeight w:val="20"/>
        </w:trPr>
        <w:tc>
          <w:tcPr>
            <w:tcW w:w="4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r>
      <w:tr>
        <w:trPr>
          <w:trHeight w:val="270"/>
        </w:trPr>
        <w:tc>
          <w:tcPr>
            <w:tcW w:w="8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4,406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4,796</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1,153</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Leasing equipment, net of accumulated depreciation of $9,312 and $7,305, respectively</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32,846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47,735</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 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34,261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90,093</w:t>
            </w:r>
          </w:p>
        </w:tc>
      </w:tr>
      <w:tr>
        <w:trPr>
          <w:trHeight w:val="291"/>
        </w:trPr>
        <w:tc>
          <w:tcPr>
            <w:tcW w:w="8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Syndication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Debt, net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59,115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82,991</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61,390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86,804</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Members’ Equity</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members’ equity</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3,289</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members’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90,093</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Company’s investment in and advances to unconsolidated entities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10,675</w:t>
            </w:r>
          </w:p>
        </w:tc>
      </w:tr>
      <w:tr>
        <w:trPr>
          <w:trHeight w:val="20"/>
        </w:trPr>
        <w:tc>
          <w:tcPr>
            <w:tcW w:w="8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INTANGIBLE ASSETS AND LIABILITIES,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and liabilities, net are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2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 2016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Jefferson Terminal</w:t>
            </w:r>
          </w:p>
        </w:tc>
        <w:tc>
          <w:tcPr>
            <w:tcW w:w="24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Railroad</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23,693</w:t>
            </w:r>
          </w:p>
        </w:tc>
        <w:tc>
          <w:tcPr>
            <w:tcW w:w="12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23,693</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(14,611)</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9,082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9,082</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35,513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35,738</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(7,492)</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28,130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28,246</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9,082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28,130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37,328</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(508)</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December 31, 2015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Railroad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22,881</w:t>
            </w:r>
          </w:p>
        </w:tc>
        <w:tc>
          <w:tcPr>
            <w:tcW w:w="1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22,881</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(9,697)</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13,184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13,184</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35,513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35,738</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30,795</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150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30,945</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13,184</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30,795</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150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44,129</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Intangible liabilities relate to unfavorable lease intangibles and are included as a component of other liabilities in the accompanying Consolidated Balance Sheets.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of intangible assets and liabilities is recorded in the Consolidated Statements of Operations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89"/>
              </w:rPr>
              <w:t>Classification in Consolidated Statements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25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0"/>
              </w:rPr>
              <w:t>of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4"/>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31"/>
        </w:trPr>
        <w:tc>
          <w:tcPr>
            <w:tcW w:w="2520" w:type="dxa"/>
            <w:vAlign w:val="bottom"/>
          </w:tcPr>
          <w:p>
            <w:pPr>
              <w:spacing w:after="0"/>
              <w:rPr>
                <w:sz w:val="20"/>
                <w:szCs w:val="20"/>
                <w:color w:val="auto"/>
              </w:rPr>
            </w:pPr>
          </w:p>
        </w:tc>
        <w:tc>
          <w:tcPr>
            <w:tcW w:w="2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25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intangibles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Equipment leasing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5,198</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2,689</w:t>
            </w:r>
          </w:p>
        </w:tc>
      </w:tr>
      <w:tr>
        <w:trPr>
          <w:trHeight w:val="33"/>
        </w:trPr>
        <w:tc>
          <w:tcPr>
            <w:tcW w:w="25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7,887</w:t>
            </w:r>
          </w:p>
        </w:tc>
      </w:tr>
      <w:tr>
        <w:trPr>
          <w:trHeight w:val="20"/>
        </w:trPr>
        <w:tc>
          <w:tcPr>
            <w:tcW w:w="2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2016, estimated net annual amortization of intangibles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ind w:right="819"/>
              <w:spacing w:after="0"/>
              <w:rPr>
                <w:sz w:val="20"/>
                <w:szCs w:val="20"/>
                <w:color w:val="auto"/>
              </w:rPr>
            </w:pPr>
            <w:r>
              <w:rPr>
                <w:rFonts w:ascii="Arial" w:cs="Arial" w:eastAsia="Arial" w:hAnsi="Arial"/>
                <w:sz w:val="16"/>
                <w:szCs w:val="16"/>
                <w:b w:val="1"/>
                <w:bCs w:val="1"/>
                <w:color w:val="auto"/>
              </w:rPr>
              <w:t>Total</w:t>
            </w:r>
          </w:p>
        </w:tc>
      </w:tr>
      <w:tr>
        <w:trPr>
          <w:trHeight w:val="33"/>
        </w:trPr>
        <w:tc>
          <w:tcPr>
            <w:tcW w:w="9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2,142</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2017</w:t>
            </w:r>
          </w:p>
        </w:tc>
        <w:tc>
          <w:tcPr>
            <w:tcW w:w="50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6,953</w:t>
            </w:r>
          </w:p>
        </w:tc>
      </w:tr>
      <w:tr>
        <w:trPr>
          <w:trHeight w:val="33"/>
        </w:trPr>
        <w:tc>
          <w:tcPr>
            <w:tcW w:w="9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6,138</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2019</w:t>
            </w:r>
          </w:p>
        </w:tc>
        <w:tc>
          <w:tcPr>
            <w:tcW w:w="50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4,496</w:t>
            </w:r>
          </w:p>
        </w:tc>
      </w:tr>
      <w:tr>
        <w:trPr>
          <w:trHeight w:val="33"/>
        </w:trPr>
        <w:tc>
          <w:tcPr>
            <w:tcW w:w="9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3,574</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0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13,027</w:t>
            </w:r>
          </w:p>
        </w:tc>
      </w:tr>
      <w:tr>
        <w:trPr>
          <w:trHeight w:val="33"/>
        </w:trPr>
        <w:tc>
          <w:tcPr>
            <w:tcW w:w="9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36,330</w:t>
            </w:r>
          </w:p>
        </w:tc>
      </w:tr>
      <w:tr>
        <w:trPr>
          <w:trHeight w:val="20"/>
        </w:trPr>
        <w:tc>
          <w:tcPr>
            <w:tcW w:w="9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8"/>
                <w:szCs w:val="18"/>
                <w:b w:val="1"/>
                <w:bCs w:val="1"/>
                <w:color w:val="auto"/>
              </w:rPr>
              <w:t>8.</w:t>
            </w:r>
          </w:p>
        </w:tc>
        <w:tc>
          <w:tcPr>
            <w:tcW w:w="7220" w:type="dxa"/>
            <w:vAlign w:val="bottom"/>
          </w:tcPr>
          <w:p>
            <w:pPr>
              <w:ind w:left="440"/>
              <w:spacing w:after="0"/>
              <w:rPr>
                <w:sz w:val="20"/>
                <w:szCs w:val="20"/>
                <w:color w:val="auto"/>
              </w:rPr>
            </w:pPr>
            <w:r>
              <w:rPr>
                <w:rFonts w:ascii="Arial" w:cs="Arial" w:eastAsia="Arial" w:hAnsi="Arial"/>
                <w:sz w:val="18"/>
                <w:szCs w:val="18"/>
                <w:b w:val="1"/>
                <w:bCs w:val="1"/>
                <w:color w:val="auto"/>
              </w:rPr>
              <w:t>DEBT, NET</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The Company’s debt, net is summarized as follows:</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2016</w:t>
            </w:r>
          </w:p>
        </w:tc>
        <w:tc>
          <w:tcPr>
            <w:tcW w:w="200" w:type="dxa"/>
            <w:vAlign w:val="bottom"/>
          </w:tcPr>
          <w:p>
            <w:pPr>
              <w:spacing w:after="0"/>
              <w:rPr>
                <w:sz w:val="24"/>
                <w:szCs w:val="24"/>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 2015</w:t>
            </w:r>
          </w:p>
        </w:tc>
        <w:tc>
          <w:tcPr>
            <w:tcW w:w="0" w:type="dxa"/>
            <w:vAlign w:val="bottom"/>
          </w:tcPr>
          <w:p>
            <w:pPr>
              <w:spacing w:after="0"/>
              <w:rPr>
                <w:sz w:val="1"/>
                <w:szCs w:val="1"/>
                <w:color w:val="auto"/>
              </w:rPr>
            </w:pPr>
          </w:p>
        </w:tc>
      </w:tr>
      <w:tr>
        <w:trPr>
          <w:trHeight w:val="33"/>
        </w:trPr>
        <w:tc>
          <w:tcPr>
            <w:tcW w:w="7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Loans payable</w:t>
            </w: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Container Loan #1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34,761</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Container Loan #2</w:t>
            </w:r>
          </w:p>
        </w:tc>
        <w:tc>
          <w:tcPr>
            <w:tcW w:w="20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11,338</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FTAI Pride Credit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67,188</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CMQR Credit Agreement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13,625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9,407</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Jefferson Terminal Credit Agreement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98,750</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Total loans payable</w:t>
            </w: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76,125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221,444</w:t>
            </w:r>
          </w:p>
        </w:tc>
        <w:tc>
          <w:tcPr>
            <w:tcW w:w="0" w:type="dxa"/>
            <w:vAlign w:val="bottom"/>
          </w:tcPr>
          <w:p>
            <w:pPr>
              <w:spacing w:after="0"/>
              <w:rPr>
                <w:sz w:val="1"/>
                <w:szCs w:val="1"/>
                <w:color w:val="auto"/>
              </w:rPr>
            </w:pPr>
          </w:p>
        </w:tc>
      </w:tr>
      <w:tr>
        <w:trPr>
          <w:trHeight w:val="33"/>
        </w:trPr>
        <w:tc>
          <w:tcPr>
            <w:tcW w:w="7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Bonds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w w:val="98"/>
              </w:rPr>
              <w:t>Series 2012 Bonds (including unamortized premium of $1,710 and $1,751 at September 30, 2016 and</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December 31, 2015, respectively)</w:t>
            </w:r>
          </w:p>
        </w:tc>
        <w:tc>
          <w:tcPr>
            <w:tcW w:w="200" w:type="dxa"/>
            <w:vAlign w:val="bottom"/>
          </w:tcPr>
          <w:p>
            <w:pPr>
              <w:spacing w:after="0"/>
              <w:rPr>
                <w:sz w:val="17"/>
                <w:szCs w:val="17"/>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45,901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47,261</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Series 2016 Bonds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144,200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Total bonds payable</w:t>
            </w: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190,101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47,261</w:t>
            </w:r>
          </w:p>
        </w:tc>
        <w:tc>
          <w:tcPr>
            <w:tcW w:w="0" w:type="dxa"/>
            <w:vAlign w:val="bottom"/>
          </w:tcPr>
          <w:p>
            <w:pPr>
              <w:spacing w:after="0"/>
              <w:rPr>
                <w:sz w:val="1"/>
                <w:szCs w:val="1"/>
                <w:color w:val="auto"/>
              </w:rPr>
            </w:pPr>
          </w:p>
        </w:tc>
      </w:tr>
      <w:tr>
        <w:trPr>
          <w:trHeight w:val="33"/>
        </w:trPr>
        <w:tc>
          <w:tcPr>
            <w:tcW w:w="7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 payable to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Note payable to non-controlling interest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2,352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33"/>
        </w:trPr>
        <w:tc>
          <w:tcPr>
            <w:tcW w:w="2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 note payable to non-controlling interest</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gridSpan w:val="2"/>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Debt</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268,578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271,057</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Less: Debt issuance costs</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(7,035)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(4,836)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261,543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266,221</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due within one year</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24,791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b w:val="1"/>
          <w:bCs w:val="1"/>
          <w:i w:val="1"/>
          <w:iCs w:val="1"/>
          <w:color w:val="auto"/>
        </w:rPr>
        <w:t>Container Loan #1</w:t>
      </w:r>
      <w:r>
        <w:rPr>
          <w:rFonts w:ascii="Arial" w:cs="Arial" w:eastAsia="Arial" w:hAnsi="Arial"/>
          <w:sz w:val="16"/>
          <w:szCs w:val="16"/>
          <w:color w:val="auto"/>
        </w:rPr>
        <w:t>—On December 27, 2012, a subsidiary of the Company entered into a Credit Agreement (“Container Loan #1”) with a bank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initial aggregate amount of approximately $55,991 in connection with the acquisition of a portfolio of shipping containers subject to finance leases. Container Loan #1 required monthly payments of interest and scheduled principal payments through its maturity on December 27, 2017 and could be prepaid without penalty after the third anniversary of the closing of the loan. In connection with Container Loan #1, the Company entered into an interest rate swap agreement (the “Swap”) on January 17, 2013 with respect to 70% of the outstanding balance of Container Loan #1 and designated as a cash flow hedge which fixed the LIBOR rate at 0.681%. During the first quarter of 2016, all amounts outstanding under Container Loan #1 and the Swap were paid in full using the proceeds from the sale of the underlying assets, and such agreements were terminated.</w:t>
      </w:r>
    </w:p>
    <w:p>
      <w:pPr>
        <w:spacing w:after="0" w:line="59"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b w:val="1"/>
          <w:bCs w:val="1"/>
          <w:i w:val="1"/>
          <w:iCs w:val="1"/>
          <w:color w:val="auto"/>
        </w:rPr>
        <w:t>Container Loan #2</w:t>
      </w:r>
      <w:r>
        <w:rPr>
          <w:rFonts w:ascii="Arial" w:cs="Arial" w:eastAsia="Arial" w:hAnsi="Arial"/>
          <w:sz w:val="17"/>
          <w:szCs w:val="17"/>
          <w:color w:val="auto"/>
        </w:rPr>
        <w:t>—On August 15, 2013, a subsidiary of the Company entered into a Credit Agreement (“Container Loan #2”) with a bank for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initial aggregate amount of approximately $21,548 in connection with the acquisition of a portfolio of shipping containers subject to finance leases. Container Loan #2 required quarterly payments of interest and scheduled principal payments through its maturity on August 28, 2018 and could be prepaid without penalty at any time. In connection with Container Loan #2, the Company entered into an interest rate cap agreement (the “Cap”) on September 20, 2013, with respect to 50% of the portion of the outstanding balance of Container Loan #2, not designated as a cash flow hedge, which capped LIBOR at 2.5%. During the first quarter of 2016, all amounts outstanding under Container Loan #2 and the Cap were paid in full using the proceeds from the sale of the underlying assets, and such agreements were terminated.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b w:val="1"/>
          <w:bCs w:val="1"/>
          <w:i w:val="1"/>
          <w:iCs w:val="1"/>
          <w:color w:val="auto"/>
        </w:rPr>
        <w:t>FTAI Pride Credit Agreement</w:t>
      </w:r>
      <w:r>
        <w:rPr>
          <w:rFonts w:ascii="Arial" w:cs="Arial" w:eastAsia="Arial" w:hAnsi="Arial"/>
          <w:sz w:val="17"/>
          <w:szCs w:val="17"/>
          <w:color w:val="auto"/>
        </w:rPr>
        <w:t>—On September 15, 2014, FTAI Pride, LLC, (“FTAI Pride”) a subsidiary of the Company entered into a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(the “FTAI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and can be prepaid without penalty at any time. The FTAI Pride Credit Agreement is secured on a first priority basis by the offshore construction vessel and charter. Borrowings under the FTAI Pride Credit Agreement bear interest at the LIBOR rate plus a spread of 4.50%.</w:t>
      </w:r>
    </w:p>
    <w:p>
      <w:pPr>
        <w:spacing w:after="0" w:line="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7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i w:val="1"/>
          <w:iCs w:val="1"/>
          <w:color w:val="auto"/>
        </w:rPr>
        <w:t>CMQR Credit Agreement</w:t>
      </w:r>
      <w:r>
        <w:rPr>
          <w:rFonts w:ascii="Arial" w:cs="Arial" w:eastAsia="Arial" w:hAnsi="Arial"/>
          <w:sz w:val="18"/>
          <w:szCs w:val="18"/>
          <w:color w:val="auto"/>
        </w:rPr>
        <w:t>—On March 28, 2016, CMQR amended its credit agreement (the “CMQR Credit Agreement”) with a 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revolving line of credit to increase the aggregate amount from $10,000 to $20,000 and to extend the maturity date to September 18, 2018. Borrowings under the CMQR Credit Agreement bear interest at either (i) Adjusted LIBOR plus a spread of 2.50% or 4.50%, (ii) the U.S. or Canadian Base Rate plus a spread of 1.50% or 3.50%, or (iii) the Canadian Fixed Rate plus a spread of 2.50% or 4.50%, as defined by the CMQR Credit Agreement.</w:t>
      </w:r>
    </w:p>
    <w:p>
      <w:pPr>
        <w:spacing w:after="0" w:line="8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CMQR Credit Agreement is also indirectly supported by Fortress Transportation and Infrastructure Investors LLC (the “Sponsor”). In the event of a default under the credit agreement, CMQR’s lenders can cause CMQR to call up to a total of $29 million in capital from the Sponsor, and in the event of CMQR’s bankruptcy, the lenders can put the debt back to the Sponsor. The CMQR Credit Agreement contains affirmative and negative covenants which limit certain actions of CMQR.</w:t>
      </w:r>
    </w:p>
    <w:p>
      <w:pPr>
        <w:spacing w:after="0" w:line="7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b w:val="1"/>
          <w:bCs w:val="1"/>
          <w:i w:val="1"/>
          <w:iCs w:val="1"/>
          <w:color w:val="auto"/>
        </w:rPr>
        <w:t>Jefferson Terminal Credit Agreement</w:t>
      </w:r>
      <w:r>
        <w:rPr>
          <w:rFonts w:ascii="Arial" w:cs="Arial" w:eastAsia="Arial" w:hAnsi="Arial"/>
          <w:sz w:val="17"/>
          <w:szCs w:val="17"/>
          <w:color w:val="auto"/>
        </w:rPr>
        <w:t>—On August 27, 2014, a subsidiary of the Company entered into a credit agreement (the “Jefferson Terminal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Agreement”) with a financial institution for an aggregate amount of $100,000. The Jefferson Terminal Credit Agreement required quarterly payments of $250 beginning with the quarter ending December 31, 2014, with such quarterly payments increasing to $1,250 beginning with the quarter ending December 31, 2016, and could be prepaid or repaid at any time prior to its maturity on February 27, 2018. On March 8, 2016, all amounts outstanding under the Jefferson Terminal Credit Agreement were paid in full and such agreement was terminated. Accordingly, during the first quarter of 2016, the Company recorded a loss on extinguishment of debt of $1,579.</w:t>
      </w:r>
    </w:p>
    <w:p>
      <w:pPr>
        <w:spacing w:after="0" w:line="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i w:val="1"/>
          <w:iCs w:val="1"/>
          <w:color w:val="auto"/>
        </w:rPr>
        <w:t>Series 2012 Bonds</w:t>
      </w:r>
      <w:r>
        <w:rPr>
          <w:rFonts w:ascii="Arial" w:cs="Arial" w:eastAsia="Arial" w:hAnsi="Arial"/>
          <w:sz w:val="18"/>
          <w:szCs w:val="18"/>
          <w:color w:val="auto"/>
        </w:rPr>
        <w:t>—On August 1, 2012, Jefferson County Development Corporation issued $46,875 of tax-exempt industrial bonds (“Series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pacing w:after="0" w:line="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connection with the Company’s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Series 2012 Bond agreement contains a financial covenant requiring a subsidiary of the Company to maintain a long-term debt service coverage ratio, as defined in the agreement, of 1.25 to 1, in each fiscal year, beginning with December 31, 2014.</w:t>
      </w:r>
    </w:p>
    <w:p>
      <w:pPr>
        <w:spacing w:after="0" w:line="62"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b w:val="1"/>
          <w:bCs w:val="1"/>
          <w:i w:val="1"/>
          <w:iCs w:val="1"/>
          <w:color w:val="auto"/>
        </w:rPr>
        <w:t>Series 2016 Bonds</w:t>
      </w:r>
      <w:r>
        <w:rPr>
          <w:rFonts w:ascii="Arial" w:cs="Arial" w:eastAsia="Arial" w:hAnsi="Arial"/>
          <w:sz w:val="17"/>
          <w:szCs w:val="17"/>
          <w:color w:val="auto"/>
        </w:rPr>
        <w:t>—On March 7, 2016, the Port of Beaumont Navigation District of Jefferson County, Texas (the “District”) issued $144,200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Dock and 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8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therein, as well as maintenance of a minimum total asset value of Aviation Assets and minimum total equity of the Company. In connection with the above, and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affiliate of the Manager will effectively guarantee a pro rata portion of the obligations under the Standby Bond Purchase Agreement in return for a guarantee fee of $6,873 (shared on the same pro rata basis). This fee will be amortized as interest expense to the earlier of the redemption date or February 13, 2020.</w:t>
      </w:r>
    </w:p>
    <w:p>
      <w:pPr>
        <w:spacing w:after="0" w:line="71"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was in compliance with all debt covenants as of September 30, 2016.</w:t>
      </w:r>
    </w:p>
    <w:p>
      <w:pPr>
        <w:spacing w:after="0" w:line="22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9" w:lineRule="exact"/>
        <w:rPr>
          <w:rFonts w:ascii="Arial" w:cs="Arial" w:eastAsia="Arial" w:hAnsi="Arial"/>
          <w:sz w:val="18"/>
          <w:szCs w:val="18"/>
          <w:b w:val="1"/>
          <w:bCs w:val="1"/>
          <w:color w:val="auto"/>
        </w:rPr>
      </w:pPr>
    </w:p>
    <w:p>
      <w:pPr>
        <w:ind w:left="1360" w:hanging="704"/>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13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either directly or indirectly, such as quoted prices for similar assets or liabilities or market corroborated inputs.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the Company to develop its own assumptions about how market participants price the asset or liability.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approach—Uses prices and other relevant information generated by market transactions involving identical or comparable assets or liabilities.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Income approach—Uses valuation techniques to convert future amounts to a single present amount based on current market expectations about those future amounts.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 approach—Based on the amount that currently would be required to replace the service capacity of an asset (replacement cost).</w:t>
      </w:r>
    </w:p>
    <w:p>
      <w:pPr>
        <w:spacing w:after="0" w:line="1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following tables set forth the Company’s financial assets measured at fair value on a recurring basis as of September 30, 2016 and December 31, 2015, by level within the fair value hierarchy. Assets measured at fair value are classified in their entirety based on the lowest level of input that is significant to their fair value measurement.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Fair Value as of</w:t>
            </w:r>
          </w:p>
        </w:tc>
        <w:tc>
          <w:tcPr>
            <w:tcW w:w="200" w:type="dxa"/>
            <w:vAlign w:val="bottom"/>
          </w:tcPr>
          <w:p>
            <w:pPr>
              <w:spacing w:after="0"/>
              <w:rPr>
                <w:sz w:val="18"/>
                <w:szCs w:val="18"/>
                <w:color w:val="auto"/>
              </w:rPr>
            </w:pPr>
          </w:p>
        </w:tc>
        <w:tc>
          <w:tcPr>
            <w:tcW w:w="4200" w:type="dxa"/>
            <w:vAlign w:val="bottom"/>
            <w:gridSpan w:val="6"/>
          </w:tcPr>
          <w:p>
            <w:pPr>
              <w:jc w:val="center"/>
              <w:ind w:left="19"/>
              <w:spacing w:after="0"/>
              <w:rPr>
                <w:sz w:val="20"/>
                <w:szCs w:val="20"/>
                <w:color w:val="auto"/>
              </w:rPr>
            </w:pPr>
            <w:r>
              <w:rPr>
                <w:rFonts w:ascii="Arial" w:cs="Arial" w:eastAsia="Arial" w:hAnsi="Arial"/>
                <w:sz w:val="16"/>
                <w:szCs w:val="16"/>
                <w:b w:val="1"/>
                <w:bCs w:val="1"/>
                <w:color w:val="auto"/>
                <w:w w:val="92"/>
              </w:rPr>
              <w:t>Fair Value Measurements Using Fair Value Hierarchy as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September 30, 2016</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2016</w:t>
            </w: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Valuation Technique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Level 2</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197,874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197,874</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Market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63,891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63,891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Market</w:t>
            </w:r>
          </w:p>
        </w:tc>
        <w:tc>
          <w:tcPr>
            <w:tcW w:w="0" w:type="dxa"/>
            <w:vAlign w:val="bottom"/>
          </w:tcPr>
          <w:p>
            <w:pPr>
              <w:spacing w:after="0"/>
              <w:rPr>
                <w:sz w:val="1"/>
                <w:szCs w:val="1"/>
                <w:color w:val="auto"/>
              </w:rPr>
            </w:pPr>
          </w:p>
        </w:tc>
      </w:tr>
      <w:tr>
        <w:trPr>
          <w:trHeight w:val="244"/>
        </w:trPr>
        <w:tc>
          <w:tcPr>
            <w:tcW w:w="264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261,765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261,765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Fair Value as of</w:t>
            </w:r>
          </w:p>
        </w:tc>
        <w:tc>
          <w:tcPr>
            <w:tcW w:w="200" w:type="dxa"/>
            <w:vAlign w:val="bottom"/>
          </w:tcPr>
          <w:p>
            <w:pPr>
              <w:spacing w:after="0"/>
              <w:rPr>
                <w:sz w:val="18"/>
                <w:szCs w:val="18"/>
                <w:color w:val="auto"/>
              </w:rPr>
            </w:pPr>
          </w:p>
        </w:tc>
        <w:tc>
          <w:tcPr>
            <w:tcW w:w="4200" w:type="dxa"/>
            <w:vAlign w:val="bottom"/>
            <w:gridSpan w:val="6"/>
          </w:tcPr>
          <w:p>
            <w:pPr>
              <w:jc w:val="center"/>
              <w:ind w:left="19"/>
              <w:spacing w:after="0"/>
              <w:rPr>
                <w:sz w:val="20"/>
                <w:szCs w:val="20"/>
                <w:color w:val="auto"/>
              </w:rPr>
            </w:pPr>
            <w:r>
              <w:rPr>
                <w:rFonts w:ascii="Arial" w:cs="Arial" w:eastAsia="Arial" w:hAnsi="Arial"/>
                <w:sz w:val="16"/>
                <w:szCs w:val="16"/>
                <w:b w:val="1"/>
                <w:bCs w:val="1"/>
                <w:color w:val="auto"/>
                <w:w w:val="92"/>
              </w:rPr>
              <w:t>Fair Value Measurements Using Fair Value Hierarchy as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December 31, 2015</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December 31, 2015</w:t>
            </w: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Valuation Technique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Level 2</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gridSpan w:val="3"/>
            <w:vMerge w:val="restart"/>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381,703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381,703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Market</w:t>
            </w:r>
          </w:p>
        </w:tc>
        <w:tc>
          <w:tcPr>
            <w:tcW w:w="0" w:type="dxa"/>
            <w:vAlign w:val="bottom"/>
          </w:tcPr>
          <w:p>
            <w:pPr>
              <w:spacing w:after="0"/>
              <w:rPr>
                <w:sz w:val="1"/>
                <w:szCs w:val="1"/>
                <w:color w:val="auto"/>
              </w:rPr>
            </w:pPr>
          </w:p>
        </w:tc>
      </w:tr>
      <w:tr>
        <w:trPr>
          <w:trHeight w:val="237"/>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21,610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21,610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Market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Derivative assets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Income</w:t>
            </w:r>
          </w:p>
        </w:tc>
        <w:tc>
          <w:tcPr>
            <w:tcW w:w="0" w:type="dxa"/>
            <w:vAlign w:val="bottom"/>
          </w:tcPr>
          <w:p>
            <w:pPr>
              <w:spacing w:after="0"/>
              <w:rPr>
                <w:sz w:val="1"/>
                <w:szCs w:val="1"/>
                <w:color w:val="auto"/>
              </w:rPr>
            </w:pPr>
          </w:p>
        </w:tc>
      </w:tr>
      <w:tr>
        <w:trPr>
          <w:trHeight w:val="244"/>
        </w:trPr>
        <w:tc>
          <w:tcPr>
            <w:tcW w:w="264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403,414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403,313</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2016 and December 31, 2015, the Company had no liabilities that were measured at fair value on a recurring basis.</w:t>
      </w:r>
    </w:p>
    <w:p>
      <w:pPr>
        <w:spacing w:after="0" w:line="11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Company’s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7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Except as discussed below, the Company’s financial instruments other than cash and cash equivalents and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7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Company’s notes receivable at September 30, 2016 and December 31, 2015, which is included as a component of other assets on the accompanying Consolidated Balance Sheets, consist of a $3,725 loan bearing interest at 12.0% made to the Company’s joint venture partner in MT 6015 (Note 2) which is collateralized by other property owned by the joint venture partner. At September 30, 2016 and December 31, 2015, the Company’s notes receivable also included a $17,935 and $14,869, respectively, loan bearing interest at 10% related to a terminal site under development, collateralized by property at that site. The fair value of these notes receivable approximate carrying value due to both bearing a market rate of interest for similar types of loans and is classified as Level 2 within the fair value hierarchy.</w:t>
      </w:r>
    </w:p>
    <w:p>
      <w:pPr>
        <w:spacing w:after="0" w:line="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fair value of Series 2012 bonds, reported in debt, net on the Consolidated Balance Sheets, was approximately $48,062 and $49,268, respectively, at September 30, 2016 and December 31, 2015, based upon market prices for similar municipal securities. The fair value of Series 2016 bonds, reported in debt, net on the Consolidated Balance Sheets, was approximately $151,392 at September 30, 2016 based upon market prices for similar municipal securities. The fair values of all other items reported as debt, net in the Consolidated Balance Sheet approximate their carrying values due to their bearing market rates of interest, and are classified as Level 2 within the fair value hierarchy.</w:t>
      </w:r>
    </w:p>
    <w:p>
      <w:pPr>
        <w:spacing w:after="0" w:line="6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Components of revenue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8"/>
          </w:tcPr>
          <w:p>
            <w:pPr>
              <w:ind w:left="200"/>
              <w:spacing w:after="0"/>
              <w:rPr>
                <w:sz w:val="20"/>
                <w:szCs w:val="20"/>
                <w:color w:val="auto"/>
              </w:rPr>
            </w:pPr>
            <w:r>
              <w:rPr>
                <w:rFonts w:ascii="Arial" w:cs="Arial" w:eastAsia="Arial" w:hAnsi="Arial"/>
                <w:sz w:val="16"/>
                <w:szCs w:val="16"/>
                <w:b w:val="1"/>
                <w:bCs w:val="1"/>
                <w:color w:val="auto"/>
              </w:rPr>
              <w:t>Three Months Ended September 30, 2016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Containers</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Railroad</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2740" w:type="dxa"/>
            <w:vAlign w:val="bottom"/>
          </w:tcPr>
          <w:p>
            <w:pPr>
              <w:ind w:left="500"/>
              <w:spacing w:after="0"/>
              <w:rPr>
                <w:sz w:val="20"/>
                <w:szCs w:val="20"/>
                <w:color w:val="auto"/>
              </w:rPr>
            </w:pPr>
            <w:r>
              <w:rPr>
                <w:rFonts w:ascii="Arial" w:cs="Arial" w:eastAsia="Arial" w:hAnsi="Arial"/>
                <w:sz w:val="16"/>
                <w:szCs w:val="16"/>
                <w:color w:val="auto"/>
              </w:rPr>
              <w:t>Lease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19,039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2,561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21,600</w:t>
            </w: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7,646</w:t>
            </w:r>
          </w:p>
        </w:tc>
      </w:tr>
      <w:tr>
        <w:trPr>
          <w:trHeight w:val="237"/>
        </w:trPr>
        <w:tc>
          <w:tcPr>
            <w:tcW w:w="2740" w:type="dxa"/>
            <w:vAlign w:val="bottom"/>
          </w:tcPr>
          <w:p>
            <w:pPr>
              <w:ind w:left="500"/>
              <w:spacing w:after="0"/>
              <w:rPr>
                <w:sz w:val="20"/>
                <w:szCs w:val="20"/>
                <w:color w:val="auto"/>
              </w:rPr>
            </w:pPr>
            <w:r>
              <w:rPr>
                <w:rFonts w:ascii="Arial" w:cs="Arial" w:eastAsia="Arial" w:hAnsi="Arial"/>
                <w:sz w:val="16"/>
                <w:szCs w:val="16"/>
                <w:color w:val="auto"/>
              </w:rPr>
              <w:t>Finance lease income</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403</w:t>
            </w: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r>
      <w:tr>
        <w:trPr>
          <w:trHeight w:val="196"/>
        </w:trPr>
        <w:tc>
          <w:tcPr>
            <w:tcW w:w="2740" w:type="dxa"/>
            <w:vAlign w:val="bottom"/>
          </w:tcPr>
          <w:p>
            <w:pPr>
              <w:ind w:left="500"/>
              <w:spacing w:after="0"/>
              <w:rPr>
                <w:sz w:val="20"/>
                <w:szCs w:val="20"/>
                <w:color w:val="auto"/>
              </w:rPr>
            </w:pPr>
            <w:r>
              <w:rPr>
                <w:rFonts w:ascii="Arial" w:cs="Arial" w:eastAsia="Arial" w:hAnsi="Arial"/>
                <w:sz w:val="16"/>
                <w:szCs w:val="16"/>
                <w:b w:val="1"/>
                <w:bCs w:val="1"/>
                <w:color w:val="auto"/>
              </w:rPr>
              <w:t>Total equipment leasing</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10"/>
        </w:trPr>
        <w:tc>
          <w:tcPr>
            <w:tcW w:w="2740" w:type="dxa"/>
            <w:vAlign w:val="bottom"/>
          </w:tcPr>
          <w:p>
            <w:pPr>
              <w:ind w:left="50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27,060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30,054</w:t>
            </w:r>
          </w:p>
        </w:tc>
      </w:tr>
      <w:tr>
        <w:trPr>
          <w:trHeight w:val="33"/>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2740" w:type="dxa"/>
            <w:vAlign w:val="bottom"/>
          </w:tcPr>
          <w:p>
            <w:pPr>
              <w:ind w:left="540"/>
              <w:spacing w:after="0"/>
              <w:rPr>
                <w:sz w:val="20"/>
                <w:szCs w:val="20"/>
                <w:color w:val="auto"/>
              </w:rPr>
            </w:pPr>
            <w:r>
              <w:rPr>
                <w:rFonts w:ascii="Arial" w:cs="Arial" w:eastAsia="Arial" w:hAnsi="Arial"/>
                <w:sz w:val="16"/>
                <w:szCs w:val="16"/>
                <w:color w:val="auto"/>
              </w:rPr>
              <w:t>Lease income</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w:t>
            </w: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7,401</w:t>
            </w:r>
          </w:p>
        </w:tc>
      </w:tr>
      <w:tr>
        <w:trPr>
          <w:trHeight w:val="237"/>
        </w:trPr>
        <w:tc>
          <w:tcPr>
            <w:tcW w:w="2740" w:type="dxa"/>
            <w:vAlign w:val="bottom"/>
          </w:tcPr>
          <w:p>
            <w:pPr>
              <w:ind w:left="540"/>
              <w:spacing w:after="0"/>
              <w:rPr>
                <w:sz w:val="20"/>
                <w:szCs w:val="20"/>
                <w:color w:val="auto"/>
              </w:rPr>
            </w:pPr>
            <w:r>
              <w:rPr>
                <w:rFonts w:ascii="Arial" w:cs="Arial" w:eastAsia="Arial" w:hAnsi="Arial"/>
                <w:sz w:val="16"/>
                <w:szCs w:val="16"/>
                <w:color w:val="auto"/>
              </w:rPr>
              <w:t>Terminal services revenues</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4,255</w:t>
            </w:r>
          </w:p>
        </w:tc>
      </w:tr>
      <w:tr>
        <w:trPr>
          <w:trHeight w:val="33"/>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Total 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11,672</w:t>
            </w:r>
          </w:p>
        </w:tc>
      </w:tr>
      <w:tr>
        <w:trPr>
          <w:trHeight w:val="244"/>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27,060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2,969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4,255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7,401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41,726</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67"/>
        </w:trPr>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gridSpan w:val="8"/>
          </w:tcPr>
          <w:p>
            <w:pPr>
              <w:ind w:left="200"/>
              <w:spacing w:after="0"/>
              <w:rPr>
                <w:sz w:val="20"/>
                <w:szCs w:val="20"/>
                <w:color w:val="auto"/>
              </w:rPr>
            </w:pPr>
            <w:r>
              <w:rPr>
                <w:rFonts w:ascii="Arial" w:cs="Arial" w:eastAsia="Arial" w:hAnsi="Arial"/>
                <w:sz w:val="16"/>
                <w:szCs w:val="16"/>
                <w:b w:val="1"/>
                <w:bCs w:val="1"/>
                <w:color w:val="auto"/>
              </w:rPr>
              <w:t>Three Months Ended September 30, 2015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Containers</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Railroad</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2740" w:type="dxa"/>
            <w:vAlign w:val="bottom"/>
          </w:tcPr>
          <w:p>
            <w:pPr>
              <w:ind w:left="500"/>
              <w:spacing w:after="0"/>
              <w:rPr>
                <w:sz w:val="20"/>
                <w:szCs w:val="20"/>
                <w:color w:val="auto"/>
              </w:rPr>
            </w:pPr>
            <w:r>
              <w:rPr>
                <w:rFonts w:ascii="Arial" w:cs="Arial" w:eastAsia="Arial" w:hAnsi="Arial"/>
                <w:sz w:val="16"/>
                <w:szCs w:val="16"/>
                <w:color w:val="auto"/>
              </w:rPr>
              <w:t>Lease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10,664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5,816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16,480</w:t>
            </w: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5,510</w:t>
            </w:r>
          </w:p>
        </w:tc>
      </w:tr>
      <w:tr>
        <w:trPr>
          <w:trHeight w:val="237"/>
        </w:trPr>
        <w:tc>
          <w:tcPr>
            <w:tcW w:w="2740" w:type="dxa"/>
            <w:vAlign w:val="bottom"/>
          </w:tcPr>
          <w:p>
            <w:pPr>
              <w:ind w:left="500"/>
              <w:spacing w:after="0"/>
              <w:rPr>
                <w:sz w:val="20"/>
                <w:szCs w:val="20"/>
                <w:color w:val="auto"/>
              </w:rPr>
            </w:pPr>
            <w:r>
              <w:rPr>
                <w:rFonts w:ascii="Arial" w:cs="Arial" w:eastAsia="Arial" w:hAnsi="Arial"/>
                <w:sz w:val="16"/>
                <w:szCs w:val="16"/>
                <w:color w:val="auto"/>
              </w:rPr>
              <w:t>Finance lease income</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2,144</w:t>
            </w: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r>
      <w:tr>
        <w:trPr>
          <w:trHeight w:val="196"/>
        </w:trPr>
        <w:tc>
          <w:tcPr>
            <w:tcW w:w="2740" w:type="dxa"/>
            <w:vAlign w:val="bottom"/>
          </w:tcPr>
          <w:p>
            <w:pPr>
              <w:ind w:left="500"/>
              <w:spacing w:after="0"/>
              <w:rPr>
                <w:sz w:val="20"/>
                <w:szCs w:val="20"/>
                <w:color w:val="auto"/>
              </w:rPr>
            </w:pPr>
            <w:r>
              <w:rPr>
                <w:rFonts w:ascii="Arial" w:cs="Arial" w:eastAsia="Arial" w:hAnsi="Arial"/>
                <w:sz w:val="16"/>
                <w:szCs w:val="16"/>
                <w:b w:val="1"/>
                <w:bCs w:val="1"/>
                <w:color w:val="auto"/>
              </w:rPr>
              <w:t>Total equipment leasing</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10"/>
        </w:trPr>
        <w:tc>
          <w:tcPr>
            <w:tcW w:w="2740" w:type="dxa"/>
            <w:vAlign w:val="bottom"/>
          </w:tcPr>
          <w:p>
            <w:pPr>
              <w:ind w:left="50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16,174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24,360</w:t>
            </w:r>
          </w:p>
        </w:tc>
      </w:tr>
      <w:tr>
        <w:trPr>
          <w:trHeight w:val="33"/>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2740" w:type="dxa"/>
            <w:vAlign w:val="bottom"/>
          </w:tcPr>
          <w:p>
            <w:pPr>
              <w:ind w:left="540"/>
              <w:spacing w:after="0"/>
              <w:rPr>
                <w:sz w:val="20"/>
                <w:szCs w:val="20"/>
                <w:color w:val="auto"/>
              </w:rPr>
            </w:pPr>
            <w:r>
              <w:rPr>
                <w:rFonts w:ascii="Arial" w:cs="Arial" w:eastAsia="Arial" w:hAnsi="Arial"/>
                <w:sz w:val="16"/>
                <w:szCs w:val="16"/>
                <w:color w:val="auto"/>
              </w:rPr>
              <w:t>Lease income</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1,030</w:t>
            </w: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6,641</w:t>
            </w:r>
          </w:p>
        </w:tc>
      </w:tr>
      <w:tr>
        <w:trPr>
          <w:trHeight w:val="237"/>
        </w:trPr>
        <w:tc>
          <w:tcPr>
            <w:tcW w:w="2740" w:type="dxa"/>
            <w:vAlign w:val="bottom"/>
          </w:tcPr>
          <w:p>
            <w:pPr>
              <w:ind w:left="540"/>
              <w:spacing w:after="0"/>
              <w:rPr>
                <w:sz w:val="20"/>
                <w:szCs w:val="20"/>
                <w:color w:val="auto"/>
              </w:rPr>
            </w:pPr>
            <w:r>
              <w:rPr>
                <w:rFonts w:ascii="Arial" w:cs="Arial" w:eastAsia="Arial" w:hAnsi="Arial"/>
                <w:sz w:val="16"/>
                <w:szCs w:val="16"/>
                <w:color w:val="auto"/>
              </w:rPr>
              <w:t>Terminal services revenues</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3,202</w:t>
            </w:r>
          </w:p>
        </w:tc>
      </w:tr>
      <w:tr>
        <w:trPr>
          <w:trHeight w:val="33"/>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2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Total infrastructure revenues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10,873</w:t>
            </w:r>
          </w:p>
        </w:tc>
      </w:tr>
      <w:tr>
        <w:trPr>
          <w:trHeight w:val="257"/>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16,174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6,435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35,233</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2"/>
          </w:tcPr>
          <w:p>
            <w:pPr>
              <w:ind w:left="220"/>
              <w:spacing w:after="0"/>
              <w:rPr>
                <w:sz w:val="20"/>
                <w:szCs w:val="20"/>
                <w:color w:val="auto"/>
              </w:rPr>
            </w:pPr>
            <w:r>
              <w:rPr>
                <w:rFonts w:ascii="Arial" w:cs="Arial" w:eastAsia="Arial" w:hAnsi="Arial"/>
                <w:sz w:val="16"/>
                <w:szCs w:val="16"/>
                <w:b w:val="1"/>
                <w:bCs w:val="1"/>
                <w:color w:val="auto"/>
              </w:rPr>
              <w:t>Nine Months Ended September 30, 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gridSpan w:val="5"/>
          </w:tcPr>
          <w:p>
            <w:pPr>
              <w:ind w:left="40"/>
              <w:spacing w:after="0"/>
              <w:rPr>
                <w:sz w:val="20"/>
                <w:szCs w:val="20"/>
                <w:color w:val="auto"/>
              </w:rPr>
            </w:pPr>
            <w:r>
              <w:rPr>
                <w:rFonts w:ascii="Arial" w:cs="Arial" w:eastAsia="Arial" w:hAnsi="Arial"/>
                <w:sz w:val="16"/>
                <w:szCs w:val="16"/>
                <w:b w:val="1"/>
                <w:bCs w:val="1"/>
                <w:color w:val="auto"/>
                <w:w w:val="90"/>
              </w:rPr>
              <w:t>Equipment Leasing</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8"/>
          </w:tcPr>
          <w:p>
            <w:pPr>
              <w:ind w:left="500"/>
              <w:spacing w:after="0"/>
              <w:rPr>
                <w:sz w:val="20"/>
                <w:szCs w:val="20"/>
                <w:color w:val="auto"/>
              </w:rPr>
            </w:pPr>
            <w:r>
              <w:rPr>
                <w:rFonts w:ascii="Arial" w:cs="Arial" w:eastAsia="Arial" w:hAnsi="Arial"/>
                <w:sz w:val="16"/>
                <w:szCs w:val="16"/>
                <w:b w:val="1"/>
                <w:bCs w:val="1"/>
                <w:color w:val="auto"/>
              </w:rPr>
              <w:t>Infrastructure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4"/>
              </w:rPr>
              <w:t>Jefferson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Containers</w:t>
            </w:r>
          </w:p>
        </w:tc>
        <w:tc>
          <w:tcPr>
            <w:tcW w:w="1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Terminal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Railroad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color w:val="auto"/>
              </w:rPr>
              <w:t>Lease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46,636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49,852</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19,037</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color w:val="auto"/>
              </w:rPr>
              <w:t>Finance 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2,324</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2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767</w:t>
            </w:r>
          </w:p>
        </w:tc>
        <w:tc>
          <w:tcPr>
            <w:tcW w:w="20" w:type="dxa"/>
            <w:vAlign w:val="bottom"/>
          </w:tcPr>
          <w:p>
            <w:pPr>
              <w:spacing w:after="0"/>
              <w:rPr>
                <w:sz w:val="23"/>
                <w:szCs w:val="23"/>
                <w:color w:val="auto"/>
              </w:rPr>
            </w:pPr>
          </w:p>
        </w:tc>
      </w:tr>
      <w:tr>
        <w:trPr>
          <w:trHeight w:val="196"/>
        </w:trPr>
        <w:tc>
          <w:tcPr>
            <w:tcW w:w="20" w:type="dxa"/>
            <w:vAlign w:val="bottom"/>
          </w:tcPr>
          <w:p>
            <w:pPr>
              <w:spacing w:after="0"/>
              <w:rPr>
                <w:sz w:val="17"/>
                <w:szCs w:val="17"/>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b w:val="1"/>
                <w:bCs w:val="1"/>
                <w:color w:val="auto"/>
              </w:rPr>
              <w:t>Total equipment leasing</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66,360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4,433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71,980</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520"/>
              <w:spacing w:after="0"/>
              <w:rPr>
                <w:sz w:val="20"/>
                <w:szCs w:val="20"/>
                <w:color w:val="auto"/>
              </w:rPr>
            </w:pPr>
            <w:r>
              <w:rPr>
                <w:rFonts w:ascii="Arial" w:cs="Arial" w:eastAsia="Arial" w:hAnsi="Arial"/>
                <w:sz w:val="16"/>
                <w:szCs w:val="16"/>
                <w:color w:val="auto"/>
              </w:rPr>
              <w:t>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ind w:left="680"/>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23,107</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520"/>
              <w:spacing w:after="0"/>
              <w:rPr>
                <w:sz w:val="20"/>
                <w:szCs w:val="20"/>
                <w:color w:val="auto"/>
              </w:rPr>
            </w:pPr>
            <w:r>
              <w:rPr>
                <w:rFonts w:ascii="Arial" w:cs="Arial" w:eastAsia="Arial" w:hAnsi="Arial"/>
                <w:sz w:val="16"/>
                <w:szCs w:val="16"/>
                <w:color w:val="auto"/>
              </w:rPr>
              <w:t>Terminal services revenues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11,271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11,271</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34,394</w:t>
            </w:r>
          </w:p>
        </w:tc>
        <w:tc>
          <w:tcPr>
            <w:tcW w:w="2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66,360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4,433</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1,187</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11,271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23,107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106,374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gridSpan w:val="12"/>
          </w:tcPr>
          <w:p>
            <w:pPr>
              <w:ind w:left="220"/>
              <w:spacing w:after="0"/>
              <w:rPr>
                <w:sz w:val="20"/>
                <w:szCs w:val="20"/>
                <w:color w:val="auto"/>
              </w:rPr>
            </w:pPr>
            <w:r>
              <w:rPr>
                <w:rFonts w:ascii="Arial" w:cs="Arial" w:eastAsia="Arial" w:hAnsi="Arial"/>
                <w:sz w:val="16"/>
                <w:szCs w:val="16"/>
                <w:b w:val="1"/>
                <w:bCs w:val="1"/>
                <w:color w:val="auto"/>
              </w:rPr>
              <w:t>Nine Months Ended September 30, 2015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Equipment Leasing</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8"/>
          </w:tcPr>
          <w:p>
            <w:pPr>
              <w:ind w:left="520"/>
              <w:spacing w:after="0"/>
              <w:rPr>
                <w:sz w:val="20"/>
                <w:szCs w:val="20"/>
                <w:color w:val="auto"/>
              </w:rPr>
            </w:pPr>
            <w:r>
              <w:rPr>
                <w:rFonts w:ascii="Arial" w:cs="Arial" w:eastAsia="Arial" w:hAnsi="Arial"/>
                <w:sz w:val="16"/>
                <w:szCs w:val="16"/>
                <w:b w:val="1"/>
                <w:bCs w:val="1"/>
                <w:color w:val="auto"/>
              </w:rPr>
              <w:t>Infrastructure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Shipping</w:t>
            </w:r>
          </w:p>
        </w:tc>
        <w:tc>
          <w:tcPr>
            <w:tcW w:w="1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4"/>
              </w:rPr>
              <w:t>Jefferson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Containers</w:t>
            </w:r>
          </w:p>
        </w:tc>
        <w:tc>
          <w:tcPr>
            <w:tcW w:w="1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Terminal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Railroad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color w:val="auto"/>
              </w:rPr>
              <w:t>Lease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30,211</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18,419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48,630</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color w:val="auto"/>
              </w:rPr>
              <w:t>Finance lease income</w:t>
            </w:r>
          </w:p>
        </w:tc>
        <w:tc>
          <w:tcPr>
            <w:tcW w:w="20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5,496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6,743</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196"/>
        </w:trPr>
        <w:tc>
          <w:tcPr>
            <w:tcW w:w="20" w:type="dxa"/>
            <w:vAlign w:val="bottom"/>
          </w:tcPr>
          <w:p>
            <w:pPr>
              <w:spacing w:after="0"/>
              <w:rPr>
                <w:sz w:val="17"/>
                <w:szCs w:val="17"/>
                <w:color w:val="auto"/>
              </w:rPr>
            </w:pPr>
          </w:p>
        </w:tc>
        <w:tc>
          <w:tcPr>
            <w:tcW w:w="2720" w:type="dxa"/>
            <w:vAlign w:val="bottom"/>
          </w:tcPr>
          <w:p>
            <w:pPr>
              <w:ind w:left="480"/>
              <w:spacing w:after="0"/>
              <w:rPr>
                <w:sz w:val="20"/>
                <w:szCs w:val="20"/>
                <w:color w:val="auto"/>
              </w:rPr>
            </w:pPr>
            <w:r>
              <w:rPr>
                <w:rFonts w:ascii="Arial" w:cs="Arial" w:eastAsia="Arial" w:hAnsi="Arial"/>
                <w:sz w:val="16"/>
                <w:szCs w:val="16"/>
                <w:b w:val="1"/>
                <w:bCs w:val="1"/>
                <w:color w:val="auto"/>
              </w:rPr>
              <w:t>Total equipment leasing</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44,226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20,234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5,571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70,031</w:t>
            </w:r>
          </w:p>
        </w:tc>
        <w:tc>
          <w:tcPr>
            <w:tcW w:w="20" w:type="dxa"/>
            <w:vAlign w:val="bottom"/>
          </w:tcPr>
          <w:p>
            <w:pPr>
              <w:spacing w:after="0"/>
              <w:rPr>
                <w:sz w:val="18"/>
                <w:szCs w:val="18"/>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520"/>
              <w:spacing w:after="0"/>
              <w:rPr>
                <w:sz w:val="20"/>
                <w:szCs w:val="20"/>
                <w:color w:val="auto"/>
              </w:rPr>
            </w:pPr>
            <w:r>
              <w:rPr>
                <w:rFonts w:ascii="Arial" w:cs="Arial" w:eastAsia="Arial" w:hAnsi="Arial"/>
                <w:sz w:val="16"/>
                <w:szCs w:val="16"/>
                <w:color w:val="auto"/>
              </w:rPr>
              <w:t>Lease income</w:t>
            </w:r>
          </w:p>
        </w:tc>
        <w:tc>
          <w:tcPr>
            <w:tcW w:w="20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3,850</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18,488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520"/>
              <w:spacing w:after="0"/>
              <w:rPr>
                <w:sz w:val="20"/>
                <w:szCs w:val="20"/>
                <w:color w:val="auto"/>
              </w:rPr>
            </w:pPr>
            <w:r>
              <w:rPr>
                <w:rFonts w:ascii="Arial" w:cs="Arial" w:eastAsia="Arial" w:hAnsi="Arial"/>
                <w:sz w:val="16"/>
                <w:szCs w:val="16"/>
                <w:color w:val="auto"/>
              </w:rPr>
              <w:t>Terminal services revenues</w:t>
            </w:r>
          </w:p>
        </w:tc>
        <w:tc>
          <w:tcPr>
            <w:tcW w:w="20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10,401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10,401</w:t>
            </w:r>
          </w:p>
        </w:tc>
        <w:tc>
          <w:tcPr>
            <w:tcW w:w="20" w:type="dxa"/>
            <w:vAlign w:val="bottom"/>
          </w:tcPr>
          <w:p>
            <w:pPr>
              <w:spacing w:after="0"/>
              <w:rPr>
                <w:sz w:val="20"/>
                <w:szCs w:val="20"/>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32,739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44,226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20,234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14,251</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18,488</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tcPr>
          <w:p>
            <w:pPr>
              <w:ind w:left="7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102,770</w:t>
            </w:r>
          </w:p>
        </w:tc>
        <w:tc>
          <w:tcPr>
            <w:tcW w:w="20" w:type="dxa"/>
            <w:vAlign w:val="bottom"/>
            <w:tcBorders>
              <w:top w:val="single" w:sz="8" w:color="auto"/>
              <w:bottom w:val="single" w:sz="8" w:color="auto"/>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Minimum future annual revenues contracted to be received under existing operating leases of equipment as of September 30, 2016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10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18,722</w:t>
            </w:r>
          </w:p>
        </w:tc>
      </w:tr>
      <w:tr>
        <w:trPr>
          <w:trHeight w:val="224"/>
        </w:trPr>
        <w:tc>
          <w:tcPr>
            <w:tcW w:w="10280" w:type="dxa"/>
            <w:vAlign w:val="bottom"/>
          </w:tcPr>
          <w:p>
            <w:pPr>
              <w:ind w:left="40"/>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57,551</w:t>
            </w:r>
          </w:p>
        </w:tc>
      </w:tr>
      <w:tr>
        <w:trPr>
          <w:trHeight w:val="33"/>
        </w:trPr>
        <w:tc>
          <w:tcPr>
            <w:tcW w:w="10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42,109</w:t>
            </w:r>
          </w:p>
        </w:tc>
      </w:tr>
      <w:tr>
        <w:trPr>
          <w:trHeight w:val="224"/>
        </w:trPr>
        <w:tc>
          <w:tcPr>
            <w:tcW w:w="10280" w:type="dxa"/>
            <w:vAlign w:val="bottom"/>
          </w:tcPr>
          <w:p>
            <w:pPr>
              <w:ind w:left="40"/>
              <w:spacing w:after="0"/>
              <w:rPr>
                <w:sz w:val="20"/>
                <w:szCs w:val="20"/>
                <w:color w:val="auto"/>
              </w:rPr>
            </w:pPr>
            <w:r>
              <w:rPr>
                <w:rFonts w:ascii="Arial" w:cs="Arial" w:eastAsia="Arial" w:hAnsi="Arial"/>
                <w:sz w:val="16"/>
                <w:szCs w:val="16"/>
                <w:color w:val="auto"/>
              </w:rPr>
              <w:t>2019</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22,856</w:t>
            </w:r>
          </w:p>
        </w:tc>
      </w:tr>
      <w:tr>
        <w:trPr>
          <w:trHeight w:val="33"/>
        </w:trPr>
        <w:tc>
          <w:tcPr>
            <w:tcW w:w="10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12,208</w:t>
            </w:r>
          </w:p>
        </w:tc>
      </w:tr>
      <w:tr>
        <w:trPr>
          <w:trHeight w:val="224"/>
        </w:trPr>
        <w:tc>
          <w:tcPr>
            <w:tcW w:w="102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8,304</w:t>
            </w:r>
          </w:p>
        </w:tc>
      </w:tr>
      <w:tr>
        <w:trPr>
          <w:trHeight w:val="33"/>
        </w:trPr>
        <w:tc>
          <w:tcPr>
            <w:tcW w:w="10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161,750</w:t>
            </w:r>
          </w:p>
        </w:tc>
      </w:tr>
      <w:tr>
        <w:trPr>
          <w:trHeight w:val="20"/>
        </w:trPr>
        <w:tc>
          <w:tcPr>
            <w:tcW w:w="10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w:t>
      </w:r>
    </w:p>
    <w:p>
      <w:pPr>
        <w:spacing w:after="0" w:line="12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2015,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w:t>
      </w:r>
    </w:p>
    <w:p>
      <w:pPr>
        <w:spacing w:after="0" w:line="7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As of September 30, 2016, the Incentive Plan provides for the issuance of up to 30.0 million shares. The Company accounts for equity-based compensation expense in accordance with Accounting Standards Codification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and is reported within operating expenses and general and administrative in the Consolidated Statements of Operations.</w:t>
      </w:r>
    </w:p>
    <w:p>
      <w:pPr>
        <w:spacing w:after="0" w:line="73" w:lineRule="exact"/>
        <w:rPr>
          <w:rFonts w:ascii="Arial" w:cs="Arial" w:eastAsia="Arial" w:hAnsi="Arial"/>
          <w:sz w:val="18"/>
          <w:szCs w:val="18"/>
          <w:b w:val="1"/>
          <w:bCs w:val="1"/>
          <w:color w:val="auto"/>
        </w:rPr>
      </w:pPr>
    </w:p>
    <w:p>
      <w:pPr>
        <w:ind w:left="660" w:right="480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 xml:space="preserve">Information on equity based compensation as of September 30, 2016 is as follows: </w:t>
      </w:r>
      <w:r>
        <w:rPr>
          <w:rFonts w:ascii="Arial" w:cs="Arial" w:eastAsia="Arial" w:hAnsi="Arial"/>
          <w:sz w:val="18"/>
          <w:szCs w:val="18"/>
          <w:i w:val="1"/>
          <w:iCs w:val="1"/>
          <w:color w:val="auto"/>
        </w:rPr>
        <w:t>Stock Options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 Average</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 Price</w:t>
            </w: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Contractual Term</w:t>
            </w:r>
          </w:p>
        </w:tc>
        <w:tc>
          <w:tcPr>
            <w:tcW w:w="140" w:type="dxa"/>
            <w:vAlign w:val="bottom"/>
          </w:tcPr>
          <w:p>
            <w:pPr>
              <w:spacing w:after="0"/>
              <w:rPr>
                <w:sz w:val="17"/>
                <w:szCs w:val="17"/>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Aggregate</w:t>
            </w:r>
          </w:p>
        </w:tc>
      </w:tr>
      <w:tr>
        <w:trPr>
          <w:trHeight w:val="210"/>
        </w:trPr>
        <w:tc>
          <w:tcPr>
            <w:tcW w:w="5620" w:type="dxa"/>
            <w:vAlign w:val="bottom"/>
          </w:tcPr>
          <w:p>
            <w:pPr>
              <w:ind w:left="160"/>
              <w:spacing w:after="0"/>
              <w:rPr>
                <w:sz w:val="20"/>
                <w:szCs w:val="20"/>
                <w:color w:val="auto"/>
              </w:rPr>
            </w:pPr>
            <w:r>
              <w:rPr>
                <w:rFonts w:ascii="Arial" w:cs="Arial" w:eastAsia="Arial" w:hAnsi="Arial"/>
                <w:sz w:val="16"/>
                <w:szCs w:val="16"/>
                <w:i w:val="1"/>
                <w:iCs w:val="1"/>
                <w:color w:val="auto"/>
              </w:rPr>
              <w:t>(in thousands except share and per share data)</w:t>
            </w:r>
          </w:p>
        </w:tc>
        <w:tc>
          <w:tcPr>
            <w:tcW w:w="1500" w:type="dxa"/>
            <w:vAlign w:val="bottom"/>
            <w:gridSpan w:val="2"/>
          </w:tcPr>
          <w:p>
            <w:pPr>
              <w:ind w:left="400"/>
              <w:spacing w:after="0"/>
              <w:rPr>
                <w:sz w:val="20"/>
                <w:szCs w:val="20"/>
                <w:color w:val="auto"/>
              </w:rPr>
            </w:pPr>
            <w:r>
              <w:rPr>
                <w:rFonts w:ascii="Arial" w:cs="Arial" w:eastAsia="Arial" w:hAnsi="Arial"/>
                <w:sz w:val="16"/>
                <w:szCs w:val="16"/>
                <w:b w:val="1"/>
                <w:bCs w:val="1"/>
                <w:color w:val="auto"/>
              </w:rPr>
              <w:t>Options</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(per share)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40" w:type="dxa"/>
            <w:vAlign w:val="bottom"/>
          </w:tcPr>
          <w:p>
            <w:pPr>
              <w:spacing w:after="0"/>
              <w:rPr>
                <w:sz w:val="18"/>
                <w:szCs w:val="18"/>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 outstanding at January 1, 2016</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160"/>
              <w:spacing w:after="0"/>
              <w:rPr>
                <w:sz w:val="20"/>
                <w:szCs w:val="20"/>
                <w:color w:val="auto"/>
              </w:rPr>
            </w:pPr>
            <w:r>
              <w:rPr>
                <w:rFonts w:ascii="Arial" w:cs="Arial" w:eastAsia="Arial" w:hAnsi="Arial"/>
                <w:sz w:val="16"/>
                <w:szCs w:val="16"/>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160"/>
              <w:spacing w:after="0"/>
              <w:rPr>
                <w:sz w:val="20"/>
                <w:szCs w:val="20"/>
                <w:color w:val="auto"/>
              </w:rPr>
            </w:pPr>
            <w:r>
              <w:rPr>
                <w:rFonts w:ascii="Arial" w:cs="Arial" w:eastAsia="Arial" w:hAnsi="Arial"/>
                <w:sz w:val="16"/>
                <w:szCs w:val="16"/>
                <w:color w:val="auto"/>
              </w:rPr>
              <w:t>Forfeited and canceled</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outstanding and exercisable as of September 30, 2016</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16.98</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The Company granted two equity based compensation awards in a subsidiary consisting of 1.3 million restricted shares in exchange for services. The first award for 1.25 million restricted shares had a grant date fair value of $23,879. The fair value was determined on the grant date, August 27, 2014, using the market approach assuming no forfeitures. The shares vest in three tranches over three years, subject to continued employment and achievement of three separate performance conditions based on EBITDA for that subsidiary. The compensation expense will be recognized ratably over the remaining service period when it is probable that the performance conditions will be achieved and expires in August 2017. During the nine months ended September 30, 2016, the achievement of all performance conditions was deemed not probable and accordingly, the $4,402 expense previously recognized was reversed in operating expenses in the Consolidated Statement of Operations.</w:t>
      </w:r>
    </w:p>
    <w:p>
      <w:pPr>
        <w:spacing w:after="0" w:line="59"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second award of 42,000 restricted shares had a grant day fair value of $800 using the market approach and assuming no forfeited awards. The award vests over four years, provided the employee remains employed by the Company. During the first quarter of 2016, the employee terminated his employment, at which time 50% of the award was vested and 50% was forfeited per the terms of the agreement with the employee. In lieu of delivering the vested shares, the Company paid $200 in cash to the former employee in accordance with the amended terms of the agreement during the second quarter of 2016, effectively terminating and canceling the awards.</w:t>
      </w:r>
    </w:p>
    <w:p>
      <w:pPr>
        <w:spacing w:after="0" w:line="6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As of September 30, 2016, 1.25 million restricted shares were unvested and outstanding and no restricted shares were vested and outstanding. All restricted shares were unvested and outstanding as of December 31, 2015.</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Units</w:t>
      </w:r>
    </w:p>
    <w:p>
      <w:pPr>
        <w:spacing w:after="0" w:line="11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granted equity based compensation in a subsidiary consisting of 1.4 million common units with an aggregate grant date fair value of $1,688 in exchange for services assuming no forfeited amounts. The awards have varying terms, ranging between 16 and 36 months, and vest subject to continued employment through each respective vesting date. The awards are equity based, with compensation expense recognized ratably over the vesting periods. As of September 30, 2016 and December 31, 2015, 150,000 and 733,333 common units were nonvested, respectively. During the nine months ended September 30, 2016, 583,333 common units vested, with a fair value of $722. During the three months ended September 30, 2016 no shares vested.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the awards are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dates.</w:t>
      </w:r>
    </w:p>
    <w:p>
      <w:pPr>
        <w:spacing w:after="0" w:line="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Consolidated Statements of Operations includes the following expense (income) related to its stock-based compensation arrangements: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Remaining Expense To Be</w:t>
            </w:r>
          </w:p>
        </w:tc>
      </w:tr>
      <w:tr>
        <w:trPr>
          <w:trHeight w:val="203"/>
        </w:trPr>
        <w:tc>
          <w:tcPr>
            <w:tcW w:w="2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Recognized, If All Vesting</w:t>
            </w:r>
          </w:p>
        </w:tc>
      </w:tr>
      <w:tr>
        <w:trPr>
          <w:trHeight w:val="210"/>
        </w:trPr>
        <w:tc>
          <w:tcPr>
            <w:tcW w:w="2520" w:type="dxa"/>
            <w:vAlign w:val="bottom"/>
          </w:tcPr>
          <w:p>
            <w:pPr>
              <w:spacing w:after="0"/>
              <w:rPr>
                <w:sz w:val="18"/>
                <w:szCs w:val="18"/>
                <w:color w:val="auto"/>
              </w:rPr>
            </w:pPr>
          </w:p>
        </w:tc>
        <w:tc>
          <w:tcPr>
            <w:tcW w:w="348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5"/>
          </w:tcPr>
          <w:p>
            <w:pPr>
              <w:ind w:left="160"/>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Pr>
          <w:p>
            <w:pPr>
              <w:spacing w:after="0"/>
              <w:rPr>
                <w:sz w:val="18"/>
                <w:szCs w:val="18"/>
                <w:color w:val="auto"/>
              </w:rPr>
            </w:pPr>
          </w:p>
        </w:tc>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Conditions Are Met</w:t>
            </w:r>
          </w:p>
        </w:tc>
      </w:tr>
      <w:tr>
        <w:trPr>
          <w:trHeight w:val="33"/>
        </w:trPr>
        <w:tc>
          <w:tcPr>
            <w:tcW w:w="2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1"/>
        </w:trPr>
        <w:tc>
          <w:tcPr>
            <w:tcW w:w="252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2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7"/>
        </w:trPr>
        <w:tc>
          <w:tcPr>
            <w:tcW w:w="252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Shares</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23,879</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Common Units</w:t>
            </w:r>
          </w:p>
        </w:tc>
        <w:tc>
          <w:tcPr>
            <w:tcW w:w="1160" w:type="dxa"/>
            <w:vAlign w:val="bottom"/>
          </w:tcPr>
          <w:p>
            <w:pPr>
              <w:spacing w:after="0"/>
              <w:rPr>
                <w:sz w:val="20"/>
                <w:szCs w:val="20"/>
                <w:color w:val="auto"/>
              </w:rPr>
            </w:pPr>
          </w:p>
        </w:tc>
        <w:tc>
          <w:tcPr>
            <w:tcW w:w="460" w:type="dxa"/>
            <w:vAlign w:val="bottom"/>
          </w:tcPr>
          <w:p>
            <w:pPr>
              <w:ind w:left="18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33"/>
        </w:trPr>
        <w:tc>
          <w:tcPr>
            <w:tcW w:w="2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23,996</w:t>
            </w:r>
          </w:p>
        </w:tc>
      </w:tr>
      <w:tr>
        <w:trPr>
          <w:trHeight w:val="20"/>
        </w:trPr>
        <w:tc>
          <w:tcPr>
            <w:tcW w:w="2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current and deferred components of the income tax provision (benefit) included in the Consolidated Statements of Operations are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43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43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120"/>
              <w:spacing w:after="0"/>
              <w:rPr>
                <w:sz w:val="20"/>
                <w:szCs w:val="20"/>
                <w:color w:val="auto"/>
              </w:rPr>
            </w:pPr>
            <w:r>
              <w:rPr>
                <w:rFonts w:ascii="Arial" w:cs="Arial" w:eastAsia="Arial" w:hAnsi="Arial"/>
                <w:sz w:val="16"/>
                <w:szCs w:val="16"/>
                <w:color w:val="auto"/>
              </w:rPr>
              <w:t>Federal</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34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2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State and local</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r>
      <w:tr>
        <w:trPr>
          <w:trHeight w:val="237"/>
        </w:trPr>
        <w:tc>
          <w:tcPr>
            <w:tcW w:w="4360" w:type="dxa"/>
            <w:vAlign w:val="bottom"/>
          </w:tcPr>
          <w:p>
            <w:pPr>
              <w:ind w:left="120"/>
              <w:spacing w:after="0"/>
              <w:rPr>
                <w:sz w:val="20"/>
                <w:szCs w:val="20"/>
                <w:color w:val="auto"/>
              </w:rPr>
            </w:pPr>
            <w:r>
              <w:rPr>
                <w:rFonts w:ascii="Arial" w:cs="Arial" w:eastAsia="Arial" w:hAnsi="Arial"/>
                <w:sz w:val="16"/>
                <w:szCs w:val="16"/>
                <w:color w:val="auto"/>
              </w:rPr>
              <w:t>Foreign</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319</w:t>
            </w:r>
          </w:p>
        </w:tc>
      </w:tr>
      <w:tr>
        <w:trPr>
          <w:trHeight w:val="33"/>
        </w:trPr>
        <w:tc>
          <w:tcPr>
            <w:tcW w:w="43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provision (benefit)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138</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r>
      <w:tr>
        <w:trPr>
          <w:trHeight w:val="318"/>
        </w:trPr>
        <w:tc>
          <w:tcPr>
            <w:tcW w:w="43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120"/>
              <w:spacing w:after="0"/>
              <w:rPr>
                <w:sz w:val="20"/>
                <w:szCs w:val="20"/>
                <w:color w:val="auto"/>
              </w:rPr>
            </w:pPr>
            <w:r>
              <w:rPr>
                <w:rFonts w:ascii="Arial" w:cs="Arial" w:eastAsia="Arial" w:hAnsi="Arial"/>
                <w:sz w:val="16"/>
                <w:szCs w:val="16"/>
                <w:color w:val="auto"/>
              </w:rPr>
              <w:t>Federal</w:t>
            </w: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State and local</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4360" w:type="dxa"/>
            <w:vAlign w:val="bottom"/>
          </w:tcPr>
          <w:p>
            <w:pPr>
              <w:ind w:left="120"/>
              <w:spacing w:after="0"/>
              <w:rPr>
                <w:sz w:val="20"/>
                <w:szCs w:val="20"/>
                <w:color w:val="auto"/>
              </w:rPr>
            </w:pPr>
            <w:r>
              <w:rPr>
                <w:rFonts w:ascii="Arial" w:cs="Arial" w:eastAsia="Arial" w:hAnsi="Arial"/>
                <w:sz w:val="16"/>
                <w:szCs w:val="16"/>
                <w:color w:val="auto"/>
              </w:rPr>
              <w:t>Foreign</w:t>
            </w:r>
          </w:p>
        </w:tc>
        <w:tc>
          <w:tcPr>
            <w:tcW w:w="10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105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217</w:t>
            </w:r>
          </w:p>
        </w:tc>
      </w:tr>
      <w:tr>
        <w:trPr>
          <w:trHeight w:val="33"/>
        </w:trPr>
        <w:tc>
          <w:tcPr>
            <w:tcW w:w="43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provision</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318"/>
        </w:trPr>
        <w:tc>
          <w:tcPr>
            <w:tcW w:w="43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provision for income taxes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150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r>
      <w:tr>
        <w:trPr>
          <w:trHeight w:val="20"/>
        </w:trPr>
        <w:tc>
          <w:tcPr>
            <w:tcW w:w="4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is taxed as a flow-through entity for U.S. income tax purposes and its taxable income or loss generated is the responsibility of its owners. Taxable income or loss generated by the Company’s corporate subsidiaries is subject to U.S. federal, state and foreign corporate income tax in locations where they conduct business.</w:t>
      </w:r>
    </w:p>
    <w:p>
      <w:pPr>
        <w:spacing w:after="0" w:line="73"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Company’s effective tax rate differs from the U.S. federal tax rate of 35% primarily due to a significant portion of its income that is not subject to U.S. corporate tax rates or that is deemed to be foreign sourced and is either not taxable or taxable at effectively lower tax rates.</w:t>
      </w:r>
    </w:p>
    <w:p>
      <w:pPr>
        <w:spacing w:after="0" w:line="3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and for the period ended September 30, 2016, the Company had not established a liability for uncertain tax positions as no such positions existed. In general, the Company’s tax returns and the tax returns of its corporate subsidiaries are subject to U.S. federal, state, local and foreign income tax examinations by tax authorities. Generally, the Company is not subject to examination by taxing authorities for tax years prior to 2012. The Company does not believe that it is reasonably possible that the total amount of unrecognized tax benefits will significantly change within 12 months of the reporting date.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 AND AFFILIATE TRANSACTIONS</w:t>
      </w:r>
    </w:p>
    <w:p>
      <w:pPr>
        <w:spacing w:after="0" w:line="121"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 In May 2015, in connection with the Company’s initial public offering (the “IPO”), the Company entered into a new management agreement with the Manager, (the “Management Agreement”) which replaced its then-existing management agreement as a private fund. Additionally, the Company has entered into certain incentive allocation arrangements with Fortress Worldwide Transportation and Infrastructure Master GP LLC (the “Master GP”), which owns 0.05% of the Partnership and is the general partner of the Partnership.</w:t>
      </w:r>
    </w:p>
    <w:p>
      <w:pPr>
        <w:spacing w:after="0" w:line="8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Pre-IPO Management Agreement</w:t>
      </w:r>
    </w:p>
    <w:p>
      <w:pPr>
        <w:spacing w:after="0" w:line="117"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pre-IPO management fee was calculated at an annual rate of 1.25% for any Onshore Fund or Offshore Fund investor (collectively, the “Fund Investors”) with a capital commitment of at least $100 million and 1.50% for any capital commitment of less than $100 million, payable semi-annually in arrears. Commencing with the date of the initial closing of the Onshore Fund and the Offshore Fund and continuing through the third anniversary of their final closing (the “Fund Commitment Period”), this percentage was applied to the weighted average of all capital called, reduced for any return of capital resulting from the partial or complete disposition of any Portfolio Investment, as defined therein. During the three and nine months ended September 30, 2015, pre-IPO management fees were $0 and $3,873, respectively.</w:t>
      </w:r>
    </w:p>
    <w:p>
      <w:pPr>
        <w:spacing w:after="0" w:line="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Post-IPO Management Agreement and Other Incentive Allocation</w:t>
      </w:r>
    </w:p>
    <w:p>
      <w:pPr>
        <w:spacing w:after="0" w:line="117" w:lineRule="exact"/>
        <w:rPr>
          <w:rFonts w:ascii="Arial" w:cs="Arial" w:eastAsia="Arial" w:hAnsi="Arial"/>
          <w:sz w:val="18"/>
          <w:szCs w:val="18"/>
          <w:b w:val="1"/>
          <w:bCs w:val="1"/>
          <w:color w:val="auto"/>
        </w:rPr>
      </w:pP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Manager is entitled to a management fee and reimbursement of certain expenses. The post-IPO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post-IPO management fees for the three and nine months ended September 30, 2016 was $4,146 and $12,725, respectively. The total post-IPO management fees for both the three and nine months ended September 30, 2015 was $4,606 and $6,632, respectively.</w:t>
      </w:r>
    </w:p>
    <w:p>
      <w:pPr>
        <w:spacing w:after="0" w:line="64" w:lineRule="exact"/>
        <w:rPr>
          <w:rFonts w:ascii="Arial" w:cs="Arial" w:eastAsia="Arial" w:hAnsi="Arial"/>
          <w:sz w:val="18"/>
          <w:szCs w:val="18"/>
          <w:b w:val="1"/>
          <w:bCs w:val="1"/>
          <w:color w:val="auto"/>
        </w:rPr>
      </w:pPr>
    </w:p>
    <w:p>
      <w:pPr>
        <w:jc w:val="both"/>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Additionally, the Company has entered into certain incentive allocation arrangements with the Master GP. No Income Incentive Allocation or Capital Gains Incentive Allocation was due to the Master GP for the three and nine months ended September 30, 2016. During the three and nine months ended September 30, 2016, expense reimbursement of $1,960 and $5,361 was recorded in general and administrative expenses, respectively, and $990 and $3,017 was recorded in acquisition and transaction expenses, respectively, in the Consolidated Statements of Operations. During the three and nine months ended September 30, 2015, expense reimbursement of $1,677 and $2,319 was recorded in general and administrative expenses, respectively, and $882 and $1,103 was recorded in acquisition and transaction expenses, respectively, in the Consolidated Statements of Operations.</w:t>
      </w:r>
    </w:p>
    <w:p>
      <w:pPr>
        <w:spacing w:after="0" w:line="56"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of September 30, 2016 and December 31, 2015, no amounts were receivable from the Manager. As of September 30, 2016 and December 31, 2015, amounts due to the Manager or its affiliates of $1,124 and $994, excluding accrued management fees, respectively, are included within accounts payable on the Consolidated Balance Sheets. As of September 30, 2016 and December 31, 2015, amounts due to the Manager or its affiliates of $1,336 and $1,506, respectively, related to accrued management fees, are included within accounts payable and accrued liabilities on the Consolidated Balance Sheets.</w:t>
      </w:r>
    </w:p>
    <w:p>
      <w:pPr>
        <w:spacing w:after="0" w:line="8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Other Affiliate Transactions</w:t>
      </w:r>
    </w:p>
    <w:p>
      <w:pPr>
        <w:spacing w:after="0" w:line="117"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As of September 30, 2016 and December 31, 2015, an affiliate of the Company’s Manager owns an approximately 20% interest in Jefferson Terminal which has been accounted for as a component of non-controlling interest in consolidated subsidiaries in the accompanying consolidated financial statements. The carrying amount of this non-controlling interest at September 30, 2016 and December 31, 2015 was $73,039 and $71,321, respectively. For the three months ending September 30, 2016 and September 30, 2015, the amount of this non-controlling interest share of net loss was $1,762 and $2,034, respectively. For the nine months ending September 30, 2016 and September 30, 2015, the amount of this non-controlling interest share of net loss was $5,715 and $5,591, respectively.</w:t>
      </w:r>
    </w:p>
    <w:p>
      <w:pPr>
        <w:spacing w:after="0" w:line="70"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connection with the Capital Call Agreement related to the Series 2016 Bonds discussed in Note 8, the Company and an affiliate of its Manager entered into a Fee and Support Agreement. The Fee and Support Agreement provides that the affiliate of the Manager is compensated for its guarantee of a portion of the obligations under the Standby Bond Purchase Agreement. This affiliate of the Manager received fees of $1,740, which will be amortized as interest expense to the earlier of the redemption date or February 13,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reportable segments represent strategic business units comprised of investments in different types of transportation and infrastructure assets. The Company has five reportable segments which operate in the Equipment Leasing and Infrastructure businesses across several market sectors. The Company’s reportable segments are Aviation Leasing, Offshore Energy, Shipping Containers, Jefferson Terminal and Railroad.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consists of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w:t>
      </w:r>
    </w:p>
    <w:p>
      <w:pPr>
        <w:spacing w:after="0" w:line="84"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Corporate consists primarily of unallocated Company level general and administrative expenses, management fees and the recent purchase of Repauno, which consisted primarily of land, a storage cavern, and riparian rights. The accounting policies of the segments are the same as those described in the summary of significant accounting policies; however, financial information presented by segment includes the impact of intercompany eliminations. The Company evaluates investment performance for each reportable segment primarily based on net income attributable to shareholders and Adjusted Net Income.</w:t>
      </w:r>
    </w:p>
    <w:p>
      <w:pPr>
        <w:spacing w:after="0" w:line="80" w:lineRule="exact"/>
        <w:rPr>
          <w:rFonts w:ascii="Arial" w:cs="Arial" w:eastAsia="Arial" w:hAnsi="Arial"/>
          <w:sz w:val="18"/>
          <w:szCs w:val="18"/>
          <w:b w:val="1"/>
          <w:bCs w:val="1"/>
          <w:color w:val="auto"/>
        </w:rPr>
      </w:pPr>
    </w:p>
    <w:p>
      <w:pPr>
        <w:jc w:val="both"/>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5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certain information for each reportable segment of the Company: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For the Three Months Ended September 30,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 September 30, 2016</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27,060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2,969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30,054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11,672</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27,060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4,255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41,726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17,028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3,205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4,146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15,376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5,416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46,859</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16,798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(5,563)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16,698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(5,646)</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(4,370)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16,638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(Loss) to net loss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 September 30, 2016</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16,564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losses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Loss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 September 30, 2016</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3,554</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3,554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9,431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9,431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14,167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27,060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41,726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For the Nine Months Ended September 30,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8"/>
          </w:tcPr>
          <w:p>
            <w:pPr>
              <w:ind w:left="40"/>
              <w:spacing w:after="0"/>
              <w:rPr>
                <w:sz w:val="20"/>
                <w:szCs w:val="20"/>
                <w:color w:val="auto"/>
              </w:rPr>
            </w:pPr>
            <w:r>
              <w:rPr>
                <w:rFonts w:ascii="Arial" w:cs="Arial" w:eastAsia="Arial" w:hAnsi="Arial"/>
                <w:sz w:val="16"/>
                <w:szCs w:val="16"/>
                <w:b w:val="1"/>
                <w:bCs w:val="1"/>
                <w:color w:val="auto"/>
              </w:rPr>
              <w:t>Nine months ended September 30, 2016</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8"/>
                <w:szCs w:val="8"/>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66,360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4,433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71,980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34,394</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66,360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4,433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11,271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23,107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106,374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48,937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9,154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12,725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12,725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43,294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11,804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15,839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134,571</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2,726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(7,441)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(6,387)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40,904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(26,792)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(34,584)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40,716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(34,779)</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(16,528)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40,366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(18,251)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(Loss) to net loss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6"/>
          </w:tcPr>
          <w:p>
            <w:pPr>
              <w:jc w:val="right"/>
              <w:spacing w:after="0"/>
              <w:rPr>
                <w:sz w:val="20"/>
                <w:szCs w:val="20"/>
                <w:color w:val="auto"/>
              </w:rPr>
            </w:pPr>
            <w:r>
              <w:rPr>
                <w:rFonts w:ascii="Arial" w:cs="Arial" w:eastAsia="Arial" w:hAnsi="Arial"/>
                <w:sz w:val="16"/>
                <w:szCs w:val="16"/>
                <w:b w:val="1"/>
                <w:bCs w:val="1"/>
                <w:color w:val="auto"/>
                <w:w w:val="90"/>
              </w:rPr>
              <w:t>Nine months ended September 30, 2016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ind w:left="360"/>
              <w:spacing w:after="0"/>
              <w:rPr>
                <w:sz w:val="20"/>
                <w:szCs w:val="20"/>
                <w:color w:val="auto"/>
              </w:rPr>
            </w:pPr>
            <w:r>
              <w:rPr>
                <w:rFonts w:ascii="Arial" w:cs="Arial" w:eastAsia="Arial" w:hAnsi="Arial"/>
                <w:sz w:val="16"/>
                <w:szCs w:val="16"/>
                <w:b w:val="1"/>
                <w:bCs w:val="1"/>
                <w:color w:val="auto"/>
              </w:rPr>
              <w:t>Infrastructure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8"/>
                <w:szCs w:val="8"/>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40,016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(11,814)</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2,891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losses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(4,622)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(18,251)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8"/>
          </w:tcPr>
          <w:p>
            <w:pPr>
              <w:ind w:left="40"/>
              <w:spacing w:after="0"/>
              <w:rPr>
                <w:sz w:val="20"/>
                <w:szCs w:val="20"/>
                <w:color w:val="auto"/>
              </w:rPr>
            </w:pPr>
            <w:r>
              <w:rPr>
                <w:rFonts w:ascii="Arial" w:cs="Arial" w:eastAsia="Arial" w:hAnsi="Arial"/>
                <w:sz w:val="16"/>
                <w:szCs w:val="16"/>
                <w:b w:val="1"/>
                <w:bCs w:val="1"/>
                <w:color w:val="auto"/>
              </w:rPr>
              <w:t>Nine months ended September 30, 2016</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8"/>
                <w:szCs w:val="8"/>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9,201</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9,201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34,496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20,929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21,177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40,127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66,360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106,374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For the Three Months Ended September 30,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 September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16,174</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6,435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24,360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10,873</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6,435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6,641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35,233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4,606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4,668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43,475</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(9,584)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1,677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(9,589)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(16,056)</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(4,318)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10,213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(Loss) to net loss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 September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10,521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losses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 September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2,668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2,668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4,130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9,915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12,547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35,233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III. For the Nine Months Ended September 30,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Arial" w:cs="Arial" w:eastAsia="Arial" w:hAnsi="Arial"/>
                <w:sz w:val="16"/>
                <w:szCs w:val="16"/>
                <w:b w:val="1"/>
                <w:bCs w:val="1"/>
                <w:color w:val="auto"/>
              </w:rPr>
              <w:t>Nine Months Ended September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44,226</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20,234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70,031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32,739</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44,226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20,234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5,571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102,770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50,198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4,905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10,505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32,875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9,094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14,240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116,895</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(7,118)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(7,132)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(19,384)</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(12,257)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26,778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(Loss) to net loss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Arial" w:cs="Arial" w:eastAsia="Arial" w:hAnsi="Arial"/>
                <w:sz w:val="16"/>
                <w:szCs w:val="16"/>
                <w:b w:val="1"/>
                <w:bCs w:val="1"/>
                <w:color w:val="auto"/>
              </w:rPr>
              <w:t>Nine Months Ended September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27,271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10,350</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losses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(3,390)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Arial" w:cs="Arial" w:eastAsia="Arial" w:hAnsi="Arial"/>
                <w:sz w:val="16"/>
                <w:szCs w:val="16"/>
                <w:b w:val="1"/>
                <w:bCs w:val="1"/>
                <w:color w:val="auto"/>
              </w:rPr>
              <w:t>Nine Months Ended September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8,466</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8,466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28,007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14,931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13,378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28,309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37,440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44,226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102,770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IV. Balance Sheet and location of long-lived assets</w:t>
      </w:r>
    </w:p>
    <w:p>
      <w:pPr>
        <w:spacing w:after="0" w:line="121"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The following tables sets forth summarized balance sheet information and the geographic location of property, plant and equipment and leasing equipment, net as of September 30, 2016 and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ind w:left="820"/>
              <w:spacing w:after="0"/>
              <w:rPr>
                <w:sz w:val="20"/>
                <w:szCs w:val="20"/>
                <w:color w:val="auto"/>
              </w:rPr>
            </w:pPr>
            <w:r>
              <w:rPr>
                <w:rFonts w:ascii="Arial" w:cs="Arial" w:eastAsia="Arial" w:hAnsi="Arial"/>
                <w:sz w:val="16"/>
                <w:szCs w:val="16"/>
                <w:b w:val="1"/>
                <w:bCs w:val="1"/>
                <w:color w:val="auto"/>
                <w:w w:val="92"/>
              </w:rPr>
              <w:t>September 30, 2016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ind w:left="42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Offshore</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60" w:type="dxa"/>
            <w:vAlign w:val="bottom"/>
          </w:tcPr>
          <w:p>
            <w:pPr>
              <w:spacing w:after="0"/>
              <w:rPr>
                <w:sz w:val="18"/>
                <w:szCs w:val="1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180" w:type="dxa"/>
            <w:vAlign w:val="bottom"/>
          </w:tcPr>
          <w:p>
            <w:pPr>
              <w:spacing w:after="0"/>
              <w:rPr>
                <w:sz w:val="18"/>
                <w:szCs w:val="18"/>
                <w:color w:val="auto"/>
              </w:rPr>
            </w:pPr>
          </w:p>
        </w:tc>
        <w:tc>
          <w:tcPr>
            <w:tcW w:w="8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529,499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205,368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530,885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237,494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1,554,583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64,159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184,285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261,543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199,157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369,397</w:t>
            </w: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Non-controlling interests in equity of consolidated</w:t>
            </w:r>
          </w:p>
        </w:tc>
        <w:tc>
          <w:tcPr>
            <w:tcW w:w="18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3,403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103,856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111,693</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464,567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137,659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331,728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227,083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1,185,186</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529,499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205,368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530,885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1,554,583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5"/>
          </w:tcPr>
          <w:p>
            <w:pPr>
              <w:ind w:left="820"/>
              <w:spacing w:after="0"/>
              <w:rPr>
                <w:sz w:val="20"/>
                <w:szCs w:val="20"/>
                <w:color w:val="auto"/>
              </w:rPr>
            </w:pPr>
            <w:r>
              <w:rPr>
                <w:rFonts w:ascii="Arial" w:cs="Arial" w:eastAsia="Arial" w:hAnsi="Arial"/>
                <w:sz w:val="16"/>
                <w:szCs w:val="16"/>
                <w:b w:val="1"/>
                <w:bCs w:val="1"/>
                <w:color w:val="auto"/>
                <w:w w:val="92"/>
              </w:rPr>
              <w:t>September 30, 2016</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ind w:left="42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Offshore</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60" w:type="dxa"/>
            <w:vAlign w:val="bottom"/>
          </w:tcPr>
          <w:p>
            <w:pPr>
              <w:spacing w:after="0"/>
              <w:rPr>
                <w:sz w:val="18"/>
                <w:szCs w:val="1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180" w:type="dxa"/>
            <w:vAlign w:val="bottom"/>
          </w:tcPr>
          <w:p>
            <w:pPr>
              <w:spacing w:after="0"/>
              <w:rPr>
                <w:sz w:val="18"/>
                <w:szCs w:val="18"/>
                <w:color w:val="auto"/>
              </w:rPr>
            </w:pPr>
          </w:p>
        </w:tc>
        <w:tc>
          <w:tcPr>
            <w:tcW w:w="8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and leasing</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51,468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51,468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367,548</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189,783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189,783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430,789</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Total property, plant and equipment and equipment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481,636</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170,983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316,689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29,010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41,396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1,039,714</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held for lease, net</w:t>
            </w: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6"/>
          </w:tcPr>
          <w:p>
            <w:pPr>
              <w:ind w:left="760"/>
              <w:spacing w:after="0"/>
              <w:rPr>
                <w:sz w:val="20"/>
                <w:szCs w:val="20"/>
                <w:color w:val="auto"/>
              </w:rPr>
            </w:pPr>
            <w:r>
              <w:rPr>
                <w:rFonts w:ascii="Arial" w:cs="Arial" w:eastAsia="Arial" w:hAnsi="Arial"/>
                <w:sz w:val="16"/>
                <w:szCs w:val="16"/>
                <w:b w:val="1"/>
                <w:bCs w:val="1"/>
                <w:color w:val="auto"/>
                <w:w w:val="94"/>
              </w:rPr>
              <w:t>December 31, 2015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gridSpan w:val="7"/>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ind w:left="42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w w:val="91"/>
              </w:rPr>
              <w:t>Aviation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Offshore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Shipping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60" w:type="dxa"/>
            <w:vAlign w:val="bottom"/>
          </w:tcPr>
          <w:p>
            <w:pPr>
              <w:spacing w:after="0"/>
              <w:rPr>
                <w:sz w:val="18"/>
                <w:szCs w:val="1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180" w:type="dxa"/>
            <w:vAlign w:val="bottom"/>
          </w:tcPr>
          <w:p>
            <w:pPr>
              <w:spacing w:after="0"/>
              <w:rPr>
                <w:sz w:val="18"/>
                <w:szCs w:val="18"/>
                <w:color w:val="auto"/>
              </w:rPr>
            </w:pPr>
          </w:p>
        </w:tc>
        <w:tc>
          <w:tcPr>
            <w:tcW w:w="8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2"/>
              </w:rPr>
              <w:t>Leasing</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5"/>
              </w:rPr>
              <w:t>Energy</w:t>
            </w:r>
          </w:p>
        </w:tc>
        <w:tc>
          <w:tcPr>
            <w:tcW w:w="120" w:type="dxa"/>
            <w:vAlign w:val="bottom"/>
          </w:tcPr>
          <w:p>
            <w:pPr>
              <w:spacing w:after="0"/>
              <w:rPr>
                <w:sz w:val="8"/>
                <w:szCs w:val="8"/>
                <w:color w:val="auto"/>
              </w:rPr>
            </w:pPr>
          </w:p>
        </w:tc>
        <w:tc>
          <w:tcPr>
            <w:tcW w:w="94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8"/>
              </w:rPr>
              <w:t>Containers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443,532</w:t>
            </w: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213,946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85,917</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483,346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384,128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1,644,805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142,835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266,221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50,873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45,903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159,570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354,119</w:t>
            </w: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Non-controlling interests in equity of consolidated</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7,692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113,514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124,403</w:t>
            </w:r>
          </w:p>
        </w:tc>
        <w:tc>
          <w:tcPr>
            <w:tcW w:w="0" w:type="dxa"/>
            <w:vAlign w:val="bottom"/>
          </w:tcPr>
          <w:p>
            <w:pPr>
              <w:spacing w:after="0"/>
              <w:rPr>
                <w:sz w:val="1"/>
                <w:szCs w:val="1"/>
                <w:color w:val="auto"/>
              </w:rPr>
            </w:pPr>
          </w:p>
        </w:tc>
      </w:tr>
      <w:tr>
        <w:trPr>
          <w:trHeight w:val="21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392,659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139,718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40,014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323,776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380,046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1,290,686</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443,532</w:t>
            </w: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213,946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85,917</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483,346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384,128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1,644,805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6"/>
                <w:szCs w:val="16"/>
                <w:b w:val="1"/>
                <w:bCs w:val="1"/>
                <w:color w:val="auto"/>
                <w:w w:val="90"/>
              </w:rPr>
              <w:t>December 31, 2015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8"/>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gridSpan w:val="8"/>
          </w:tcPr>
          <w:p>
            <w:pPr>
              <w:jc w:val="center"/>
              <w:spacing w:after="0"/>
              <w:rPr>
                <w:sz w:val="20"/>
                <w:szCs w:val="20"/>
                <w:color w:val="auto"/>
              </w:rPr>
            </w:pPr>
            <w:r>
              <w:rPr>
                <w:rFonts w:ascii="Arial" w:cs="Arial" w:eastAsia="Arial" w:hAnsi="Arial"/>
                <w:sz w:val="16"/>
                <w:szCs w:val="16"/>
                <w:b w:val="1"/>
                <w:bCs w:val="1"/>
                <w:color w:val="auto"/>
                <w:w w:val="92"/>
              </w:rPr>
              <w:t>Equipment Leasing</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ind w:left="42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Aviation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Shipping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60" w:type="dxa"/>
            <w:vAlign w:val="bottom"/>
          </w:tcPr>
          <w:p>
            <w:pPr>
              <w:spacing w:after="0"/>
              <w:rPr>
                <w:sz w:val="18"/>
                <w:szCs w:val="1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180" w:type="dxa"/>
            <w:vAlign w:val="bottom"/>
          </w:tcPr>
          <w:p>
            <w:pPr>
              <w:spacing w:after="0"/>
              <w:rPr>
                <w:sz w:val="18"/>
                <w:szCs w:val="18"/>
                <w:color w:val="auto"/>
              </w:rPr>
            </w:pPr>
          </w:p>
        </w:tc>
        <w:tc>
          <w:tcPr>
            <w:tcW w:w="8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Leasing</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0"/>
              </w:rPr>
              <w:t>Containers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and leasing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net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Africa</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56,927</w:t>
            </w:r>
          </w:p>
        </w:tc>
        <w:tc>
          <w:tcPr>
            <w:tcW w:w="3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56,927</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189,364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228,502</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Europe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130,632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135,442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266,074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380,408</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Total property, plant and equipment and equipment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419,321</w:t>
            </w:r>
          </w:p>
        </w:tc>
        <w:tc>
          <w:tcPr>
            <w:tcW w:w="3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174,580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317,766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24,692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936,359</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held for lease, net</w:t>
            </w:r>
          </w:p>
        </w:tc>
        <w:tc>
          <w:tcPr>
            <w:tcW w:w="22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40" w:type="dxa"/>
            <w:vAlign w:val="bottom"/>
            <w:gridSpan w:val="4"/>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Basic earnings (loss) per share (“EPS”) is calculated by dividing net income (loss) attributable to the Company by the weighted average number of shares of common stock outstanding. Diluted EPS is calculated by dividing net income (loss) attributable to the Company by the weighted average number of shares of common stock outstanding, plus potentially dilutive securities. Potentially dilutive securities are calculated using the treasury stock method.</w:t>
      </w:r>
    </w:p>
    <w:p>
      <w:pPr>
        <w:spacing w:after="0" w:line="78"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completed its IPO on May 20, 2015 in which its previous beneficial owners, the Fortress Worldwide Transportation and Infrastructure Investors LP and Fortress Worldwide Transportation and Infrastructure Offshore LP, immediately prior to the consummation of the IPO, received shares in proportion to their respective ownership percentages. As a result, the Company has retrospectively presented the shares outstanding for all prior periods presented.</w:t>
      </w:r>
    </w:p>
    <w:p>
      <w:pPr>
        <w:spacing w:after="0" w:line="7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calculation of basic and diluted EPS is presented below.</w:t>
      </w:r>
    </w:p>
    <w:p>
      <w:pPr>
        <w:spacing w:after="0" w:line="280" w:lineRule="exact"/>
        <w:rPr>
          <w:sz w:val="20"/>
          <w:szCs w:val="20"/>
          <w:color w:val="auto"/>
        </w:rPr>
      </w:pPr>
    </w:p>
    <w:p>
      <w:pPr>
        <w:ind w:left="4860"/>
        <w:spacing w:after="0"/>
        <w:tabs>
          <w:tab w:leader="none" w:pos="8520" w:val="left"/>
        </w:tabs>
        <w:rPr>
          <w:sz w:val="20"/>
          <w:szCs w:val="20"/>
          <w:color w:val="auto"/>
        </w:rPr>
      </w:pPr>
      <w:r>
        <w:rPr>
          <w:rFonts w:ascii="Arial" w:cs="Arial" w:eastAsia="Arial" w:hAnsi="Arial"/>
          <w:sz w:val="16"/>
          <w:szCs w:val="16"/>
          <w:b w:val="1"/>
          <w:bCs w:val="1"/>
          <w:color w:val="auto"/>
        </w:rPr>
        <w:t>Three Months Ended September 30,</w:t>
      </w:r>
      <w:r>
        <w:rPr>
          <w:sz w:val="20"/>
          <w:szCs w:val="20"/>
          <w:color w:val="auto"/>
        </w:rPr>
        <w:tab/>
      </w: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46355</wp:posOffset>
            </wp:positionV>
            <wp:extent cx="4485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share and per share data)</w:t>
            </w:r>
          </w:p>
        </w:tc>
        <w:tc>
          <w:tcPr>
            <w:tcW w:w="38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(11,738)</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(18,251)</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(7,127)</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75,746,200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75,718,183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75,734,587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64,114,734</w:t>
            </w: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75,746,200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75,718,183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75,734,587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64,114,734</w:t>
            </w:r>
          </w:p>
        </w:tc>
      </w:tr>
      <w:tr>
        <w:trPr>
          <w:trHeight w:val="324"/>
        </w:trPr>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and Diluted EPS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r>
      <w:tr>
        <w:trPr>
          <w:trHeight w:val="33"/>
        </w:trPr>
        <w:tc>
          <w:tcPr>
            <w:tcW w:w="4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13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1" w:right="239" w:bottom="1135"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and nine months ended September 30, 2016, 7,333 and 9,474 shares, respectively have been excluded from the calculation of Diluted EPS because the impact would be anti-dilutive.</w:t>
      </w:r>
    </w:p>
    <w:p>
      <w:pPr>
        <w:spacing w:after="0" w:line="5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segment, lessees have asserted that they are entitled to certain reimbursable expenses or adjustments per the terms of the related charter agreement. Although the Company believes it has strong defenses against these claims, the range of potential damages is $0 to $10,306. No amount has been recorded for this matter in the Company’s consolidated financial statements as of September 30, 2016, and the Company will continue to vigorously defend against these claims. The Company’s maximum exposure under other arrangements is unknown as no additional claims have been made. The Company believes the risk of loss in connection with such arrangements is remote.</w:t>
      </w:r>
    </w:p>
    <w:p>
      <w:pPr>
        <w:spacing w:after="0" w:line="69"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as part of the Repauno asset purchase, has also entered into an arrangement with its non-controlling interest holder, whereby the non-controlling interest holder may receive additional payments contingent upon the achievement of certain performance conditions, not to exceed $15,000 (Note 5). The Company will capitalize such amounts when and if such performance conditions are achieved.</w:t>
      </w:r>
    </w:p>
    <w:p>
      <w:pPr>
        <w:spacing w:after="0" w:line="57"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Two of the Company’s subsidiaries are lessees under various operating and capital leases. Total rent expense for operating leases was $1,197 and $1,288 for the three months ended September 30, 2016 and 2015, respectively. Total rent expense for operating leases was $3,724 and $3,227 for the nine months ended September 30, 2016 and 2015, respectively.</w:t>
      </w:r>
    </w:p>
    <w:p>
      <w:pPr>
        <w:spacing w:after="0" w:line="7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2016, minimum future rental payments under operating and capital leases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60" w:type="dxa"/>
            <w:vAlign w:val="bottom"/>
          </w:tcPr>
          <w:p>
            <w:pPr>
              <w:ind w:left="40"/>
              <w:spacing w:after="0"/>
              <w:rPr>
                <w:sz w:val="20"/>
                <w:szCs w:val="20"/>
                <w:color w:val="auto"/>
              </w:rPr>
            </w:pPr>
            <w:r>
              <w:rPr>
                <w:rFonts w:ascii="Arial" w:cs="Arial" w:eastAsia="Arial" w:hAnsi="Arial"/>
                <w:sz w:val="16"/>
                <w:szCs w:val="16"/>
                <w:color w:val="auto"/>
              </w:rPr>
              <w:t>2016</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1,722</w:t>
            </w: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8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6,453</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2018</w:t>
            </w:r>
          </w:p>
        </w:tc>
        <w:tc>
          <w:tcPr>
            <w:tcW w:w="82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5,846</w:t>
            </w: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8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5,421</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2020</w:t>
            </w:r>
          </w:p>
        </w:tc>
        <w:tc>
          <w:tcPr>
            <w:tcW w:w="82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4,734</w:t>
            </w: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8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77,230</w:t>
            </w:r>
          </w:p>
        </w:tc>
      </w:tr>
      <w:tr>
        <w:trPr>
          <w:trHeight w:val="24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101,406</w:t>
            </w:r>
          </w:p>
        </w:tc>
      </w:tr>
      <w:tr>
        <w:trPr>
          <w:trHeight w:val="20"/>
        </w:trPr>
        <w:tc>
          <w:tcPr>
            <w:tcW w:w="9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November 1, 2016, the Company’s Board of Directors declared a cash dividend on its common stock of $0.33 per share for the quarter ended September 30, 2016, payable on November 30, 2016 to the holders of record on November 18,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70"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economic conditions generally and specifically in our industry sectors, and other risks relating to the global economy;</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reductions in cash flows received from our assets, as well as contractual limitations on the use of our aviation assets to secure debt for borrowed money;</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take advantage of acquisition opportunities at favorable prices;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lack of liquidity surrounding our assets, which could impede our ability to vary our portfolio in an appropriate manner;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spreads between the yield on the assets we acquire and the cost of financing;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changes in the financing markets we access affecting our ability to finance our acquisitions;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defaults on their obligations;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renew existing contracts and win additional contracts with existing or potential customers;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and cost of capital for future acquisitions;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concentration of a particular type of asset or in a particular sector;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within the aviation, energy, intermodal transport and rail sectors;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competitive market for acquisition opportunities;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operating through joint ventures or partnerships or through consortium arrangements;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obsolescence of our assets or our ability to sell, re-lease or re-charter our assets;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uninsurable losses and force majeure events;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infrastructure operations may require substantial capital expenditures;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legislative/regulatory environment and exposure to increased economic regulation;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the oil and gas industry’s volatile oil and gas prices;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obtaining effective legal redress in jurisdictions in which we operate with less developed legal systems;</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under the Investment Company Act of 1940 and the fact that maintaining such exemption imposes limits on our operations;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utilize leverage in connection with our investments;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risk and risk management activities;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our internal control over financial reporting;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environmental risks, including increasing environmental legislation and the broader impacts of climate change;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04" w:right="239" w:bottom="1440" w:gutter="0" w:footer="0" w:header="0"/>
        </w:sectPr>
      </w:pPr>
    </w:p>
    <w:bookmarkStart w:id="40" w:name="page41"/>
    <w:bookmarkEnd w:id="40"/>
    <w:p>
      <w:pPr>
        <w:ind w:left="820" w:right="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taken by national, state, or provincial governments, including nationalization, or the imposition of new taxes, could materially impact the financial performance or value of our assets;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the market price of our common shares;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pay dividends to our shareholders in the future;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report.</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unaudited consolidated financial statements and the accompanying notes, and with Part II, Item 1A, “Risk Factors” included elsewhere in this Quarterly Report on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September 30, 2016, we had total consolidated assets of $1.6 billion and total equity of $1.2 billion.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81"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our corporate operating segment and the following five reportable segments: Aviation Leasing, Offshore Energy, Shipping Containers, all of which are within Equipment Leasing Business, and Jefferson Terminal and Railroad,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an investment in an unconsolidated entity engaged in the acquisition and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The Corporate operating segment primarily consists of unallocated corporate general and administrative expenses, management fees and the recent purchase of the Repauno Delaware Port (“Repauno”) for a purchase price of $24 million, which consisted primarily of land, a storage cavern, and riparian rights.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1" w:name="page42"/>
    <w:bookmarkEnd w:id="41"/>
    <w:p>
      <w:pPr>
        <w:jc w:val="both"/>
        <w:ind w:firstLine="446"/>
        <w:spacing w:after="0" w:line="264" w:lineRule="auto"/>
        <w:rPr>
          <w:sz w:val="20"/>
          <w:szCs w:val="20"/>
          <w:color w:val="auto"/>
        </w:rPr>
      </w:pPr>
      <w:r>
        <w:rPr>
          <w:rFonts w:ascii="Arial" w:cs="Arial" w:eastAsia="Arial" w:hAnsi="Arial"/>
          <w:sz w:val="18"/>
          <w:szCs w:val="18"/>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Chief Operating Decision Maker (“CODM”) utilizes Adjusted Net Income as the key performance measure. This performance measure provides the CODM with the information necessary to assess operational performance, as well as make resource and allocation decisions.</w:t>
      </w:r>
    </w:p>
    <w:p>
      <w:pPr>
        <w:spacing w:after="0" w:line="6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w:t>
      </w:r>
    </w:p>
    <w:p>
      <w:pPr>
        <w:jc w:val="both"/>
        <w:ind w:firstLine="8"/>
        <w:spacing w:after="0" w:line="254" w:lineRule="auto"/>
        <w:tabs>
          <w:tab w:leader="none" w:pos="2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include the impact of cash income tax payments, and our pro-rata share of the Adjusted Net Income from unconsolidated entities, and (c) to exclude the impact of the non-controlling share of Adjusted Net Income. We evaluate investment performance for each reportable segment primarily based on Adjusted Net Income. We believe that net income attributable to shareholders, as defined by GAAP, is the most comparable earnings measurement with which to reconcile Adjusted Net Income.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(Non-GAAP)</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view Adjusted EBITDA as a secondary measurement to Adjusted Net Income, which we believe serves as a useful supplement to investors, analysts and management to measure economic performance of deployed revenue generating assets between periods on a consistent basis, and which we believe measures our financial performance and helps identify operational factors that management can impact in the short-term, namely our cost structure and expenses. Adjusted EBITDA may not be comparable to similarly titled measures of other companies because other entities may not calculate Adjusted EBITDA in the same manner.</w:t>
      </w:r>
    </w:p>
    <w:p>
      <w:pPr>
        <w:spacing w:after="0" w:line="8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Adjusted EBITDA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ind w:right="20" w:firstLine="8"/>
        <w:spacing w:after="0" w:line="261" w:lineRule="auto"/>
        <w:tabs>
          <w:tab w:leader="none" w:pos="2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include the impact of our pro-rata share of Adjusted EBITDA from unconsolidated entities, and (c) to exclude the impact of equity in earnings of unconsolidated entities and the non-controlling share of Adjusted EBITDA.</w:t>
      </w:r>
    </w:p>
    <w:p>
      <w:pPr>
        <w:spacing w:after="0" w:line="29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presents our consolidated results of operations and reconciliation of net income (loss) attributable to shareholders to Adjusted Net Income (Loss) for the three and nine months ended September 30, 2016 and September 30, 2015:</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2"/>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71"/>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21,600</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7,646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5,510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19,037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12,895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6,142</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equipment leasing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1,949</w:t>
            </w: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(3,834)</w:t>
            </w:r>
          </w:p>
        </w:tc>
      </w:tr>
      <w:tr>
        <w:trPr>
          <w:trHeight w:val="237"/>
        </w:trPr>
        <w:tc>
          <w:tcPr>
            <w:tcW w:w="4000" w:type="dxa"/>
            <w:vAlign w:val="bottom"/>
          </w:tcPr>
          <w:p>
            <w:pPr>
              <w:ind w:left="80"/>
              <w:spacing w:after="0"/>
              <w:rPr>
                <w:sz w:val="20"/>
                <w:szCs w:val="20"/>
                <w:color w:val="auto"/>
              </w:rPr>
            </w:pPr>
            <w:r>
              <w:rPr>
                <w:rFonts w:ascii="Arial" w:cs="Arial" w:eastAsia="Arial" w:hAnsi="Arial"/>
                <w:sz w:val="16"/>
                <w:szCs w:val="16"/>
                <w:color w:val="auto"/>
              </w:rPr>
              <w:t>Rail revenues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7,401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6,641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23,107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18,488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4,619</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Terminal services revenues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infrastructure revenues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11,672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10,873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34,394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32,739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1,655</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41,726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35,233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6,493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106,374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102,770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3,604</w:t>
            </w:r>
          </w:p>
        </w:tc>
      </w:tr>
      <w:tr>
        <w:trPr>
          <w:trHeight w:val="20"/>
        </w:trPr>
        <w:tc>
          <w:tcPr>
            <w:tcW w:w="4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17,028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17,879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48,937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50,198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4,622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4,172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15,376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11,548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43,294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32,875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10,419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46,859</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43,475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3,384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134,571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116,895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17,676</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Gain on sale of equipment and finance leases,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3,307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Asset impairment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(5,563)</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(15,906)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10,343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(34,584)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(18,738)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(15,846)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(5,646)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(16,056)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10,410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(34,779)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(19,384)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(15,395)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subsidiaries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(4,271)</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(1,276)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(11,738)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10,462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(18,251)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(7,127)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(11,124)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Equity-based compensation expense (income)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(7,512)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Add: Pro-rata share of Adjusted Net Income (Loss) from</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ind w:left="40"/>
              <w:spacing w:after="0" w:line="213"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924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3,390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61"/>
        </w:trPr>
        <w:tc>
          <w:tcPr>
            <w:tcW w:w="40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losses of unconsolidated entities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9,584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(5,783)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Net Income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4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1,858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(1,725)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(11,814)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10,350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(22,164)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12700</wp:posOffset>
            </wp:positionV>
            <wp:extent cx="4707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-93980</wp:posOffset>
            </wp:positionV>
            <wp:extent cx="4707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42" w:lineRule="exact"/>
        <w:rPr>
          <w:sz w:val="20"/>
          <w:szCs w:val="20"/>
          <w:color w:val="auto"/>
        </w:rPr>
      </w:pPr>
    </w:p>
    <w:p>
      <w:pPr>
        <w:ind w:left="500" w:hanging="492"/>
        <w:spacing w:after="0" w:line="250" w:lineRule="auto"/>
        <w:tabs>
          <w:tab w:leader="none" w:pos="141" w:val="left"/>
        </w:tabs>
        <w:numPr>
          <w:ilvl w:val="0"/>
          <w:numId w:val="22"/>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for the three months ended September 30, 2016 and 2015 includes the Company’s proportionate share of the unconsolidated entities’ net income adjusted for $0 and $10,508 of asset impairment charges, respectively.</w:t>
      </w:r>
    </w:p>
    <w:p>
      <w:pPr>
        <w:spacing w:after="0" w:line="1" w:lineRule="exact"/>
        <w:rPr>
          <w:sz w:val="20"/>
          <w:szCs w:val="20"/>
          <w:color w:val="auto"/>
        </w:rPr>
      </w:pPr>
    </w:p>
    <w:p>
      <w:pPr>
        <w:ind w:left="500" w:hanging="323"/>
        <w:spacing w:after="0" w:line="255" w:lineRule="auto"/>
        <w:rPr>
          <w:sz w:val="20"/>
          <w:szCs w:val="20"/>
          <w:color w:val="auto"/>
        </w:rPr>
      </w:pPr>
      <w:r>
        <w:rPr>
          <w:rFonts w:ascii="Arial" w:cs="Arial" w:eastAsia="Arial" w:hAnsi="Arial"/>
          <w:sz w:val="14"/>
          <w:szCs w:val="14"/>
          <w:color w:val="auto"/>
        </w:rPr>
        <w:t>Pro-rata share of Adjusted Net Income from unconsolidated entities for the nine months ended September 30, 2016 and 2015 includes the Company’s proportionate share of the unconsolidated entities’ net income adjusted for $0 and $10,508 of asset impairment charges, respectively.</w:t>
      </w:r>
    </w:p>
    <w:p>
      <w:pPr>
        <w:spacing w:after="0" w:line="132" w:lineRule="exact"/>
        <w:rPr>
          <w:sz w:val="20"/>
          <w:szCs w:val="20"/>
          <w:color w:val="auto"/>
        </w:rPr>
      </w:pPr>
    </w:p>
    <w:p>
      <w:pPr>
        <w:ind w:left="500" w:hanging="492"/>
        <w:spacing w:after="0" w:line="273" w:lineRule="auto"/>
        <w:tabs>
          <w:tab w:leader="none" w:pos="154" w:val="left"/>
        </w:tabs>
        <w:numPr>
          <w:ilvl w:val="0"/>
          <w:numId w:val="23"/>
        </w:numPr>
        <w:rPr>
          <w:rFonts w:ascii="Arial" w:cs="Arial" w:eastAsia="Arial" w:hAnsi="Arial"/>
          <w:sz w:val="9"/>
          <w:szCs w:val="9"/>
          <w:color w:val="auto"/>
        </w:rPr>
      </w:pPr>
      <w:r>
        <w:rPr>
          <w:rFonts w:ascii="Arial" w:cs="Arial" w:eastAsia="Arial" w:hAnsi="Arial"/>
          <w:sz w:val="14"/>
          <w:szCs w:val="14"/>
          <w:color w:val="auto"/>
        </w:rPr>
        <w:t>Non-controlling share of Adjusted Net Income (Loss) is comprised of the following for the three months ended September 30, 2016 and 2015: (i) equity-based compensation of $6 and $368, (ii) provision for income tax of $8 and $1, and (iii) transaction and acquisition expense of $156 and $0 less (iv) cash tax payments of $0 and $(1), respectively.</w:t>
      </w:r>
    </w:p>
    <w:p>
      <w:pPr>
        <w:sectPr>
          <w:pgSz w:w="11900" w:h="16838" w:orient="portrait"/>
          <w:cols w:equalWidth="0" w:num="1">
            <w:col w:w="11420"/>
          </w:cols>
          <w:pgMar w:left="240" w:top="639"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639" w:right="239" w:bottom="1440" w:gutter="0" w:footer="0" w:header="0"/>
          <w:type w:val="continuous"/>
        </w:sectPr>
      </w:pPr>
    </w:p>
    <w:bookmarkStart w:id="43" w:name="page44"/>
    <w:bookmarkEnd w:id="43"/>
    <w:p>
      <w:pPr>
        <w:jc w:val="both"/>
        <w:ind w:left="500" w:hanging="323"/>
        <w:spacing w:after="0" w:line="257" w:lineRule="auto"/>
        <w:rPr>
          <w:sz w:val="20"/>
          <w:szCs w:val="20"/>
          <w:color w:val="auto"/>
        </w:rPr>
      </w:pPr>
      <w:r>
        <w:rPr>
          <w:rFonts w:ascii="Arial" w:cs="Arial" w:eastAsia="Arial" w:hAnsi="Arial"/>
          <w:sz w:val="14"/>
          <w:szCs w:val="14"/>
          <w:color w:val="auto"/>
        </w:rPr>
        <w:t>Non-controlling share of Adjusted Net Income (Loss) is comprised of the following for the nine months ended September 30, 2016 and 2015: (i) equity-based compensation of $(1,608) and $1,099, (ii) provision for income tax of $22 and $21, (iii) loss on extinguishment of debt of $616 and $0, (iv) asset impairment charges of $3,725 and $0, (v) transaction and acquisition expense of $156 and $0 less (vi) cash tax payments of $20 and $70, respectively.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a reconciliation of net loss attributable to shareholders to Adjusted EBITDA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September 30, 2015: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4,622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4,172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13,015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3,870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48,076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9,821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4,668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15,839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14,240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1,599</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9"/>
        </w:trPr>
        <w:tc>
          <w:tcPr>
            <w:tcW w:w="400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(4)</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losses of unconsolidated entities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9,584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(5,783)</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(5)</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(3,379)</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(3,273)</w:t>
            </w: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20,319</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17,626</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2,693</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46,589</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57,533</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(10,944)</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w:t>
      </w:r>
    </w:p>
    <w:p>
      <w:pPr>
        <w:spacing w:after="0" w:line="17"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8"/>
          <w:szCs w:val="8"/>
          <w:color w:val="auto"/>
        </w:rPr>
      </w:pPr>
      <w:r>
        <w:rPr>
          <w:rFonts w:ascii="Arial" w:cs="Arial" w:eastAsia="Arial" w:hAnsi="Arial"/>
          <w:sz w:val="13"/>
          <w:szCs w:val="13"/>
          <w:color w:val="auto"/>
        </w:rPr>
        <w:t>Depreciation and amortization expense includes $15,376 and $11,548 of depreciation and amortization expense, $1,403 and $1,405 of lease intangible amortization, and $106 and $62 of</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amortization for lease incentives in the three months ended September 30, 2016 and 2015, respectively.</w:t>
      </w:r>
    </w:p>
    <w:p>
      <w:pPr>
        <w:spacing w:after="0" w:line="1" w:lineRule="exact"/>
        <w:rPr>
          <w:sz w:val="20"/>
          <w:szCs w:val="20"/>
          <w:color w:val="auto"/>
        </w:rPr>
      </w:pPr>
    </w:p>
    <w:p>
      <w:pPr>
        <w:ind w:left="500" w:hanging="323"/>
        <w:spacing w:after="0" w:line="255" w:lineRule="auto"/>
        <w:rPr>
          <w:sz w:val="20"/>
          <w:szCs w:val="20"/>
          <w:color w:val="auto"/>
        </w:rPr>
      </w:pPr>
      <w:r>
        <w:rPr>
          <w:rFonts w:ascii="Arial" w:cs="Arial" w:eastAsia="Arial" w:hAnsi="Arial"/>
          <w:sz w:val="14"/>
          <w:szCs w:val="14"/>
          <w:color w:val="auto"/>
        </w:rPr>
        <w:t>Depreciation and amortization expense includes $43,294 and $32,875 of depreciation and amortization expense, $4,557 and $5,198 of lease intangible amortization, and $225 and $182 of amortization for lease incentives in the nine months ended September 30, 2016 and 2015, respectively.</w:t>
      </w:r>
    </w:p>
    <w:p>
      <w:pPr>
        <w:spacing w:after="0" w:line="132" w:lineRule="exact"/>
        <w:rPr>
          <w:sz w:val="20"/>
          <w:szCs w:val="20"/>
          <w:color w:val="auto"/>
        </w:rPr>
      </w:pPr>
    </w:p>
    <w:p>
      <w:pPr>
        <w:ind w:left="500" w:hanging="492"/>
        <w:spacing w:after="0" w:line="269" w:lineRule="auto"/>
        <w:tabs>
          <w:tab w:leader="none" w:pos="154" w:val="left"/>
        </w:tabs>
        <w:numPr>
          <w:ilvl w:val="0"/>
          <w:numId w:val="25"/>
        </w:numPr>
        <w:rPr>
          <w:rFonts w:ascii="Arial" w:cs="Arial" w:eastAsia="Arial" w:hAnsi="Arial"/>
          <w:sz w:val="8"/>
          <w:szCs w:val="8"/>
          <w:color w:val="auto"/>
        </w:rPr>
      </w:pPr>
      <w:r>
        <w:rPr>
          <w:rFonts w:ascii="Arial" w:cs="Arial" w:eastAsia="Arial" w:hAnsi="Arial"/>
          <w:sz w:val="13"/>
          <w:szCs w:val="13"/>
          <w:color w:val="auto"/>
        </w:rPr>
        <w:t>Pro-rata share of Adjusted EBITDA from unconsolidated entities includes the following items for the three months ended September 30, 2016 and 2015: (i) net income (loss) of $(1,208) and $(9,635), (ii) interest expense of $270 and $474, (iii) depreciation and amortization expense of $651 and $299, and (iv) asset impairment charges of $0 and $10,508, respectively.</w:t>
      </w:r>
    </w:p>
    <w:p>
      <w:pPr>
        <w:spacing w:after="0" w:line="1" w:lineRule="exact"/>
        <w:rPr>
          <w:sz w:val="20"/>
          <w:szCs w:val="20"/>
          <w:color w:val="auto"/>
        </w:rPr>
      </w:pPr>
    </w:p>
    <w:p>
      <w:pPr>
        <w:ind w:left="500" w:right="20" w:hanging="323"/>
        <w:spacing w:after="0" w:line="293" w:lineRule="auto"/>
        <w:rPr>
          <w:sz w:val="20"/>
          <w:szCs w:val="20"/>
          <w:color w:val="auto"/>
        </w:rPr>
      </w:pPr>
      <w:r>
        <w:rPr>
          <w:rFonts w:ascii="Arial" w:cs="Arial" w:eastAsia="Arial" w:hAnsi="Arial"/>
          <w:sz w:val="13"/>
          <w:szCs w:val="13"/>
          <w:color w:val="auto"/>
        </w:rPr>
        <w:t>Pro-rata share of Adjusted EBITDA from unconsolidated entities includes the following items for the nine months ended September 30, 2016 and 2015: (i) net income (loss) of $(1,475) and $(7,278), (ii) interest expense of $931 and $1,422, (iii) depreciation and amortization expense of $2,417 and $910, and (iv) asset impairment charges of $0 and $10,508, respectively.</w:t>
      </w:r>
    </w:p>
    <w:p>
      <w:pPr>
        <w:spacing w:after="0" w:line="109"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the following items for the three months ended September 30, 2016 and 2015: (i) equity based compensation of $6 and $368, (ii)</w:t>
      </w:r>
    </w:p>
    <w:p>
      <w:pPr>
        <w:spacing w:after="0" w:line="25" w:lineRule="exact"/>
        <w:rPr>
          <w:sz w:val="20"/>
          <w:szCs w:val="20"/>
          <w:color w:val="auto"/>
        </w:rPr>
      </w:pPr>
    </w:p>
    <w:p>
      <w:pPr>
        <w:ind w:left="500"/>
        <w:spacing w:after="0" w:line="241" w:lineRule="auto"/>
        <w:rPr>
          <w:sz w:val="20"/>
          <w:szCs w:val="20"/>
          <w:color w:val="auto"/>
        </w:rPr>
      </w:pPr>
      <w:r>
        <w:rPr>
          <w:rFonts w:ascii="Arial" w:cs="Arial" w:eastAsia="Arial" w:hAnsi="Arial"/>
          <w:sz w:val="14"/>
          <w:szCs w:val="14"/>
          <w:color w:val="auto"/>
        </w:rPr>
        <w:t>provision for income taxes of $8 and $1, (iii) interest expense of $1,538 and $1,185, (iv) depreciation and amortization expense of $1,671 and $1,450, and (v) transaction and acquisition expense of $156 and $0 respectively.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Non-controlling share of Adjusted EBITDA is comprised of the following items for the nine months ended September 30, 2016 and 2015: (i) equity based compensation of $(1,608) and $1,099,</w:t>
      </w:r>
    </w:p>
    <w:p>
      <w:pPr>
        <w:spacing w:after="0" w:line="13" w:lineRule="exact"/>
        <w:rPr>
          <w:sz w:val="20"/>
          <w:szCs w:val="20"/>
          <w:color w:val="auto"/>
        </w:rPr>
      </w:pPr>
    </w:p>
    <w:p>
      <w:pPr>
        <w:ind w:left="500" w:hanging="6"/>
        <w:spacing w:after="0" w:line="255" w:lineRule="auto"/>
        <w:tabs>
          <w:tab w:leader="none" w:pos="719"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provision for income taxes of $22 and $21, (iii) interest expense of $4,494 and $3,630, (iv) depreciation and amortization expense of $4,909 and $4,291, (v) loss on extinguishment of debt of $616 and $0, (vi) asset impairment charge of $3,725 and $0, and (vii) transaction and acquisition expense of $156 and $0,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446"/>
        <w:spacing w:after="0" w:line="342" w:lineRule="auto"/>
        <w:rPr>
          <w:sz w:val="20"/>
          <w:szCs w:val="20"/>
          <w:color w:val="auto"/>
        </w:rPr>
      </w:pPr>
      <w:r>
        <w:rPr>
          <w:rFonts w:ascii="Arial" w:cs="Arial" w:eastAsia="Arial" w:hAnsi="Arial"/>
          <w:sz w:val="16"/>
          <w:szCs w:val="16"/>
          <w:color w:val="auto"/>
        </w:rPr>
        <w:t>For the three months ended September 30, 2016 total revenues increased by $6,493 compared to the three months ended September 30, 2015 driven mainly by higher revenues in the Aviation and Railroad segments offset by lower revenues in the Offshore Energy and Shipping Containers segments.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jc w:val="both"/>
        <w:ind w:firstLine="446"/>
        <w:spacing w:after="0" w:line="291" w:lineRule="auto"/>
        <w:rPr>
          <w:sz w:val="20"/>
          <w:szCs w:val="20"/>
          <w:color w:val="auto"/>
        </w:rPr>
      </w:pPr>
      <w:r>
        <w:rPr>
          <w:rFonts w:ascii="Arial" w:cs="Arial" w:eastAsia="Arial" w:hAnsi="Arial"/>
          <w:sz w:val="16"/>
          <w:szCs w:val="16"/>
          <w:color w:val="auto"/>
        </w:rPr>
        <w:t>In Equipment Leasing, lease income increased by $5,120 in the three months ended September 30, 2016 as compared to the three months ended September 30, 2015 driven by an increase in assets on lease in the Aviation Leasing segment. Offshore Energy segment offset the increase in lease income due to lower lease rates as a result of unfavorable market conditions. Maintenance revenue increased by $2,136 in the three months ended September 30, 2016 as compared to the three months ended September 30, 2015 as the number of aircraft and engines subject to leases with maintenance arrangements increased. Lease income and maintenance revenues were offset by a decrease of $1,741 in finance income for the three months ended September 30, 2016 as compared to the three months ended September 30, 2015 primarily driven by the sale of 42,000 shipping containers that were subject to direct finance leases during the first quarter of 2016 and lower finance lease income as a result of the amortization of the underlying principal balances.</w:t>
      </w:r>
    </w:p>
    <w:p>
      <w:pPr>
        <w:spacing w:after="0" w:line="5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Infrastructure, rail revenues increased by $760 in the three months ended September 30, 2016 as compared to the three months ended September 30, 2015 due to an increase in traffic and expanded service offerings by the Railroad segment. The remaining infrastructure revenue was consistent with the three months ended September 30, 2016 as compared to the three months ended September 30, 2015 as increases in terminal services revenue were offset by a reduction in lease income in our Jefferson Terminal segment.</w:t>
      </w:r>
    </w:p>
    <w:p>
      <w:pPr>
        <w:spacing w:after="0" w:line="79"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For the nine months ended September 30, 2016 total revenues increased by $3,604 compared to the nine months ended September 30, 2015 driven mainly by higher revenues in the Aviation and Railroad segments offset by lower revenues in the Offshore Energy, Shipping Containers and Jefferson Terminal segments.</w:t>
      </w:r>
    </w:p>
    <w:p>
      <w:pPr>
        <w:spacing w:after="0" w:line="73"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In Equipment Leasing, lease income increased by $1,222 in the nine months ended September 30, 2016 as compared to the nine months ended September 30, 2015 driven by an increase in assets on lease in the Aviation Leasing segment. Offshore Energy segment offset the increase in the lease income as certain vessels were off hire, subject to short term lease arrangements and due to lower lease rates as a result of unfavorable market conditions. Maintenance revenue increased by $6,142 in the nine months ended September 30, 2016 as compared to the nine months ended September 30, 2015 as we increased the number of aircraft and engines subject to leases with maintenance arrangements. Our increase in lease income and maintenance revenues were offset by a $4,419 decrease in finance income for the nine months ended September 30, 2016 as compared to the nine months ended September 30, 2015 primarily driven by the sale of 42,000 shipping containers during the first quarter of 2016 and lower finance lease income as a result of the amortization of the underlying principal balances. Additionally, other revenues decreased by $996 mainly as a result of declining market conditions in the Offshore Energy segment as we continue to seek favorable leases.</w:t>
      </w:r>
    </w:p>
    <w:p>
      <w:pPr>
        <w:spacing w:after="0" w:line="74"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In Infrastructure, rail revenues increased by $4,619 in the nine months ended September 30, 2016 as compared to the nine months ended September 30, 2015 due to an increase in traffic and expanded service offerings by our Railroad segment. The Jefferson Terminal segment had an increase in terminal service revenue of $870 in the nine months ended September 30, 2016 as compared to the nine months ended September 30, 2015 due to a higher tank lease revenue as a result of new lease contracts and realization of deferred revenue during the third quarter of 2016. The aforementioned increases were offset by a decrease in lease income of $3,834 in the nine months ended September 30, 2016 as compared to the three and nine months ended September 30, 2015 due to the expiration of a lease arrangement in the second half of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the three months ended September 30, 2016 total expenses increased by $3,384 compared to the three months ended September 30, 2015 mainly due to increases in general and administrative expenses, depreciation and amortization, and interest expenses, which were offset mainly by a decrease in management fees and incentive allocation to an affiliate and operating expenses.</w:t>
      </w:r>
    </w:p>
    <w:p>
      <w:pPr>
        <w:spacing w:after="0" w:line="73"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General and administrative expenses increased by $637 in the three months ended September 30, 2016 as compared to the three months ended September 30, 2015 attributable to the higher reimbursements to our Manager as we expand our customer base and lines of businesses.</w:t>
      </w:r>
    </w:p>
    <w:p>
      <w:pPr>
        <w:spacing w:after="0" w:line="3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Depreciation and amortization increased by $3,828 in the three months ended September 30, 2016 as compared to the three months ended September 30, 2015 primarily due to additional assets acquired in the Aviation Leasing segment and assets placed into service in the Jefferson Terminal segment.</w:t>
      </w:r>
    </w:p>
    <w:p>
      <w:pPr>
        <w:spacing w:after="0" w:line="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Interest expense increased by $748 in the three months ended September 30, 2016 as compared to the three months ended September 30, 2015 due to the Dock and Wharf Facility Revenue Bonds, Series 2016 (the “Series 2016 Bonds”) issued in March 2016 as well as the interest expense incurred by the Corporate segment as a result of a payment obligation to the third party shareholder of Repauno.</w:t>
      </w:r>
    </w:p>
    <w:p>
      <w:pPr>
        <w:spacing w:after="0" w:line="7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Management fees and incentive allocation to an affiliate decreased by $460 in the three months ended September 30, 2016 as compared to the three months ended September 30, 2015, which is attributable to a slight decrease in the average value of our total equity.</w:t>
      </w:r>
    </w:p>
    <w:p>
      <w:pPr>
        <w:spacing w:after="0" w:line="6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Operating expenses decreased by $851 in the three months ended September 30, 2016 as compared to the three months ended September 30, 2015 primarily due to a decrease in (i) stock compensation of $1,066 as the achievement of all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76" w:right="239" w:bottom="1440" w:gutter="0" w:footer="0" w:header="0"/>
        </w:sectPr>
      </w:pPr>
    </w:p>
    <w:bookmarkStart w:id="45" w:name="page46"/>
    <w:bookmarkEnd w:id="45"/>
    <w:p>
      <w:pPr>
        <w:jc w:val="both"/>
        <w:spacing w:after="0" w:line="279" w:lineRule="auto"/>
        <w:rPr>
          <w:sz w:val="20"/>
          <w:szCs w:val="20"/>
          <w:color w:val="auto"/>
        </w:rPr>
      </w:pPr>
      <w:r>
        <w:rPr>
          <w:rFonts w:ascii="Arial" w:cs="Arial" w:eastAsia="Arial" w:hAnsi="Arial"/>
          <w:sz w:val="17"/>
          <w:szCs w:val="17"/>
          <w:color w:val="auto"/>
        </w:rPr>
        <w:t>conditions for one award was not deemed probable during the first half of 2016, (ii) repairs and maintenance of $533 mainly driven by the Aviation segment, and (iii) facility operations of $1,437 primarily in the Jefferson Terminal segment. Offsetting the decrease were higher property taxes of $906 primarily due to additional property in the Jefferson Terminal segment and higher operating expenses of $1,325 primarily in the Offshore Energy segment. In 2016, due to the short term nature of the Offshore Energy lease arrangements, operating expenses are borne by us.</w:t>
      </w:r>
    </w:p>
    <w:p>
      <w:pPr>
        <w:spacing w:after="0" w:line="63"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For the nine months ended September 30, 2016, total expenses increased by $17,676 compared to the three and nine months ended September 30, 2015 mainly due to increases in general and administrative expenses, depreciation and amortization, and interest expenses, which were offset by operating expenses.</w:t>
      </w:r>
    </w:p>
    <w:p>
      <w:pPr>
        <w:spacing w:after="0" w:line="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General and administrative expenses increased by $4,249 in the nine months ended September 30, 2016 as compared to the three and nine months ended September 30, 2015 attributable to the higher reimbursements to our Manager, pursuant to new agreements put in place subsequent to our initial public offering in May of 2015 (the “IPO”).</w:t>
      </w:r>
    </w:p>
    <w:p>
      <w:pPr>
        <w:spacing w:after="0" w:line="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Depreciation and amortization increased by $10,419 in the nine months ended September 30, 2016 as compared to the nine months ended September 30, 2015 primarily due to additional assets acquired in the Aviation Leasing segment and assets placed into service in the Jefferson Terminal segment.</w:t>
      </w:r>
    </w:p>
    <w:p>
      <w:pPr>
        <w:spacing w:after="0" w:line="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Interest expense increased by $1,599 in the nine months ended September 30, 2016 as compared to the nine months ended September 30, 2015 due to the Dock and Wharf Facility Revenue Bonds, Series 2016 (the “Series 2016 Bonds”) issued in March 2016 as well as the interest incurred by the Corporate segment as a result of a payment obligation to the third party shareholder of Repauno.</w:t>
      </w:r>
    </w:p>
    <w:p>
      <w:pPr>
        <w:spacing w:after="0" w:line="7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Operating expenses decreased by $1,261 in the nine months ended September 30, 2016 as compared to the nine months ended September 30, 2015 primarily due to a decrease in (i) stock compensation of $7,488 as the achievement of all performance conditions for one award was not deemed probable during the first half of 2016 and (ii) facility operations of $4,376 primarily in the Jefferson Terminal segment. Offsetting the decrease were higher (i) property taxes of $1,094 primarily due to additional property in the Jefferson Terminal segment, (ii) higher operating expenses of $5,501 primarily in to the Offshore Energy segment since, due to the short term nature of the lease arrangements, operating expenses are borne by us, (iii) environmental cleanup costs of $1,457 in the Jefferson Terminal segment, (iv) repairs and maintenance of $1,080 in the Jefferson Terminal and Offshore Energy segments, (v) compensation and benefits of $659, and (vi) incurred expenses related to the acquisition of Repauno assets and our growing business units.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11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Total other expenses decrease by $7,234 in the three months ended September 30, 2016 as compared to the three months ended September 30, 2015 primarily due to decreased losses of unconsolidated entities by the shipping container joint venture due to an asset impairment charge recorded during the comparable period. The aforementioned decrease in losses was offset by a $1,706 decrease in the gain on sale of equipment.</w:t>
      </w:r>
    </w:p>
    <w:p>
      <w:pPr>
        <w:spacing w:after="0" w:line="5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Total other expenses increased by $1,774 in the nine months ended September 30, 2016 as compared to the nine months ended September 30, 2015 primarily due to an asset impairment charge of $7,450 which was recognized during the second quarter of 2016 as we determined not to proceed with the purchase of the MT6015 Vessel (Note 2 of our consolidated financial statements). Additionally, during the first quarter of 2016, we recognized a $1,579 loss on extinguishment of debt due to an early repayment of debt in the Jefferson Terminal segment. The aforementioned increases in other expenses were offset by a $5,783 decrease in losses of unconsolidated entities related to a shipping container joint venture in the nine months ended September 30, 2016 as compared to the nine months ended September 30, 2015 primarily due to an asset impairment charge recorded by the shipping container joint venture during 2015. The increases in other expenses were additionally offset by higher gains on sale of aviation equipment and finance leases of $1,270 in the nine months ended September 30, 2016 as compared to the nine months ended September 30, 2015,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loss attributable to shareholders decreased by $10,462 in the three months ended September 30, 2016 as compared to the three months ended September 30, 2015 driven primarily by the changes discussed above.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loss attributable to shareholders increased by $11,124 in the nine months ended September 30, 2016 as compared to the nine months ended September 30, 2015 driven primarily by the changes discussed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 Income</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Adjusted net income decreased by $1,725 in the three months ended September 30, 2016 as compared to the three months ended September 30, 2015. In addition to the changes in revenue, expenses and other expenses noted above, the decrease in the period was driven by a decrease in (i) equity based compensation of $1,066, (ii) acquisition and transaction expenses of $518, (iii) pro-rata share of Adjusted Net Income of $2,131, and (iv) losses of unconsolidated entities of $8,423.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6" w:right="239" w:bottom="1440" w:gutter="0" w:footer="0" w:header="0"/>
        </w:sectPr>
      </w:pPr>
    </w:p>
    <w:bookmarkStart w:id="46" w:name="page47"/>
    <w:bookmarkEnd w:id="46"/>
    <w:p>
      <w:pPr>
        <w:jc w:val="both"/>
        <w:ind w:firstLine="486"/>
        <w:spacing w:after="0" w:line="257" w:lineRule="auto"/>
        <w:rPr>
          <w:sz w:val="20"/>
          <w:szCs w:val="20"/>
          <w:color w:val="auto"/>
        </w:rPr>
      </w:pPr>
      <w:r>
        <w:rPr>
          <w:rFonts w:ascii="Arial" w:cs="Arial" w:eastAsia="Arial" w:hAnsi="Arial"/>
          <w:sz w:val="18"/>
          <w:szCs w:val="18"/>
          <w:color w:val="auto"/>
        </w:rPr>
        <w:t>Adjusted net income decreased by $22,164 in the nine months ended September 30, 2016 as compared to the nine months ended September 30, 2015, in addition to the changes in revenue, expenses and other expenses noted above, the decrease in the period was driven by a decrease in (i) equity based compensation of $7,512, (ii) pro-rata share of Adjusted Net Income of $4,834, (iii) losses of unconsolidated entities of $5,783, and (iv) non-controlling share of Adjusted Net income of $1,841. The decrease was offset by an increase in in asset impairment charges of $7,450 and losses on modification of debt of $1,579.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Adjusted EBITDA was $20,319 and $46,589 in the three and nine months ended September 30, 2016, respectively, increasing by $2,693 and decreasing by $10,944 as compared to the three and nine months ended September 30, 2015, respectively. In addition to the changes in revenue, expenses and other losses noted above, which resulted in a net loss attributable to shareholders, the change in each respective period was primarily due to (i) the pro-rata share of Adjusted EBITDA from unconsolidated entities, (ii) lower equity-based compensation and (iii) lower non-controlling share of Adjusted EBITDA, and (iv) equity in earnings of unconsolidated entities.</w:t>
      </w:r>
    </w:p>
    <w:p>
      <w:pPr>
        <w:spacing w:after="0" w:line="8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change in each respective period was offset by depreciation and amortization expense from additional assets acquired and interest expense on borrowings executed in the first quarter of 2016. Additionally, for the nine months ended September 30, 2016, there was an increase in the asset impairment changes and losses from the modification of debt.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Leasing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our Aviation Leasing segment, we own and manage 77 aviation assets, including 25 aircraft and 52 commercial jet engines.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September 30, 2016, 24 of our commercial aircraft and 35 of our jet engines were leased to operators or other third parties. Aviation assets currently off lease are either undergoing repair and/or maintenance, being prepared to go on lease or held in short term storage awaiting a future lease. Our aviation equipment was approximately 90% utilized as of September 30, 2016, based on the equity value of our on-hire leasing equipment as a percentage of the total equity value of our aviation leasing equipment. Our aircraft currently have a weighted average remaining lease term of 31 months, and our jet engines currently on-lease have an average remaining lease term of 13 months. The table below provides additional information on the assets in our Aviation Leasing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497F"/>
          </w:tcPr>
          <w:p>
            <w:pPr>
              <w:spacing w:after="0"/>
              <w:rPr>
                <w:sz w:val="23"/>
                <w:szCs w:val="23"/>
                <w:color w:val="auto"/>
              </w:rPr>
            </w:pPr>
          </w:p>
        </w:tc>
        <w:tc>
          <w:tcPr>
            <w:tcW w:w="4660" w:type="dxa"/>
            <w:vAlign w:val="bottom"/>
            <w:gridSpan w:val="3"/>
            <w:shd w:val="clear" w:color="auto" w:fill="00497F"/>
          </w:tcPr>
          <w:p>
            <w:pPr>
              <w:spacing w:after="0"/>
              <w:rPr>
                <w:sz w:val="20"/>
                <w:szCs w:val="20"/>
                <w:color w:val="auto"/>
              </w:rPr>
            </w:pPr>
            <w:r>
              <w:rPr>
                <w:rFonts w:ascii="Arial" w:cs="Arial" w:eastAsia="Arial" w:hAnsi="Arial"/>
                <w:sz w:val="18"/>
                <w:szCs w:val="18"/>
                <w:b w:val="1"/>
                <w:bCs w:val="1"/>
                <w:color w:val="FFFFFF"/>
              </w:rPr>
              <w:t>Aviation Assets</w:t>
            </w:r>
          </w:p>
        </w:tc>
        <w:tc>
          <w:tcPr>
            <w:tcW w:w="2300" w:type="dxa"/>
            <w:vAlign w:val="bottom"/>
            <w:gridSpan w:val="2"/>
            <w:shd w:val="clear" w:color="auto" w:fill="00497F"/>
          </w:tcPr>
          <w:p>
            <w:pPr>
              <w:ind w:left="700"/>
              <w:spacing w:after="0"/>
              <w:rPr>
                <w:sz w:val="20"/>
                <w:szCs w:val="20"/>
                <w:color w:val="auto"/>
              </w:rPr>
            </w:pPr>
            <w:r>
              <w:rPr>
                <w:rFonts w:ascii="Arial" w:cs="Arial" w:eastAsia="Arial" w:hAnsi="Arial"/>
                <w:sz w:val="18"/>
                <w:szCs w:val="18"/>
                <w:b w:val="1"/>
                <w:bCs w:val="1"/>
                <w:color w:val="FFFFFF"/>
              </w:rPr>
              <w:t>Widebody</w:t>
            </w:r>
          </w:p>
        </w:tc>
        <w:tc>
          <w:tcPr>
            <w:tcW w:w="2260" w:type="dxa"/>
            <w:vAlign w:val="bottom"/>
            <w:gridSpan w:val="2"/>
            <w:shd w:val="clear" w:color="auto" w:fill="00497F"/>
          </w:tcPr>
          <w:p>
            <w:pPr>
              <w:ind w:left="580"/>
              <w:spacing w:after="0"/>
              <w:rPr>
                <w:sz w:val="20"/>
                <w:szCs w:val="20"/>
                <w:color w:val="auto"/>
              </w:rPr>
            </w:pPr>
            <w:r>
              <w:rPr>
                <w:rFonts w:ascii="Arial" w:cs="Arial" w:eastAsia="Arial" w:hAnsi="Arial"/>
                <w:sz w:val="18"/>
                <w:szCs w:val="18"/>
                <w:b w:val="1"/>
                <w:bCs w:val="1"/>
                <w:color w:val="FFFFFF"/>
              </w:rPr>
              <w:t>Narrowbody</w:t>
            </w:r>
          </w:p>
        </w:tc>
        <w:tc>
          <w:tcPr>
            <w:tcW w:w="2160" w:type="dxa"/>
            <w:vAlign w:val="bottom"/>
            <w:shd w:val="clear" w:color="auto" w:fill="00497F"/>
          </w:tcPr>
          <w:p>
            <w:pPr>
              <w:jc w:val="right"/>
              <w:ind w:right="79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60" w:type="dxa"/>
            <w:vAlign w:val="bottom"/>
            <w:gridSpan w:val="3"/>
          </w:tcPr>
          <w:p>
            <w:pPr>
              <w:spacing w:after="0" w:line="202" w:lineRule="exact"/>
              <w:rPr>
                <w:sz w:val="20"/>
                <w:szCs w:val="20"/>
                <w:color w:val="auto"/>
              </w:rPr>
            </w:pPr>
            <w:r>
              <w:rPr>
                <w:rFonts w:ascii="Arial" w:cs="Arial" w:eastAsia="Arial" w:hAnsi="Arial"/>
                <w:sz w:val="18"/>
                <w:szCs w:val="18"/>
                <w:b w:val="1"/>
                <w:bCs w:val="1"/>
                <w:i w:val="1"/>
                <w:iCs w:val="1"/>
                <w:color w:val="auto"/>
              </w:rPr>
              <w:t>Aircraft</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Assets at January 1, 2016</w:t>
            </w: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4"/>
                <w:szCs w:val="24"/>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4"/>
                <w:szCs w:val="24"/>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Purchases</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Sales</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Assets at September 30, 2016</w:t>
            </w: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85"/>
              </w:rPr>
              <w:t>Jet Engines</w:t>
            </w:r>
          </w:p>
        </w:tc>
        <w:tc>
          <w:tcPr>
            <w:tcW w:w="3780" w:type="dxa"/>
            <w:vAlign w:val="bottom"/>
            <w:vMerge w:val="restart"/>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40" w:type="dxa"/>
            <w:vAlign w:val="bottom"/>
          </w:tcPr>
          <w:p>
            <w:pPr>
              <w:spacing w:after="0"/>
              <w:rPr>
                <w:sz w:val="24"/>
                <w:szCs w:val="24"/>
                <w:color w:val="auto"/>
              </w:rPr>
            </w:pPr>
          </w:p>
        </w:tc>
        <w:tc>
          <w:tcPr>
            <w:tcW w:w="880" w:type="dxa"/>
            <w:vAlign w:val="bottom"/>
            <w:tcBorders>
              <w:bottom w:val="single" w:sz="8" w:color="auto"/>
            </w:tcBorders>
            <w:gridSpan w:val="2"/>
            <w:vMerge w:val="continue"/>
          </w:tcPr>
          <w:p>
            <w:pPr>
              <w:spacing w:after="0"/>
              <w:rPr>
                <w:sz w:val="24"/>
                <w:szCs w:val="24"/>
                <w:color w:val="auto"/>
              </w:rPr>
            </w:pPr>
          </w:p>
        </w:tc>
        <w:tc>
          <w:tcPr>
            <w:tcW w:w="378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Assets at January 1, 2016</w:t>
            </w: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4"/>
                <w:szCs w:val="24"/>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4"/>
                <w:szCs w:val="24"/>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Purchases</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Sales</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Assets at September 30, 2016</w:t>
            </w: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0"/>
                <w:szCs w:val="20"/>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80" w:type="dxa"/>
            <w:vAlign w:val="bottom"/>
          </w:tcPr>
          <w:p>
            <w:pPr>
              <w:jc w:val="right"/>
              <w:ind w:right="99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47" w:name="page48"/>
    <w:bookmarkEnd w:id="47"/>
    <w:p>
      <w:pPr>
        <w:ind w:left="500"/>
        <w:spacing w:after="0"/>
        <w:rPr>
          <w:sz w:val="20"/>
          <w:szCs w:val="20"/>
          <w:color w:val="auto"/>
        </w:rPr>
      </w:pPr>
      <w:r>
        <w:rPr>
          <w:rFonts w:ascii="Arial" w:cs="Arial" w:eastAsia="Arial" w:hAnsi="Arial"/>
          <w:sz w:val="17"/>
          <w:szCs w:val="17"/>
          <w:color w:val="auto"/>
        </w:rPr>
        <w:t>The following table presents our results of operations and reconciliation of net income attributable to shareholders to Adjusted Net Income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Aviation Leasing segment for the three and nine months ended September 30, 2016 and September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112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19,039</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30,211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16,425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7,646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5,510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19,037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12,895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6,142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27,060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16,174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10,886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66,360</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8"/>
              </w:rPr>
              <w:t>44,226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22,134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9,376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6,122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25,307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16,774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8,533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10,268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7,330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28,182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8"/>
              </w:rPr>
              <w:t>18,697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9,485</w:t>
            </w: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1,958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1,677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16,798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10,521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6,277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40,904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8"/>
              </w:rPr>
              <w:t>27,498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13,406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16,698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10,213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6,485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40,716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8"/>
              </w:rPr>
              <w:t>26,778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13,938</w:t>
            </w:r>
          </w:p>
        </w:tc>
        <w:tc>
          <w:tcPr>
            <w:tcW w:w="0" w:type="dxa"/>
            <w:vAlign w:val="bottom"/>
          </w:tcPr>
          <w:p>
            <w:pPr>
              <w:spacing w:after="0"/>
              <w:rPr>
                <w:sz w:val="1"/>
                <w:szCs w:val="1"/>
                <w:color w:val="auto"/>
              </w:rPr>
            </w:pP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w w:val="96"/>
              </w:rPr>
              <w:t>Less: Net income attributable to non-controlling interest in</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60</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60</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350</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350</w:t>
            </w: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consolidated subsidiaries</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16,638</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10,213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6,425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40,366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8"/>
              </w:rPr>
              <w:t>26,778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13,588</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40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00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vMerge w:val="continue"/>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gridSpan w:val="2"/>
            <w:vMerge w:val="continue"/>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4000" w:type="dxa"/>
            <w:vAlign w:val="bottom"/>
            <w:vMerge w:val="restart"/>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8"/>
                <w:szCs w:val="8"/>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4000" w:type="dxa"/>
            <w:vAlign w:val="bottom"/>
            <w:vMerge w:val="restart"/>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8"/>
                <w:szCs w:val="8"/>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16,564</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10,521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6,043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40,016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8"/>
              </w:rPr>
              <w:t>27,271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12,745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48" w:name="page49"/>
    <w:bookmarkEnd w:id="48"/>
    <w:p>
      <w:pPr>
        <w:ind w:right="60" w:firstLine="486"/>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for the Aviation Leasing segment for the three and nine months ended September 30, 2016 and September 30,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Nine Months Ended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21"/>
                <w:szCs w:val="21"/>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21"/>
                <w:szCs w:val="21"/>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Change</w:t>
            </w:r>
          </w:p>
        </w:tc>
      </w:tr>
      <w:tr>
        <w:trPr>
          <w:trHeight w:val="217"/>
        </w:trPr>
        <w:tc>
          <w:tcPr>
            <w:tcW w:w="47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7"/>
        </w:trPr>
        <w:tc>
          <w:tcPr>
            <w:tcW w:w="47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gridSpan w:val="5"/>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17"/>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13,588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Add: Losses on the modification or extinguishment of debt and capital</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obligations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10,885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7,935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Add: Pro-rata share of Adjusted EBITDA from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EBITDA</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27,582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18,110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9,472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70,520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49,652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12700</wp:posOffset>
            </wp:positionV>
            <wp:extent cx="4271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-93980</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42" w:lineRule="exact"/>
        <w:rPr>
          <w:sz w:val="20"/>
          <w:szCs w:val="20"/>
          <w:color w:val="auto"/>
        </w:rPr>
      </w:pPr>
    </w:p>
    <w:p>
      <w:pPr>
        <w:ind w:left="500" w:hanging="492"/>
        <w:spacing w:after="0" w:line="250" w:lineRule="auto"/>
        <w:tabs>
          <w:tab w:leader="none" w:pos="155" w:val="left"/>
        </w:tabs>
        <w:numPr>
          <w:ilvl w:val="0"/>
          <w:numId w:val="28"/>
        </w:numPr>
        <w:rPr>
          <w:rFonts w:ascii="Arial" w:cs="Arial" w:eastAsia="Arial" w:hAnsi="Arial"/>
          <w:sz w:val="9"/>
          <w:szCs w:val="9"/>
          <w:color w:val="auto"/>
        </w:rPr>
      </w:pPr>
      <w:r>
        <w:rPr>
          <w:rFonts w:ascii="Arial" w:cs="Arial" w:eastAsia="Arial" w:hAnsi="Arial"/>
          <w:sz w:val="14"/>
          <w:szCs w:val="14"/>
          <w:color w:val="auto"/>
        </w:rPr>
        <w:t>Depreciation and amortization expense includes $9,376 and $6,122 of depreciation expense, $1,403 and $1,405 of lease intangible amortization, and $106 and $62 of amortization for lease incentives in the three months ended September 30, 2016 and 2015, respectively.</w:t>
      </w:r>
    </w:p>
    <w:p>
      <w:pPr>
        <w:spacing w:after="0" w:line="1" w:lineRule="exact"/>
        <w:rPr>
          <w:sz w:val="20"/>
          <w:szCs w:val="20"/>
          <w:color w:val="auto"/>
        </w:rPr>
      </w:pPr>
    </w:p>
    <w:p>
      <w:pPr>
        <w:ind w:left="500" w:hanging="323"/>
        <w:spacing w:after="0" w:line="255" w:lineRule="auto"/>
        <w:rPr>
          <w:sz w:val="20"/>
          <w:szCs w:val="20"/>
          <w:color w:val="auto"/>
        </w:rPr>
      </w:pPr>
      <w:r>
        <w:rPr>
          <w:rFonts w:ascii="Arial" w:cs="Arial" w:eastAsia="Arial" w:hAnsi="Arial"/>
          <w:sz w:val="14"/>
          <w:szCs w:val="14"/>
          <w:color w:val="auto"/>
        </w:rPr>
        <w:t>Depreciation and amortization expense includes $25,307 and $16,774 of depreciation expense, $4,557 and $5,198 of lease intangible amortization, and $225 and $182 of amortization for lease incentives in the nine months ended September 30, 2016 and 2015, respectively.</w:t>
      </w:r>
    </w:p>
    <w:p>
      <w:pPr>
        <w:spacing w:after="0" w:line="132" w:lineRule="exact"/>
        <w:rPr>
          <w:sz w:val="20"/>
          <w:szCs w:val="20"/>
          <w:color w:val="auto"/>
        </w:rPr>
      </w:pPr>
    </w:p>
    <w:p>
      <w:pPr>
        <w:ind w:left="180" w:right="1540" w:hanging="172"/>
        <w:spacing w:after="0" w:line="312" w:lineRule="auto"/>
        <w:tabs>
          <w:tab w:leader="none" w:pos="158" w:val="left"/>
        </w:tabs>
        <w:numPr>
          <w:ilvl w:val="0"/>
          <w:numId w:val="29"/>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depreciation expense of $41 and $0 for the three months ended September 30, 2016 and 2015, respectively. Non-controlling share of Adjusted EBITDA is comprised of depreciation expense of $123 and $0 for the nine months ended September 30, 2016 and 2015,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Total revenue in the Aviation Leasing segment increased by $10,886 in the three months ended September 30, 2016 as compared to the three months ended September 30, 2015, due to higher lease income and maintenance revenue driven by the acquisition and placement of aviation assets on lease. Lease income increased by $8,375 in the three months ended September 30, 2016 as compared to the three months ended September 30, 2015 mainly due to an increase in (i) aircraft lease income of $6,860 primarily driven by the addition of nine aircraft on lease and (ii) engine lease income of $1,515 primarily driven by an increase in the number of engines which have generated revenue during the quarter from 25 in the three months ended September 30, 2015 to 34 in the three months ended September 30, 2016. Maintenance revenue increased by $2,136 due to an increase in the number of aircraft and engines on lease.</w:t>
      </w:r>
    </w:p>
    <w:p>
      <w:pPr>
        <w:spacing w:after="0" w:line="5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Total revenues in the Aviation Leasing segment increased by $22,134 in the nine months ended September 30, 2016 as compared to the nine months ended September 30, 2015, driven by higher lease income and maintenance revenue offset by a decrease in other revenue. Lease income increased by $16,425 in the nine months ended September 30, 2016 as compared to the nine months ended September 30, 2015 mainly due to an increase in (i) aircraft lease income of $13,229 primarily driven by the addition of nine aircraft on lease and (ii) engine lease income of $3,196 primarily driven by an increase in the number of engines which have generated revenue from 28 in the nine months ended September 30, 2015 to 40 in the nine months ended September 30, 2016. Maintenance revenue increased by $6,142 in the nine months ended September 30, 2016 as compared to the nine months ended September 30, 2015 due to an increase in the number of aircraft and engines on lease. Other revenue decreased by $433 primarily due to greater security deposits and maintenance claims included in earnings in the nine months ended September 30, 2015, as compared to the nine months ended September 30, 2016.</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8"/>
          <w:szCs w:val="18"/>
          <w:color w:val="auto"/>
        </w:rPr>
        <w:t>Total expenses in the Aviation Leasing segment increased by $2,938 in the three months ended September 30, 2016 as compared to the three months ended September 30, 2015, primarily due to an increase in depreciation and amortization expense offset by a decrease in operating expenses. Depreciation and amortization expense increased by $3,254 driven by additional aircraft and engines owned and on lease in the three months ended September 30, 2016 as compared to the three months ended September 30, 2015. Operating expenses decreased by $316 in the three months ended September 30, 2016 as compared to the three months ended September 30, 2015, primarily the result of a decrease in repairs and maintenance expense of $574, offset by increases in servicer expense of $188, and other operating expense of $70.</w:t>
      </w:r>
    </w:p>
    <w:p>
      <w:pPr>
        <w:spacing w:after="0" w:line="85"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8"/>
          <w:szCs w:val="18"/>
          <w:color w:val="auto"/>
        </w:rPr>
        <w:t>Total expenses in the Aviation Leasing segment increased by $9,485 in the nine months ended September 30, 2016 as compared to the nine months ended September 30, 2015, primarily due to an increase in depreciation and amortization expense and an increase in operating expenses. Depreciation and amortization expense increased by $8,533 driven by additional aircraft and engines owned and on lease in the nine months ended September 30, 2016 as compared to the nine months ended September 30, 2015. Operating expenses increased by $952 in the nine months ended September 30, 2016 as compared to the nine months ended September 30, 2015, primarily the result of increases in professional fee expenses of $474, servicer expense of $312, and shipping and storage fees of $166.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Total other income in the Aviation Leasing segment decreased by $1,671 in the three months ended September 30, 2016 and increased by $757 in the nine months ended September 30, 2016 as compared to the three and nine months ended September 30, 2015, driven by the gain on sale of assets which are opportunistic in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Adjusted Net Income in the Aviation Leasing segment was $16,564 and $40,016 in the three and nine months ended September 30, 2016, respectively, increasing by $6,043 and $12,745 as compared to the three and nine months ended September 30, 2015, respectively, primarily driven by the changes to net income attributable to shareholders noted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Adjusted EBITDA in the Aviation Leasing segment was $27,582 and $70,520 in the three and nine months ended September 30, 2016, respectively, increasing by $9,472 and $20,868 as compared to the three and nine months ended September 30, 2015, respectively. In addition to the changes in net income attributable to shareholders noted above, this movement was primarily due to higher depreciation and amortization expense for the additional aircraft and engines owned and on lease in the three and nine months ended September 30,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Offshore Energy Segment</w:t>
      </w:r>
    </w:p>
    <w:p>
      <w:pPr>
        <w:spacing w:after="0" w:line="12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our Offshore Energy segment, we own one remotely operated vehicle (“ROV”) support vessel, one construction support vessel and one anchor handling tug supply (“AHTS”) vessel. The chart below describes the assets in our Offshore Energy segment as of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54875"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1998345"/>
                    </a:xfrm>
                    <a:prstGeom prst="rect">
                      <a:avLst/>
                    </a:prstGeom>
                    <a:noFill/>
                  </pic:spPr>
                </pic:pic>
              </a:graphicData>
            </a:graphic>
          </wp:anchor>
        </w:drawing>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Offshore Energy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0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Asset Type</w:t>
            </w:r>
          </w:p>
        </w:tc>
        <w:tc>
          <w:tcPr>
            <w:tcW w:w="11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6"/>
                <w:szCs w:val="16"/>
                <w:color w:val="auto"/>
                <w:w w:val="95"/>
              </w:rPr>
              <w:t>Year Built</w:t>
            </w:r>
          </w:p>
        </w:tc>
        <w:tc>
          <w:tcPr>
            <w:tcW w:w="3520" w:type="dxa"/>
            <w:vAlign w:val="bottom"/>
            <w:tcBorders>
              <w:top w:val="single" w:sz="8" w:color="auto"/>
              <w:bottom w:val="single" w:sz="8" w:color="D8D8D8"/>
              <w:right w:val="single" w:sz="8" w:color="auto"/>
            </w:tcBorders>
            <w:shd w:val="clear" w:color="auto" w:fill="D8D8D8"/>
          </w:tcPr>
          <w:p>
            <w:pPr>
              <w:ind w:left="1380"/>
              <w:spacing w:after="0"/>
              <w:rPr>
                <w:sz w:val="20"/>
                <w:szCs w:val="20"/>
                <w:color w:val="auto"/>
              </w:rPr>
            </w:pPr>
            <w:r>
              <w:rPr>
                <w:rFonts w:ascii="Arial" w:cs="Arial" w:eastAsia="Arial" w:hAnsi="Arial"/>
                <w:sz w:val="16"/>
                <w:szCs w:val="16"/>
                <w:color w:val="auto"/>
              </w:rPr>
              <w:t>Description</w:t>
            </w:r>
          </w:p>
        </w:tc>
        <w:tc>
          <w:tcPr>
            <w:tcW w:w="182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Arial" w:cs="Arial" w:eastAsia="Arial" w:hAnsi="Arial"/>
                <w:sz w:val="16"/>
                <w:szCs w:val="16"/>
                <w:color w:val="auto"/>
              </w:rPr>
              <w:t>Lease Expiration</w:t>
            </w:r>
          </w:p>
        </w:tc>
        <w:tc>
          <w:tcPr>
            <w:tcW w:w="2040" w:type="dxa"/>
            <w:vAlign w:val="bottom"/>
            <w:tcBorders>
              <w:top w:val="single" w:sz="8" w:color="auto"/>
              <w:bottom w:val="single" w:sz="8" w:color="D8D8D8"/>
            </w:tcBorders>
            <w:shd w:val="clear" w:color="auto" w:fill="D8D8D8"/>
          </w:tcPr>
          <w:p>
            <w:pPr>
              <w:ind w:left="280"/>
              <w:spacing w:after="0"/>
              <w:rPr>
                <w:sz w:val="20"/>
                <w:szCs w:val="20"/>
                <w:color w:val="auto"/>
              </w:rPr>
            </w:pPr>
            <w:r>
              <w:rPr>
                <w:rFonts w:ascii="Arial" w:cs="Arial" w:eastAsia="Arial" w:hAnsi="Arial"/>
                <w:sz w:val="16"/>
                <w:szCs w:val="16"/>
                <w:color w:val="auto"/>
              </w:rPr>
              <w:t>Economic Interest (%)</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90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35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Anchor handling</w:t>
            </w:r>
          </w:p>
        </w:tc>
        <w:tc>
          <w:tcPr>
            <w:tcW w:w="1820" w:type="dxa"/>
            <w:vAlign w:val="bottom"/>
            <w:tcBorders>
              <w:top w:val="single" w:sz="8" w:color="auto"/>
              <w:right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AHTS Vessel</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tug supply vessel with</w:t>
            </w:r>
          </w:p>
        </w:tc>
        <w:tc>
          <w:tcPr>
            <w:tcW w:w="18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November 2023</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9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accommodation for 30 personnel</w:t>
            </w:r>
          </w:p>
        </w:tc>
        <w:tc>
          <w:tcPr>
            <w:tcW w:w="1820" w:type="dxa"/>
            <w:vAlign w:val="bottom"/>
            <w:tcBorders>
              <w:right w:val="single" w:sz="8" w:color="auto"/>
            </w:tcBorders>
            <w:vMerge w:val="continue"/>
          </w:tcPr>
          <w:p>
            <w:pPr>
              <w:spacing w:after="0"/>
              <w:rPr>
                <w:sz w:val="10"/>
                <w:szCs w:val="10"/>
                <w:color w:val="auto"/>
              </w:rPr>
            </w:pPr>
          </w:p>
        </w:tc>
        <w:tc>
          <w:tcPr>
            <w:tcW w:w="2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and a total bollard pull of 68.5 tons</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Construction Support Vessel</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2014</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250-ton crane, 2,000 square meter</w:t>
            </w:r>
          </w:p>
        </w:tc>
        <w:tc>
          <w:tcPr>
            <w:tcW w:w="18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Off-lease</w:t>
            </w:r>
            <w:r>
              <w:rPr>
                <w:rFonts w:ascii="Arial" w:cs="Arial" w:eastAsia="Arial" w:hAnsi="Arial"/>
                <w:sz w:val="25"/>
                <w:szCs w:val="25"/>
                <w:color w:val="auto"/>
                <w:vertAlign w:val="superscript"/>
              </w:rPr>
              <w:t>(1)</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0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deck space, a moon pool, and</w:t>
            </w:r>
          </w:p>
        </w:tc>
        <w:tc>
          <w:tcPr>
            <w:tcW w:w="1820" w:type="dxa"/>
            <w:vAlign w:val="bottom"/>
            <w:tcBorders>
              <w:right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900" w:type="dxa"/>
            <w:vAlign w:val="bottom"/>
            <w:tcBorders>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3520" w:type="dxa"/>
            <w:vAlign w:val="bottom"/>
            <w:tcBorders>
              <w:right w:val="single" w:sz="8" w:color="auto"/>
            </w:tcBorders>
            <w:vMerge w:val="continue"/>
          </w:tcPr>
          <w:p>
            <w:pPr>
              <w:spacing w:after="0"/>
              <w:rPr>
                <w:sz w:val="3"/>
                <w:szCs w:val="3"/>
                <w:color w:val="auto"/>
              </w:rPr>
            </w:pPr>
          </w:p>
        </w:tc>
        <w:tc>
          <w:tcPr>
            <w:tcW w:w="1820" w:type="dxa"/>
            <w:vAlign w:val="bottom"/>
            <w:tcBorders>
              <w:right w:val="single" w:sz="8" w:color="auto"/>
            </w:tcBorders>
          </w:tcPr>
          <w:p>
            <w:pPr>
              <w:spacing w:after="0"/>
              <w:rPr>
                <w:sz w:val="3"/>
                <w:szCs w:val="3"/>
                <w:color w:val="auto"/>
              </w:rPr>
            </w:pP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100 personnel</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ROV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120 personnel,</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October 2016</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 moon pool, and a 50-ton crane</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16"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3"/>
          <w:szCs w:val="13"/>
          <w:color w:val="auto"/>
        </w:rPr>
        <w:t>On September 3, 2016, the vessel went off-lease, and we are actively pursuing a new charter.</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40"/>
          </w:cols>
          <w:pgMar w:left="240" w:top="368" w:right="219" w:bottom="1440" w:gutter="0" w:footer="0" w:header="0"/>
        </w:sectPr>
      </w:pPr>
    </w:p>
    <w:bookmarkStart w:id="50" w:name="page51"/>
    <w:bookmarkEnd w:id="50"/>
    <w:p>
      <w:pPr>
        <w:ind w:left="660"/>
        <w:spacing w:after="0"/>
        <w:rPr>
          <w:sz w:val="20"/>
          <w:szCs w:val="20"/>
          <w:color w:val="auto"/>
        </w:rPr>
      </w:pPr>
      <w:r>
        <w:rPr>
          <w:rFonts w:ascii="Arial" w:cs="Arial" w:eastAsia="Arial" w:hAnsi="Arial"/>
          <w:sz w:val="17"/>
          <w:szCs w:val="17"/>
          <w:color w:val="auto"/>
        </w:rPr>
        <w:t>The following table presents our results of operations and reconciliation of net (loss) income attributable to shareholders to Adjusted Net (Loss)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Income for the Offshore Energy segment for the three and nine months ended September 30, 2016 and September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2,561</w:t>
            </w:r>
          </w:p>
        </w:tc>
        <w:tc>
          <w:tcPr>
            <w:tcW w:w="44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(15,203)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Finance lease income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2,969</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6,435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(3,466)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4,433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(15,801)</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4,927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5,011</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3,159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1,852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16,142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9,006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7,136</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(7,809)</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(2,038)</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3,391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(5,429)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(19,150)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11,596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(30,746)</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(2,038)</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3,391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(5,429)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(19,150)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11,596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(30,746)</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(loss) income attributable to non-controlling</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 consolidated subsidiaries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(4,855)</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3,195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(5,102)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(14,861)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11,030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(25,891)</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7,450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(3,725)</w:t>
            </w: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Net (Loss)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(1,907)</w:t>
            </w:r>
          </w:p>
        </w:tc>
        <w:tc>
          <w:tcPr>
            <w:tcW w:w="4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3,195</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(5,102)</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(11,136)</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11,030</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(22,166)</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8"/>
          <w:szCs w:val="8"/>
          <w:color w:val="auto"/>
        </w:rPr>
      </w:pPr>
      <w:r>
        <w:rPr>
          <w:rFonts w:ascii="Arial" w:cs="Arial" w:eastAsia="Arial" w:hAnsi="Arial"/>
          <w:sz w:val="13"/>
          <w:szCs w:val="13"/>
          <w:color w:val="auto"/>
        </w:rPr>
        <w:t>Non-controlling share of Adjusted Net Income (Loss) is comprised of asset impairment charges of $3,725 and $0 for the nine months ended September 30, 2016 and 2015,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1" w:name="page52"/>
    <w:bookmarkEnd w:id="51"/>
    <w:p>
      <w:pPr>
        <w:ind w:right="160" w:firstLine="486"/>
        <w:spacing w:after="0" w:line="277" w:lineRule="auto"/>
        <w:rPr>
          <w:sz w:val="20"/>
          <w:szCs w:val="20"/>
          <w:color w:val="auto"/>
        </w:rPr>
      </w:pPr>
      <w:r>
        <w:rPr>
          <w:rFonts w:ascii="Arial" w:cs="Arial" w:eastAsia="Arial" w:hAnsi="Arial"/>
          <w:sz w:val="18"/>
          <w:szCs w:val="18"/>
          <w:color w:val="auto"/>
        </w:rPr>
        <w:t>The following table sets forth a reconciliation of net (loss) income attributable to shareholders to Adjusted EBITDA for the Offshore Energy segment for the three and nine months ended September 30, 2016 and September 30,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(25,891)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2,805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w:t>
            </w: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605</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5,544</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(4,939)</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(3,671)</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18,092</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(21,763)</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500" w:hanging="492"/>
        <w:spacing w:after="0" w:line="241" w:lineRule="auto"/>
        <w:tabs>
          <w:tab w:leader="none" w:pos="141" w:val="left"/>
        </w:tabs>
        <w:numPr>
          <w:ilvl w:val="0"/>
          <w:numId w:val="32"/>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three months ended September 30, 2016 and 2015: (i) depreciation expense of $62 and $57 and (ii) interest expense of $29 and $29, respectively.</w:t>
      </w:r>
    </w:p>
    <w:p>
      <w:pPr>
        <w:spacing w:after="0" w:line="1" w:lineRule="exact"/>
        <w:rPr>
          <w:sz w:val="20"/>
          <w:szCs w:val="20"/>
          <w:color w:val="auto"/>
        </w:rPr>
      </w:pPr>
    </w:p>
    <w:p>
      <w:pPr>
        <w:ind w:left="500" w:right="20" w:hanging="323"/>
        <w:spacing w:after="0" w:line="255" w:lineRule="auto"/>
        <w:rPr>
          <w:sz w:val="20"/>
          <w:szCs w:val="20"/>
          <w:color w:val="auto"/>
        </w:rPr>
      </w:pPr>
      <w:r>
        <w:rPr>
          <w:rFonts w:ascii="Arial" w:cs="Arial" w:eastAsia="Arial" w:hAnsi="Arial"/>
          <w:sz w:val="14"/>
          <w:szCs w:val="14"/>
          <w:color w:val="auto"/>
        </w:rPr>
        <w:t>Non-controlling share of Adjusted EBITDA is comprised of the following items for the nine months ended September 30, 2016 and 2015: (i) depreciation expense of $183 and $169, (ii) interest expense of $84 and $90, and (iii) asset impairment charges of $3,725 and $0,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Total revenues in the Offshore Energy segment decreased by $3,466 and $15,801 in the three and nine months ended September 30, 2016 as compared to the three and nine months ended September 30, 2015, respectively, primarily driven by lower lease income. In 2016, the offshore construction support vessel was subject to short term lease arrangements, as compared to 2015 when the vessel was on hire under a long term arrangement that terminated in the second half of 2015. In February 2016, the long term lease arrangement for the ROV support vessel was terminated resulting in lower lease income from short term lease arrangements for the three and nine months ended September 30, 2016 as compared to the three and nine months ended September 30, 2015.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Total expenses in the Offshore Energy segment increased by $1,852 and $7,136 in the three and nine months ended September 30, 2016 as compared to the three and nine months ended September 30, 2015, respectively. Total expenses in the Offshore Energy segment primarily include term loan financing, depreciation and amortization expense, interest expense and operating expenses.</w:t>
      </w:r>
    </w:p>
    <w:p>
      <w:pPr>
        <w:spacing w:after="0" w:line="73"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During the three months ended September 30, 2016, depreciation expense was $1,256 and $413 related to the construction support vessel and ROV support vessel, respectively. During the three months ended September 30, 2015, depreciation expense was $1,114 and $375 related to the construction support vessel and ROV support vessel, respectively.</w:t>
      </w:r>
    </w:p>
    <w:p>
      <w:pPr>
        <w:spacing w:after="0" w:line="7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For the three months ended September 30, 2016, operating expenses increased $1,684 as compared the three months ended September 30, 2015. Historically operating expenses were incurred by the bareboat charterers when the ROV support vessel and the offshore construction support vessel were on lease. In 2016, due to the short term nature of the lease arrangements, operating expenses were borne by us. The increase in operating expenses was primarily the result of (i) crew costs of $795, (ii) legal fees of $428, (iii) repairs and maintenance of $198, (iv) management fees of $91 and (v) other operating expenses of $172 in the three months ended September 30, 2016 as compared to the three months ended September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jc w:val="both"/>
        <w:ind w:right="20" w:firstLine="486"/>
        <w:spacing w:after="0" w:line="264" w:lineRule="auto"/>
        <w:rPr>
          <w:sz w:val="20"/>
          <w:szCs w:val="20"/>
          <w:color w:val="auto"/>
        </w:rPr>
      </w:pPr>
      <w:r>
        <w:rPr>
          <w:rFonts w:ascii="Arial" w:cs="Arial" w:eastAsia="Arial" w:hAnsi="Arial"/>
          <w:sz w:val="18"/>
          <w:szCs w:val="18"/>
          <w:color w:val="auto"/>
        </w:rPr>
        <w:t>During the nine months ended September 30, 2016, depreciation expense was $3,704 and $1,223 related to the construction support vessel and ROV support vessel, respectively. During the nine months ended September 30, 2015, depreciation expense was $3,343 and $1,124 related to the construction support vessel and ROV support vessel, respectively.</w:t>
      </w:r>
    </w:p>
    <w:p>
      <w:pPr>
        <w:spacing w:after="0" w:line="73"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8"/>
          <w:szCs w:val="18"/>
          <w:color w:val="auto"/>
        </w:rPr>
        <w:t>For the nine months ended September 30, 2016, operating expenses increased $6,725 as compared the nine months ended September 30, 2015. Historically operating expenses were incurred by the bareboat charterers when the ROV support vessel and the offshore construction support vessel were on lease. In 2016, due to the short term nature of the lease arrangements, operating expenses were borne by us. The increase in operating expenses was primarily the result of (i) crew costs of $2,425, (ii) legal fees of $1,549, (iii) mobilization and costs for spare parts of $826, (iv) repairs and maintenance of $754, (v) management fees of $336 and (vi) other operating expenses of $835 in the nine months ended September 30, 2016 as compared to the nine months ended September 30, 2015.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Total other income in the Offshore Energy segment decreased by $111 in the three months ended September 30, 2016 as compared to the three months ended September 30, 2015 due to a decrease in interest income and fees earned related to the loan made to our third party partner in the MT6015 joint venture.</w:t>
      </w:r>
    </w:p>
    <w:p>
      <w:pPr>
        <w:spacing w:after="0" w:line="181"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Total other income in the Offshore Energy segment decreased by $7,809 in the nine months ended September 30, 2016 as compared to the nine months ended September 30, 2015 due to an asset impairment charge of $7,450. In July 2016, the shipbuilder delivered a notice of termination of the shipbuilding contract for MT6015 resulting in the impairment of the investment in the nine months ended September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 Income</w:t>
      </w:r>
    </w:p>
    <w:p>
      <w:pPr>
        <w:spacing w:after="0" w:line="225"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Adjusted Net Loss was $1,907 and $11,136 in three and nine months ended September 30, 2016, respectively, increasing by $5,102 and $22,166 as compared to the three and nine months ended September 30, 2015, respectively. This increase was due to the changes described above offset by the asset impairment charge of $7,450, which is added back in the determination of Adjusted Net Loss, less the portion shared with our non-controlling interest holder, in the nine months ended September 30,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right="20" w:firstLine="486"/>
        <w:spacing w:after="0" w:line="276" w:lineRule="auto"/>
        <w:rPr>
          <w:sz w:val="20"/>
          <w:szCs w:val="20"/>
          <w:color w:val="auto"/>
        </w:rPr>
      </w:pPr>
      <w:r>
        <w:rPr>
          <w:rFonts w:ascii="Arial" w:cs="Arial" w:eastAsia="Arial" w:hAnsi="Arial"/>
          <w:sz w:val="17"/>
          <w:szCs w:val="17"/>
          <w:color w:val="auto"/>
        </w:rPr>
        <w:t>Adjusted EBITDA decreased by $4,939 and $21,763 in three and nine months ended September 30, 2016 as compared to the three and nine months ended September 30, 2015, respectively, due to a decrease in net income attributable to shareholders of $5,102 and $25,891 as noted above. This was offset by the asset impairment charge of $7,450, which was shared with the non-controlling interest holder in the nine months ended September 30, 2016, and an increase in depreciation and amortization expense of $180 and $460 related to the offshore construction vessel in three and nine months ended September 30, 2016 as compared to the three and nine months ended September 30, 2015,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Containers Segment</w:t>
      </w:r>
    </w:p>
    <w:p>
      <w:pPr>
        <w:spacing w:after="0" w:line="121"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In our Shipping Containers segment, we own, through a joint venture, interests in approximately 83,000 maritime shipping containers and related equipment through one portfolio. The chart below describes the assets in our Shipping Containers segment as of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217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121793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FFFFFF"/>
        </w:rPr>
        <w:t>Shipping Containers Assets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2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Number</w:t>
            </w:r>
          </w:p>
        </w:tc>
        <w:tc>
          <w:tcPr>
            <w:tcW w:w="1720" w:type="dxa"/>
            <w:vAlign w:val="bottom"/>
            <w:tcBorders>
              <w:top w:val="single" w:sz="8" w:color="auto"/>
              <w:bottom w:val="single" w:sz="8" w:color="D8D8D8"/>
              <w:right w:val="single" w:sz="8" w:color="auto"/>
            </w:tcBorders>
            <w:shd w:val="clear" w:color="auto" w:fill="D8D8D8"/>
          </w:tcPr>
          <w:p>
            <w:pPr>
              <w:ind w:left="680"/>
              <w:spacing w:after="0"/>
              <w:rPr>
                <w:sz w:val="20"/>
                <w:szCs w:val="20"/>
                <w:color w:val="auto"/>
              </w:rPr>
            </w:pPr>
            <w:r>
              <w:rPr>
                <w:rFonts w:ascii="Arial" w:cs="Arial" w:eastAsia="Arial" w:hAnsi="Arial"/>
                <w:sz w:val="16"/>
                <w:szCs w:val="16"/>
                <w:color w:val="auto"/>
              </w:rPr>
              <w:t>Type</w:t>
            </w:r>
          </w:p>
        </w:tc>
        <w:tc>
          <w:tcPr>
            <w:tcW w:w="1420" w:type="dxa"/>
            <w:vAlign w:val="bottom"/>
            <w:tcBorders>
              <w:top w:val="single" w:sz="8" w:color="auto"/>
              <w:bottom w:val="single" w:sz="8" w:color="D8D8D8"/>
            </w:tcBorders>
            <w:shd w:val="clear" w:color="auto" w:fill="D8D8D8"/>
          </w:tcPr>
          <w:p>
            <w:pPr>
              <w:jc w:val="center"/>
              <w:ind w:left="174"/>
              <w:spacing w:after="0"/>
              <w:rPr>
                <w:sz w:val="20"/>
                <w:szCs w:val="20"/>
                <w:color w:val="auto"/>
              </w:rPr>
            </w:pPr>
            <w:r>
              <w:rPr>
                <w:rFonts w:ascii="Arial" w:cs="Arial" w:eastAsia="Arial" w:hAnsi="Arial"/>
                <w:sz w:val="16"/>
                <w:szCs w:val="16"/>
                <w:color w:val="auto"/>
                <w:w w:val="90"/>
              </w:rPr>
              <w:t>Average Age</w:t>
            </w:r>
          </w:p>
        </w:tc>
        <w:tc>
          <w:tcPr>
            <w:tcW w:w="300" w:type="dxa"/>
            <w:vAlign w:val="bottom"/>
            <w:tcBorders>
              <w:top w:val="single" w:sz="8" w:color="auto"/>
              <w:bottom w:val="single" w:sz="8" w:color="D8D8D8"/>
              <w:right w:val="single" w:sz="8" w:color="auto"/>
            </w:tcBorders>
            <w:shd w:val="clear" w:color="auto" w:fill="D8D8D8"/>
          </w:tcPr>
          <w:p>
            <w:pPr>
              <w:spacing w:after="0"/>
              <w:rPr>
                <w:sz w:val="23"/>
                <w:szCs w:val="23"/>
                <w:color w:val="auto"/>
              </w:rPr>
            </w:pPr>
          </w:p>
        </w:tc>
        <w:tc>
          <w:tcPr>
            <w:tcW w:w="1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6"/>
                <w:szCs w:val="16"/>
                <w:color w:val="auto"/>
                <w:w w:val="88"/>
              </w:rPr>
              <w:t>Lease Type</w:t>
            </w:r>
          </w:p>
        </w:tc>
        <w:tc>
          <w:tcPr>
            <w:tcW w:w="170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Arial" w:cs="Arial" w:eastAsia="Arial" w:hAnsi="Arial"/>
                <w:sz w:val="16"/>
                <w:szCs w:val="16"/>
                <w:color w:val="auto"/>
              </w:rPr>
              <w:t>Customer Mix</w:t>
            </w:r>
          </w:p>
        </w:tc>
        <w:tc>
          <w:tcPr>
            <w:tcW w:w="226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6"/>
                <w:szCs w:val="16"/>
                <w:color w:val="auto"/>
                <w:w w:val="92"/>
              </w:rPr>
              <w:t>Economic Interest (%)</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320" w:type="dxa"/>
            <w:vAlign w:val="bottom"/>
            <w:tcBorders>
              <w:top w:val="single" w:sz="8" w:color="auto"/>
              <w:right w:val="single" w:sz="8" w:color="auto"/>
            </w:tcBorders>
          </w:tcPr>
          <w:p>
            <w:pPr>
              <w:spacing w:after="0"/>
              <w:rPr>
                <w:sz w:val="19"/>
                <w:szCs w:val="19"/>
                <w:color w:val="auto"/>
              </w:rPr>
            </w:pP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 Dry</w:t>
            </w:r>
          </w:p>
        </w:tc>
        <w:tc>
          <w:tcPr>
            <w:tcW w:w="1420" w:type="dxa"/>
            <w:vAlign w:val="bottom"/>
            <w:tcBorders>
              <w:top w:val="single" w:sz="8" w:color="auto"/>
            </w:tcBorders>
          </w:tcPr>
          <w:p>
            <w:pPr>
              <w:spacing w:after="0"/>
              <w:rPr>
                <w:sz w:val="19"/>
                <w:szCs w:val="19"/>
                <w:color w:val="auto"/>
              </w:rPr>
            </w:pPr>
          </w:p>
        </w:tc>
        <w:tc>
          <w:tcPr>
            <w:tcW w:w="30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 Reefer</w:t>
            </w:r>
          </w:p>
        </w:tc>
        <w:tc>
          <w:tcPr>
            <w:tcW w:w="14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Direct Finance</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Portfolio #1</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40’ Dry</w:t>
            </w:r>
          </w:p>
        </w:tc>
        <w:tc>
          <w:tcPr>
            <w:tcW w:w="142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420" w:type="dxa"/>
            <w:vAlign w:val="bottom"/>
            <w:vMerge w:val="restart"/>
          </w:tcPr>
          <w:p>
            <w:pPr>
              <w:jc w:val="center"/>
              <w:ind w:left="174"/>
              <w:spacing w:after="0"/>
              <w:rPr>
                <w:sz w:val="20"/>
                <w:szCs w:val="20"/>
                <w:color w:val="auto"/>
              </w:rPr>
            </w:pPr>
            <w:r>
              <w:rPr>
                <w:rFonts w:ascii="Arial" w:cs="Arial" w:eastAsia="Arial" w:hAnsi="Arial"/>
                <w:sz w:val="18"/>
                <w:szCs w:val="18"/>
                <w:color w:val="auto"/>
                <w:w w:val="88"/>
              </w:rPr>
              <w:t>~9 Years</w:t>
            </w:r>
          </w:p>
        </w:tc>
        <w:tc>
          <w:tcPr>
            <w:tcW w:w="3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Lease/Operating</w:t>
            </w:r>
          </w:p>
        </w:tc>
        <w:tc>
          <w:tcPr>
            <w:tcW w:w="17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5 Customers</w:t>
            </w:r>
          </w:p>
        </w:tc>
        <w:tc>
          <w:tcPr>
            <w:tcW w:w="2260" w:type="dxa"/>
            <w:vAlign w:val="bottom"/>
            <w:vMerge w:val="restart"/>
          </w:tcPr>
          <w:p>
            <w:pPr>
              <w:jc w:val="right"/>
              <w:ind w:right="874"/>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83,000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40’ HC Dry</w:t>
            </w:r>
          </w:p>
        </w:tc>
        <w:tc>
          <w:tcPr>
            <w:tcW w:w="1420" w:type="dxa"/>
            <w:vAlign w:val="bottom"/>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Lease</w:t>
            </w:r>
          </w:p>
        </w:tc>
        <w:tc>
          <w:tcPr>
            <w:tcW w:w="1700" w:type="dxa"/>
            <w:vAlign w:val="bottom"/>
            <w:tcBorders>
              <w:right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40’ HC Reefer</w:t>
            </w:r>
          </w:p>
        </w:tc>
        <w:tc>
          <w:tcPr>
            <w:tcW w:w="14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42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45’ Dry</w:t>
            </w:r>
          </w:p>
        </w:tc>
        <w:tc>
          <w:tcPr>
            <w:tcW w:w="14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0" w:type="dxa"/>
            <w:vAlign w:val="bottom"/>
            <w:gridSpan w:val="2"/>
          </w:tcPr>
          <w:p>
            <w:pPr>
              <w:jc w:val="right"/>
              <w:ind w:right="1572"/>
              <w:spacing w:after="0"/>
              <w:rPr>
                <w:sz w:val="20"/>
                <w:szCs w:val="20"/>
                <w:color w:val="auto"/>
              </w:rPr>
            </w:pPr>
            <w:r>
              <w:rPr>
                <w:rFonts w:ascii="Arial" w:cs="Arial" w:eastAsia="Arial" w:hAnsi="Arial"/>
                <w:sz w:val="18"/>
                <w:szCs w:val="18"/>
                <w:color w:val="auto"/>
              </w:rPr>
              <w:t>53</w:t>
            </w:r>
          </w:p>
        </w:tc>
        <w:tc>
          <w:tcPr>
            <w:tcW w:w="1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76" w:right="219" w:bottom="1440" w:gutter="0" w:footer="0" w:header="0"/>
        </w:sectPr>
      </w:pPr>
    </w:p>
    <w:bookmarkStart w:id="53" w:name="page54"/>
    <w:bookmarkEnd w:id="53"/>
    <w:p>
      <w:pPr>
        <w:ind w:left="500"/>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Income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Shipping Containers segment for the three and nine months ended September 30, 2016 and September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Nine Months Ended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3"/>
        </w:trPr>
        <w:tc>
          <w:tcPr>
            <w:tcW w:w="3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21"/>
                <w:szCs w:val="21"/>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21"/>
                <w:szCs w:val="21"/>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217"/>
        </w:trPr>
        <w:tc>
          <w:tcPr>
            <w:tcW w:w="3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7"/>
        </w:trPr>
        <w:tc>
          <w:tcPr>
            <w:tcW w:w="37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5"/>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17"/>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ind w:left="4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(4,384)</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2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(4,384)</w:t>
            </w:r>
          </w:p>
        </w:tc>
      </w:tr>
      <w:tr>
        <w:trPr>
          <w:trHeight w:val="291"/>
        </w:trPr>
        <w:tc>
          <w:tcPr>
            <w:tcW w:w="37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(1,448)</w:t>
            </w: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719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(1,703)</w:t>
            </w:r>
          </w:p>
        </w:tc>
      </w:tr>
      <w:tr>
        <w:trPr>
          <w:trHeight w:val="33"/>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3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Other expense</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Gain on sale of finance leases, net</w:t>
            </w: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304</w:t>
            </w: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Total other expense</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(9,589)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8,428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6,099</w:t>
            </w:r>
          </w:p>
        </w:tc>
      </w:tr>
      <w:tr>
        <w:trPr>
          <w:trHeight w:val="33"/>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7,420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3,418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75</w:t>
            </w:r>
          </w:p>
        </w:tc>
      </w:tr>
      <w:tr>
        <w:trPr>
          <w:trHeight w:val="33"/>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7,297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3,343</w:t>
            </w: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w:t>
            </w: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Add: Losses on the modification or extinguishment of</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378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78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3780" w:type="dxa"/>
            <w:vAlign w:val="bottom"/>
          </w:tcPr>
          <w:p>
            <w:pPr>
              <w:ind w:left="40"/>
              <w:spacing w:after="0"/>
              <w:rPr>
                <w:sz w:val="20"/>
                <w:szCs w:val="20"/>
                <w:color w:val="auto"/>
              </w:rPr>
            </w:pPr>
            <w:r>
              <w:rPr>
                <w:rFonts w:ascii="Arial" w:cs="Arial" w:eastAsia="Arial" w:hAnsi="Arial"/>
                <w:sz w:val="16"/>
                <w:szCs w:val="16"/>
                <w:color w:val="auto"/>
                <w:w w:val="93"/>
              </w:rPr>
              <w:t>Add: Pro-rata share of Adjusted Net (Loss) Income from</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9"/>
        </w:trPr>
        <w:tc>
          <w:tcPr>
            <w:tcW w:w="378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(1)</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(4,834)</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6,805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(7,210)</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500" w:hanging="492"/>
        <w:spacing w:after="0" w:line="273" w:lineRule="auto"/>
        <w:tabs>
          <w:tab w:leader="none" w:pos="141" w:val="left"/>
        </w:tabs>
        <w:numPr>
          <w:ilvl w:val="0"/>
          <w:numId w:val="33"/>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for the three months ended September 30, 2016 and 2015 includes the Company’s proportionate share of the unconsolidated entities’ net income adjusted for $0 and $10,508 of asset impairment charges, respectively.</w:t>
      </w:r>
    </w:p>
    <w:p>
      <w:pPr>
        <w:spacing w:after="0" w:line="66" w:lineRule="exact"/>
        <w:rPr>
          <w:sz w:val="20"/>
          <w:szCs w:val="20"/>
          <w:color w:val="auto"/>
        </w:rPr>
      </w:pPr>
    </w:p>
    <w:p>
      <w:pPr>
        <w:ind w:left="500" w:hanging="404"/>
        <w:spacing w:after="0" w:line="273" w:lineRule="auto"/>
        <w:rPr>
          <w:sz w:val="20"/>
          <w:szCs w:val="20"/>
          <w:color w:val="auto"/>
        </w:rPr>
      </w:pPr>
      <w:r>
        <w:rPr>
          <w:rFonts w:ascii="Arial" w:cs="Arial" w:eastAsia="Arial" w:hAnsi="Arial"/>
          <w:sz w:val="14"/>
          <w:szCs w:val="14"/>
          <w:color w:val="auto"/>
        </w:rPr>
        <w:t>Pro-rata share of Adjusted Net Income from unconsolidated entities for the nine months ended September 30, 2016 and 2015 includes the Company’s proportionate share of the unconsolidated entities’ net income adjusted for $0 and $10,508 of asset impairment charges,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4" w:name="page55"/>
    <w:bookmarkEnd w:id="54"/>
    <w:p>
      <w:pPr>
        <w:ind w:right="140"/>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for the Shipping Containers segment for the three and nine months ended September 30, 2016 and September 30,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44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(1,448)</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9"/>
        </w:trPr>
        <w:tc>
          <w:tcPr>
            <w:tcW w:w="400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9,584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(5,783)</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3,269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(3,532)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3,322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10,835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12700</wp:posOffset>
            </wp:positionV>
            <wp:extent cx="4707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-130175</wp:posOffset>
            </wp:positionV>
            <wp:extent cx="4707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93" w:lineRule="exact"/>
        <w:rPr>
          <w:sz w:val="20"/>
          <w:szCs w:val="20"/>
          <w:color w:val="auto"/>
        </w:rPr>
      </w:pPr>
    </w:p>
    <w:p>
      <w:pPr>
        <w:ind w:left="500" w:hanging="492"/>
        <w:spacing w:after="0" w:line="257" w:lineRule="auto"/>
        <w:tabs>
          <w:tab w:leader="none" w:pos="154" w:val="left"/>
        </w:tabs>
        <w:numPr>
          <w:ilvl w:val="0"/>
          <w:numId w:val="34"/>
        </w:numPr>
        <w:rPr>
          <w:rFonts w:ascii="Arial" w:cs="Arial" w:eastAsia="Arial" w:hAnsi="Arial"/>
          <w:sz w:val="9"/>
          <w:szCs w:val="9"/>
          <w:color w:val="auto"/>
        </w:rPr>
      </w:pPr>
      <w:r>
        <w:rPr>
          <w:rFonts w:ascii="Arial" w:cs="Arial" w:eastAsia="Arial" w:hAnsi="Arial"/>
          <w:sz w:val="14"/>
          <w:szCs w:val="14"/>
          <w:color w:val="auto"/>
        </w:rPr>
        <w:t>The Company’s pro-rata share of Adjusted EBITDA from unconsolidated entities includes the following items for the three months ended September 30, 2016 and 2015: (i) net income (loss) of $(1,208) and $(9,635), (ii) interest expense of $270 and $474, (iii) depreciation and amortization expense of $651 and $299, and (iv) asset impairment charges of $0 and $10,508, respectively.</w:t>
      </w:r>
    </w:p>
    <w:p>
      <w:pPr>
        <w:spacing w:after="0" w:line="77" w:lineRule="exact"/>
        <w:rPr>
          <w:sz w:val="20"/>
          <w:szCs w:val="20"/>
          <w:color w:val="auto"/>
        </w:rPr>
      </w:pPr>
    </w:p>
    <w:p>
      <w:pPr>
        <w:jc w:val="both"/>
        <w:ind w:left="500" w:hanging="323"/>
        <w:spacing w:after="0" w:line="257" w:lineRule="auto"/>
        <w:rPr>
          <w:sz w:val="20"/>
          <w:szCs w:val="20"/>
          <w:color w:val="auto"/>
        </w:rPr>
      </w:pPr>
      <w:r>
        <w:rPr>
          <w:rFonts w:ascii="Arial" w:cs="Arial" w:eastAsia="Arial" w:hAnsi="Arial"/>
          <w:sz w:val="14"/>
          <w:szCs w:val="14"/>
          <w:color w:val="auto"/>
        </w:rPr>
        <w:t>The Company’s pro-rata share of Adjusted EBITDA from unconsolidated entities includes the following items for the nine months ended September 30, 2016 and 2015: (i) net income (loss) of $(1,475) and $(7,278), (ii) interest expense of $931 and $1,422, (iii) depreciation and amortization expense of $2,417 and $910, and (iv) asset impairment charges of $0 and $10,508,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20" w:firstLine="446"/>
        <w:spacing w:after="0" w:line="259" w:lineRule="auto"/>
        <w:rPr>
          <w:sz w:val="20"/>
          <w:szCs w:val="20"/>
          <w:color w:val="auto"/>
        </w:rPr>
      </w:pPr>
      <w:r>
        <w:rPr>
          <w:rFonts w:ascii="Arial" w:cs="Arial" w:eastAsia="Arial" w:hAnsi="Arial"/>
          <w:sz w:val="18"/>
          <w:szCs w:val="18"/>
          <w:color w:val="auto"/>
        </w:rPr>
        <w:t>Total revenues in the Shipping Containers segment decreased by $1,726 and $4,384 in the three and nine months ended September 30, 2016 as compared to the three and nine months ended September 30, 2015, respectively. The decrease is primarily driven by the sale of 42,000 shipping containers that were subject to direct finance leases during the first quarter of 2016 and lower finance lease income as a result of the amortization of the underlying principal balances.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Total expenses in the Shipping Containers segment decreased by $718 and $1,703 in the three and nine months ended September 30, 2016 as compared to the three and nine months ended September 30, 2015, respectively. This was driven by a decrease in interest expense of $591 and $1,448 in the three and nine months ended September 30, 2016, as compared to the three and nine months ended September 30, 2015, respectively, due to lower principal balances on the term loans, along with the termination of the term loan in conjunction with the sale of the shipping containers. Additionally, the sale of the 42,000 shipping containers resulted in a decrease in operating expense of $127 and $255 in the three and nine months ended September 30, 2016,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Total other expense in the Shipping Containers segment decreased $8,428 and $6,099 in the three and nine months ended September 30, 2016 as compared to the three and nine months ended September 30, 2015, respectively. This was primarily due to a decrease in losses of unconsolidated entities from our shipping container joint venture of $8,423 and $5,783 in the three and nine months ended September 30, 2016, as compared to the three and nine months ended September 30, 2015, respectively, due to an impairment recognized by the shipping container joint venture in September 2015. Offsetting this decrease was a gain on sale of direct finance leases of $304 from the sale of 42,000 shipping containers during the first quarter of 2016.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7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Adjusted Net (Loss) Income</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Adjusted Net Income decreased by $3,139 and $7,210 in the three and nine months ended September 30, 2016 as compared to the three and nine months ended September 30, 2015, respectively, primarily due to decrease in finance lease income driven by the sale of 42,000 shipping containers during the first quarter of 2016 and lower pro-rata share of Adjusted Net Loss from unconsolidated entities due to the impairment recognized by the shipping container joint venture in September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Adjusted EBITDA was $(263) and $3,322 in the three and nine months ended September 30, 2016, decreasing by $3,532 and $7,513 in the three and nine months ended September 30, 2016 as compared to the three and nine months ended September 30, 2015, respectively, due to the decrease in finance lease income driven by the sale of 42,000 shipping containers during the first quarter of 2016 and lower pro-rata share of Adjusted EBITDA from unconsolidated entities due to the impairment recognized by the shipping container joint venture in September 2015.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7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Jefferson Terminal Segment</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shareholders to Adjusted Net Loss for the Jefferson Terminal segment for the three and nine months ended September 30, 2016 and September 30,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6"/>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71"/>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(3,850)</w:t>
            </w:r>
          </w:p>
        </w:tc>
      </w:tr>
      <w:tr>
        <w:trPr>
          <w:trHeight w:val="237"/>
        </w:trPr>
        <w:tc>
          <w:tcPr>
            <w:tcW w:w="4000" w:type="dxa"/>
            <w:vAlign w:val="bottom"/>
          </w:tcPr>
          <w:p>
            <w:pPr>
              <w:ind w:left="80"/>
              <w:spacing w:after="0"/>
              <w:rPr>
                <w:sz w:val="20"/>
                <w:szCs w:val="20"/>
                <w:color w:val="auto"/>
              </w:rPr>
            </w:pPr>
            <w:r>
              <w:rPr>
                <w:rFonts w:ascii="Arial" w:cs="Arial" w:eastAsia="Arial" w:hAnsi="Arial"/>
                <w:sz w:val="16"/>
                <w:szCs w:val="16"/>
                <w:color w:val="auto"/>
              </w:rPr>
              <w:t>Terminal services revenues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3,202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11,271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10,401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870</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4,232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(2,980)</w:t>
            </w:r>
          </w:p>
        </w:tc>
      </w:tr>
      <w:tr>
        <w:trPr>
          <w:trHeight w:val="291"/>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8,599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16,182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24,773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(8,591)</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3,469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11,589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10,238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1,351</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2,710</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14,841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15,056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39,975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44,105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(4,130)</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Interest income (expense)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other income (expense)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(1,028)</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(29,751)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120</w:t>
            </w: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rPr>
              <w:t>Less: Net loss attributable to non-controlling interest in</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consolidated subsidiaries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(5,684)</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228</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Non-controlling share of Adjusted Net Loss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1,868</w:t>
            </w: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(5,719)</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(2,777)</w:t>
            </w:r>
          </w:p>
        </w:tc>
      </w:tr>
      <w:tr>
        <w:trPr>
          <w:trHeight w:val="20"/>
        </w:trPr>
        <w:tc>
          <w:tcPr>
            <w:tcW w:w="4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2" w:lineRule="exact"/>
        <w:rPr>
          <w:sz w:val="20"/>
          <w:szCs w:val="20"/>
          <w:color w:val="auto"/>
        </w:rPr>
      </w:pPr>
    </w:p>
    <w:p>
      <w:pPr>
        <w:ind w:left="500" w:hanging="492"/>
        <w:spacing w:after="0" w:line="255" w:lineRule="auto"/>
        <w:tabs>
          <w:tab w:leader="none" w:pos="141" w:val="left"/>
        </w:tabs>
        <w:numPr>
          <w:ilvl w:val="0"/>
          <w:numId w:val="35"/>
        </w:numPr>
        <w:rPr>
          <w:rFonts w:ascii="Arial" w:cs="Arial" w:eastAsia="Arial" w:hAnsi="Arial"/>
          <w:sz w:val="9"/>
          <w:szCs w:val="9"/>
          <w:color w:val="auto"/>
        </w:rPr>
      </w:pPr>
      <w:r>
        <w:rPr>
          <w:rFonts w:ascii="Arial" w:cs="Arial" w:eastAsia="Arial" w:hAnsi="Arial"/>
          <w:sz w:val="14"/>
          <w:szCs w:val="14"/>
          <w:color w:val="auto"/>
        </w:rPr>
        <w:t>Non-controlling share of Adjusted Net Income (Loss) is comprised of the following for the three months ended September 30, 2016 and 2015: (i) equity-based compensation of $0 and $357, (ii) provision for income tax of $8 and $1, and (iii) acquisition and transaction expenses of $156 and $0 less (iv) cash tax payments of $0 and $(1), respectively.</w:t>
      </w:r>
    </w:p>
    <w:p>
      <w:pPr>
        <w:sectPr>
          <w:pgSz w:w="11900" w:h="16838" w:orient="portrait"/>
          <w:cols w:equalWidth="0" w:num="1">
            <w:col w:w="11420"/>
          </w:cols>
          <w:pgMar w:left="240" w:top="688"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688"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3"/>
          <w:szCs w:val="13"/>
          <w:color w:val="auto"/>
        </w:rPr>
        <w:t>Non-controlling share of Adjusted Net Income (Loss) is comprised of the following for the nine months ended September 30, 2016 and 2015: (i) equity-based compensation of $(1,627) and $1,064,</w:t>
      </w:r>
    </w:p>
    <w:p>
      <w:pPr>
        <w:spacing w:after="0" w:line="25" w:lineRule="exact"/>
        <w:rPr>
          <w:sz w:val="20"/>
          <w:szCs w:val="20"/>
          <w:color w:val="auto"/>
        </w:rPr>
      </w:pPr>
    </w:p>
    <w:p>
      <w:pPr>
        <w:ind w:left="500" w:hanging="6"/>
        <w:spacing w:after="0" w:line="255" w:lineRule="auto"/>
        <w:tabs>
          <w:tab w:leader="none" w:pos="714"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provision for income tax of $22 and $21, (iii) acquisition and transaction expenses of $156 and $0, and (iv) loss on extinguishment of debt of $616 and $0 less (v) cash tax payments of $20 and $70, respectively.</w:t>
      </w:r>
    </w:p>
    <w:p>
      <w:pPr>
        <w:spacing w:after="0" w:line="8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for the Jefferson Terminal segment for the three and nine months ended September 30, 2016 and September 30,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(5,684)</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2,988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11,804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9,094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2,710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(779)</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(1,827)</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1,048</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(3,946)</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(3,773)</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(173)</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jc w:val="right"/>
        <w:ind w:left="500" w:hanging="492"/>
        <w:spacing w:after="0" w:line="260" w:lineRule="auto"/>
        <w:tabs>
          <w:tab w:leader="none" w:pos="154" w:val="left"/>
        </w:tabs>
        <w:numPr>
          <w:ilvl w:val="0"/>
          <w:numId w:val="37"/>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the following items for the three months ended September 30, 2016 and 2015: (i) equity-based compensation of $0 and $357, (ii) provision for income taxes of $8 and $1, (iii) interest expense of $1,466 and $1,150, (iv) acquisition and transaction expenses of $156 and $0, and (v) depreciation and amortization expense</w:t>
      </w:r>
    </w:p>
    <w:p>
      <w:pPr>
        <w:ind w:left="500"/>
        <w:spacing w:after="0"/>
        <w:rPr>
          <w:sz w:val="20"/>
          <w:szCs w:val="20"/>
          <w:color w:val="auto"/>
        </w:rPr>
      </w:pPr>
      <w:r>
        <w:rPr>
          <w:rFonts w:ascii="Arial" w:cs="Arial" w:eastAsia="Arial" w:hAnsi="Arial"/>
          <w:sz w:val="14"/>
          <w:szCs w:val="14"/>
          <w:color w:val="auto"/>
        </w:rPr>
        <w:t>of $1,530 and $1,370, respectively.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Non-controlling share of Adjusted EBITDA is comprised of the following items for the nine months ended September 30, 2016 and 2015: (i) equity-based compensation of $(1,627) and $1,064,</w:t>
      </w:r>
    </w:p>
    <w:p>
      <w:pPr>
        <w:spacing w:after="0" w:line="13" w:lineRule="exact"/>
        <w:rPr>
          <w:sz w:val="20"/>
          <w:szCs w:val="20"/>
          <w:color w:val="auto"/>
        </w:rPr>
      </w:pPr>
    </w:p>
    <w:p>
      <w:pPr>
        <w:ind w:left="500" w:hanging="6"/>
        <w:spacing w:after="0" w:line="255" w:lineRule="auto"/>
        <w:tabs>
          <w:tab w:leader="none" w:pos="719"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provision for income taxes of $22 and $21, (iii) interest expense of $4,353 and $3,525, (iv) loss on extinguishment of debt of $616 and $0, (v) acquisition and transaction expenses of $156 and $0, and (vi) depreciation and amortization expense of $4,523 and $4,072,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Total revenues in the Jefferson Terminal segment increased by $23 and decreased by $2,980 in the three and nine months ended September 30, 2016 as compared to the three and nine months ended September 30, 2015, respectively. The decreases were primarily due to a decrease in lease income as rail cars were off-lease during the three and nine months ended September 30, 2016. Terminal services revenue increased by $1,053 and $870 in the three and nine months ended September 30, 2016, respectively, due to higher tank lease revenue due to new lease contracts and the realization of deferred revenue during the third quarter of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Total expenses in the Jefferson Terminal segment decreased by $215 and $4,130 in the three and nine months ended September 30, 2016, respectively, as compared to the three and nine months ended September 30, 2015, respectively.</w:t>
      </w:r>
    </w:p>
    <w:p>
      <w:pPr>
        <w:spacing w:after="0" w:line="6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For the three months ended September 30, 2016, expenses decreased $215 compared to the three months ended September 30, 2015 primarily due to a decrease of $1,803 in operating expenses driven by a (i) lower equity-based compensation expense of $903, (ii) a decrease in professional fees of $443, (iii) a decrease in lease expense of $240 and (iv) a decrease in facility operations expense of $850 primarily due to lower volume, offset by an increase property tax expense of $707 due to additional property, plant and equipment placed into service. Additionally, the decrease in operating expenses was offset by an increase of $109 in acquisition and transaction costs, $451 of depreciation and amortization due to property, plant and equipment placed into service and $1,028 of interest expense driven by the Series 2016 bonds issued in March 2016.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58" w:name="page59"/>
    <w:bookmarkEnd w:id="58"/>
    <w:p>
      <w:pPr>
        <w:jc w:val="both"/>
        <w:ind w:firstLine="486"/>
        <w:spacing w:after="0" w:line="255" w:lineRule="auto"/>
        <w:rPr>
          <w:sz w:val="20"/>
          <w:szCs w:val="20"/>
          <w:color w:val="auto"/>
        </w:rPr>
      </w:pPr>
      <w:r>
        <w:rPr>
          <w:rFonts w:ascii="Arial" w:cs="Arial" w:eastAsia="Arial" w:hAnsi="Arial"/>
          <w:sz w:val="18"/>
          <w:szCs w:val="18"/>
          <w:color w:val="auto"/>
        </w:rPr>
        <w:t>For the nine months ended September 30, 2016, expenses decreased $4,130 compared to the nine months ended September 30, 2015 primarily due to a decrease of $8,591 in operating expenses, driven by lower equity-based compensation expense of $6,844, a decrease of $3,260 in facility operations expense primarily due to lower volume, $1,052 in professional fees and $168 in lease expense. The above decreases were offset by an increase in environmental cleanup costs of $1,457, property tax expense of $900 due to additional property, plant and equipment placed into service and maintenance expense of $927 due to repair on certain assets. The decrease in operating expenses was offset by an increase of $400 in acquisition and transaction costs, $1,351 of depreciation and amortization expense due to property, plant and equipment placed into service and $2,710 of interest expense driven by the 2016 bonds issued in March 2016.</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Adjusted Net Loss was $5,719 and $18,495 in the three and nine months ended September 30, 2016, respectively, decreasing by $43 and increasing $2,777 as compared to the three and nine months ended September 30, 2015, respectively. In addition to the changes in net loss attributable to shareholders noted above, the change in each respective period was driven by the decrease in equity-based compensation of $903 and $6,843 in the three and nine months ended September 30, 2016 as compared to the three and nine months ended September 30, 2015, respectively. This was offset by acquisition and transaction expenses incurred related to the creation of a joint venture during 2016, lower non-controlling share of adjusted net income and a loss on extinguishment of debt in comparison to the prior year periods.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Adjusted EBITDA was $(779) and $(3,946) in the three and nine months ended September 30, 2016, increasing by $1,048 and decreasing $173 as compared to the three and nine months ended September 30, 2015, respectively.</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For the three months ended September 30, 2016, adjusted EBITDA increased by $1,048 as compared to the three months ended September 30, 2015. In addition to the changes in net loss attributable to shareholders noted above, Adjusted EBITDA was impacted by a decrease in equity-based compensation of $903, offset by acquisition and transaction expenses incurred related to the creation of a joint venture during 2016, increases in depreciation and amortization expense, and increases in interest expense driven by the Series 2016 bonds issued in March 2016.</w:t>
      </w:r>
    </w:p>
    <w:p>
      <w:pPr>
        <w:spacing w:after="0" w:line="6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For the nine months ended September 30, 2016, adjusted EBITDA decreased by $173 as compared to the nine months ended September 30, 2015. In addition to the changes in net loss attributable to shareholders noted above, Adjusted EBITDA was impacted by a decrease in equity-based compensation of $6,843, offset by the increase in a loss on extinguishment of debt, depreciation and amortization, interest expense, and non-controlling share of Adjusted Net Income for the nine months ended September 30, 2016 as compared to the nine months ended September 30, 2015.</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7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Railroad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results of operations and reconciliation of net (loss) income attributable to shareholders to Adjusted Net Loss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Railroad segment for the three and nine months ended September 30, 2016 and September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Rail revenues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7,401</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4,619</w:t>
            </w: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7,401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6,641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23,107</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18,488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4,619</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7,107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7,831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23,011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23,349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(338)</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207</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5,164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5,164</w:t>
            </w: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interest in consolidated subsidiaries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4,987</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 (Loss)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1,226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4,358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17" w:lineRule="exact"/>
        <w:rPr>
          <w:sz w:val="20"/>
          <w:szCs w:val="20"/>
          <w:color w:val="auto"/>
        </w:rPr>
      </w:pPr>
    </w:p>
    <w:p>
      <w:pPr>
        <w:ind w:left="500" w:right="20" w:hanging="492"/>
        <w:spacing w:after="0" w:line="241" w:lineRule="auto"/>
        <w:tabs>
          <w:tab w:leader="none" w:pos="141" w:val="left"/>
        </w:tabs>
        <w:numPr>
          <w:ilvl w:val="0"/>
          <w:numId w:val="39"/>
        </w:numPr>
        <w:rPr>
          <w:rFonts w:ascii="Arial" w:cs="Arial" w:eastAsia="Arial" w:hAnsi="Arial"/>
          <w:sz w:val="9"/>
          <w:szCs w:val="9"/>
          <w:color w:val="auto"/>
        </w:rPr>
      </w:pPr>
      <w:r>
        <w:rPr>
          <w:rFonts w:ascii="Arial" w:cs="Arial" w:eastAsia="Arial" w:hAnsi="Arial"/>
          <w:sz w:val="14"/>
          <w:szCs w:val="14"/>
          <w:color w:val="auto"/>
        </w:rPr>
        <w:t>Non-controlling share of Adjusted Net Income (Loss) is comprised of equity-based compensation of $6 and $11, respectively, for the three months ended September 30, 2016 and September 30, 2015.</w:t>
      </w:r>
    </w:p>
    <w:p>
      <w:pPr>
        <w:spacing w:after="0" w:line="1" w:lineRule="exact"/>
        <w:rPr>
          <w:sz w:val="20"/>
          <w:szCs w:val="20"/>
          <w:color w:val="auto"/>
        </w:rPr>
      </w:pPr>
    </w:p>
    <w:p>
      <w:pPr>
        <w:ind w:left="500" w:hanging="485"/>
        <w:spacing w:after="0" w:line="255" w:lineRule="auto"/>
        <w:rPr>
          <w:sz w:val="20"/>
          <w:szCs w:val="20"/>
          <w:color w:val="auto"/>
        </w:rPr>
      </w:pPr>
      <w:r>
        <w:rPr>
          <w:rFonts w:ascii="Arial" w:cs="Arial" w:eastAsia="Arial" w:hAnsi="Arial"/>
          <w:sz w:val="14"/>
          <w:szCs w:val="14"/>
          <w:color w:val="auto"/>
        </w:rPr>
        <w:t>Non-controlling share of Adjusted Net Income (Loss) is comprised of equity-based compensation of $19 and $35, respectively, for the nine months ended September 30, 2016 and September 30, 2015.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4" w:right="239" w:bottom="1440" w:gutter="0" w:footer="0" w:header="0"/>
        </w:sectPr>
      </w:pPr>
    </w:p>
    <w:bookmarkStart w:id="60" w:name="page61"/>
    <w:bookmarkEnd w:id="60"/>
    <w:p>
      <w:pPr>
        <w:ind w:right="260" w:firstLine="446"/>
        <w:spacing w:after="0" w:line="277" w:lineRule="auto"/>
        <w:rPr>
          <w:sz w:val="20"/>
          <w:szCs w:val="20"/>
          <w:color w:val="auto"/>
        </w:rPr>
      </w:pPr>
      <w:r>
        <w:rPr>
          <w:rFonts w:ascii="Arial" w:cs="Arial" w:eastAsia="Arial" w:hAnsi="Arial"/>
          <w:sz w:val="18"/>
          <w:szCs w:val="18"/>
          <w:color w:val="auto"/>
        </w:rPr>
        <w:t>The following table sets forth a reconciliation of net (loss) income attributable to shareholders to Adjusted EBITDA for the Railroad segment for the three and nine months ended September 30, 2016 and September 30,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320</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4,987</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7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7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7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7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7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411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7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89"/>
              </w:rPr>
              <w:t>182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7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(1)</w:t>
            </w:r>
          </w:p>
        </w:tc>
        <w:tc>
          <w:tcPr>
            <w:tcW w:w="7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882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1,184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4,491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500" w:hanging="492"/>
        <w:spacing w:after="0" w:line="241" w:lineRule="auto"/>
        <w:tabs>
          <w:tab w:leader="none" w:pos="168" w:val="left"/>
        </w:tabs>
        <w:numPr>
          <w:ilvl w:val="0"/>
          <w:numId w:val="40"/>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three months ended September 30, 2016 and 2015: (i) equity-based compensation of $6 and $11, (ii) interest expense of $15 and $6, and (iii) depreciation and amortization expense of $38 and $23, respectively.</w:t>
      </w:r>
    </w:p>
    <w:p>
      <w:pPr>
        <w:spacing w:after="0" w:line="1" w:lineRule="exact"/>
        <w:rPr>
          <w:sz w:val="20"/>
          <w:szCs w:val="20"/>
          <w:color w:val="auto"/>
        </w:rPr>
      </w:pPr>
    </w:p>
    <w:p>
      <w:pPr>
        <w:ind w:left="500" w:right="20" w:hanging="323"/>
        <w:spacing w:after="0" w:line="255" w:lineRule="auto"/>
        <w:rPr>
          <w:sz w:val="20"/>
          <w:szCs w:val="20"/>
          <w:color w:val="auto"/>
        </w:rPr>
      </w:pPr>
      <w:r>
        <w:rPr>
          <w:rFonts w:ascii="Arial" w:cs="Arial" w:eastAsia="Arial" w:hAnsi="Arial"/>
          <w:sz w:val="14"/>
          <w:szCs w:val="14"/>
          <w:color w:val="auto"/>
        </w:rPr>
        <w:t>Non-controlling share of Adjusted EBITDA is comprised of the following items for the nine months ended September 30, 2016 and 2015: (i) equity-based compensation of $19 and $35, (ii) interest expense of $29 and $15, and (iii) depreciation and amortization expense of $80 and $50,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Total revenues in the Railroad segment increased by $760 and $4,619, in the three and nine months ended September 30, 2016, respectively, due to higher traffic and expanded service offerings to customers. The increase primarily consists of (i) $648 and $3,053 in freight transportation revenue and (ii) $213 and $817 in car hire income in the three and nine months ended September 30, 2016, as compared to the three and nine months ended September 30, 2015, respectively. Additionally, switching and other rail service revenue decreased by $101 in the three ended September 30, 2016 as compared to the three months ended September 30, 2015, and increased by $749 in the nine months ended September 30, 2016 as compared to the same period in 2015.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Total expenses in the Railroad segment decreased by $724 and $338 in the three and nine months ended September 30, 2016, as compared to the three and nine months ended September 30, 2015, respectively.</w:t>
      </w:r>
    </w:p>
    <w:p>
      <w:pPr>
        <w:spacing w:after="0" w:line="6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three month decrease of $724 primarily consists of $706 in operating expense, $57 in depreciation expense related to property, plant and equipment, offset by an increase in interest expense by $39 related to borrowings under the CMQR Credit Agreement used to finance construction and improvements to the railroad. The decrease in operating expenses was driven by decreases in (i) professional fees of $229, (ii) environmental expenses of $113, and (iii) facility operations due to the realization of tax credits of $504, offset by increases in other operating expenses of $140 in the three months ended September 30, 2016 as compared to the three months ended September 30, 2015.</w:t>
      </w:r>
    </w:p>
    <w:p>
      <w:pPr>
        <w:spacing w:after="0" w:line="80"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The nine month decrease of $338 primarily consists of $515 in operating expense, offset by an increase of $75 in depreciation expense related to property, plant and equipment, and interest expense by $102 related to borrowings under the CMQR Credit Agreement used to finance construction and improvements to the railroad. The decrease in operating expenses was driven by decreases in (i) professional fees of $641, (ii) bad debt expenses of $117, and</w:t>
      </w:r>
    </w:p>
    <w:p>
      <w:pPr>
        <w:ind w:right="20" w:firstLine="8"/>
        <w:spacing w:after="0" w:line="261"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insurance expense of $189 offset by an increase in compensation and benefits of $301, and other operating expenses of $131 in the nine months ended September 30, 2016 as compared to the nine months ended September 30,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7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Adjusted Net Income increased by $1,226 and $4,358 in the three and nine months ended September 30, 2016, as compared to the three and nine months ended September 30, 2015, respectively. In addition to the changes in net income (loss) attributable to shareholders noted above, Adjusted Net Loss was impacted by lower equity-based compensation expense of $163 and $645 in the three and nine months ended September 30, 2016 as compared to the three and nine months ended September 30, 2015,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Adjusted EBITDA was $882 and $2,600 in the three and nine months ended September 30, 2016, increasing by $1,184 and $4,491 as compared to the three and nine months ended September 30, 2015, respectively. In addition to the changes in net income (loss) attributable to shareholders noted above, Adjusted EBITDA was also impacted primarily by lower equity-based compensation expense of $163 and $645 and increase in interest expense of $39 and $102, in the three and nine months ended September 30, 2016 as compared to the three and nine months ended September 30, 2015,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76"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shareholders to Adjusted Net Loss for Corporate for the three and nine months ended September 30, 2016 and September 30,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3,205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9,154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4,905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4,249</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4,146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4,606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12,725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10,505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2,220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9,631</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9,380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26,808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19,582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7,226</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(9,615)</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(7,214)</w:t>
            </w: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w w:val="96"/>
              </w:rPr>
              <w:t>Less: Net income attributable to non-controlling interest in</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consolidated subsidiaries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(9,547)</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(26,720)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(7,140)</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4,222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4,172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(7,964)</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(22,496)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(7,114)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72"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Corporate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September 30, 2015: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(9,547)</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(26,720)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(7,140)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4,222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4,172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284</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EBITDA</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(7,708)</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(7,168)</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(540)</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(22,236)</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(15,382)</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(6,854)</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three months ended September 30, 2016 and 2015: (i) interest expense of $28 and $0.</w:t>
      </w:r>
    </w:p>
    <w:p>
      <w:pPr>
        <w:spacing w:after="0" w:line="1" w:lineRule="exact"/>
        <w:rPr>
          <w:rFonts w:ascii="Arial" w:cs="Arial" w:eastAsia="Arial" w:hAnsi="Arial"/>
          <w:sz w:val="9"/>
          <w:szCs w:val="9"/>
          <w:color w:val="auto"/>
        </w:rPr>
      </w:pPr>
    </w:p>
    <w:p>
      <w:pPr>
        <w:ind w:left="180"/>
        <w:spacing w:after="0"/>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nine months ended September 30, 2016 and 2015: (i) interest expense of $28 and $0.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For the three months ended September 30, 2016, we had $16 of lease income as a result of an in-place lease agreement acquired with the purchase of Repauno.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Total expenses increased by $251 and $7,226 in the three and nine months ended September 30, 2016 as compared to the three and nine months ended September 30, 2015, respectively.</w:t>
      </w:r>
    </w:p>
    <w:p>
      <w:pPr>
        <w:spacing w:after="0" w:line="62"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For the three months ended September 30, 2016, the increase primarily consists of higher: (i) operating expenses of $417 due to compensation and benefits, and property taxes incurred in connection with the purchase of Repauno, (ii) general and administrative expenses of $637, including $283 of reimbursement expenses to our manager and $343 of professional fees, and (iii) interest expense of $284 related to the payment obligation to the non-controlling interest as part of the Repauno purchase as compared to the three months ended September 30, 2015. The increase in expenses was offset by a decrease in management fees of $460 as a result of our lower average equity and a decrease in acquisition and transaction expenses for abandoned transaction opportunities of $627, as compared to the three months ended September 30, 2015.</w:t>
      </w:r>
    </w:p>
    <w:p>
      <w:pPr>
        <w:spacing w:after="0" w:line="70"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For the nine months ended September 30, 2016, the increase primarily consists of higher (i) general and administrative expenses of $4,249, including $3,041 of reimbursement expenses to our manager, $776 of general corporate costs required for a stand-alone public company including insurance and $172 of director fees, (ii) management fees of $2,220 attributable to new agreements put in place subsequent to our IPO, (iii) operating expenses of $423 due to compensation and benefits, and property taxes incurred in connection with the purchase of Repauno, and (iv) interest expense of $284 related to the payment obligation to the non-controlling interest as part of the Repauno purchase.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76"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Adjusted Net Loss was $7,964 and $22,496 in the three and nine months ended September 30, 2016, increasing by $796 and $7,114, as compared to the three and nine months ended September 30, 2015, respectively. In addition to the changes in net loss attributable to shareholders noted above, Adjusted Net Loss adjusted by acquisition and transaction expenses, incurred for potential acquisition opportunities, which were lower for the three months ended September 30, 2016 and higher for the nine months ended September 30, 2016, as compared to three and nine months ended September 30, 2015,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Adjusted EBITDA was $(7,708) and $(22,236) in the three and nine months ended September 30, 2016, decreasing by $540 and $6,854 as compared to the three and nine months ended September 30, 2015, respectively. In addition to the changes in net loss attributable to shareholders noted above, Adjusted EBITDA was affected by acquisition and transaction expenses, incurred for potential acquisition opportunities, which were lower for the three months ended September 30, 2016 and higher for the nine months ended September 30, 2016, as compared to three and nine months ended September 30, 2015, respectively. Additionally, we incurred interest expense of $284 in the three and nine months ended September 30, 2016, as compared to three and nine months ended September 30, 2015, as a result of interest expense related to the obligation payable to the non-controlling interest as part of the Repauno purchase.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 and Affiliated Entities</w:t>
      </w:r>
    </w:p>
    <w:p>
      <w:pPr>
        <w:spacing w:after="0" w:line="12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are managed by FIG LLC (the “Manager”), an affiliate of Fortress, pursuant to a management agreement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13 to our consolidated financial statements included elsewhere in this filing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November 1, 2016, the Company’s Board of Directors declared a cash dividend on its common stock of $0.33 per share for the quarter ended September 30, 2016, payable on November 30, 2016 to the holders of record on November 18,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principal uses of liquidity have been (i) acquisitions of transportation infrastructure and equipment, (ii) distributions to our shareholders,</w:t>
      </w:r>
    </w:p>
    <w:p>
      <w:pPr>
        <w:spacing w:after="0" w:line="35" w:lineRule="exact"/>
        <w:rPr>
          <w:sz w:val="20"/>
          <w:szCs w:val="20"/>
          <w:color w:val="auto"/>
        </w:rPr>
      </w:pPr>
    </w:p>
    <w:p>
      <w:pPr>
        <w:ind w:firstLine="8"/>
        <w:spacing w:after="0" w:line="261"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associated with our operating activities and (iv) debt service obligations associated with our investments (all dollar amounts are expressed in thousands).</w:t>
      </w:r>
    </w:p>
    <w:p>
      <w:pPr>
        <w:spacing w:after="0" w:line="75" w:lineRule="exact"/>
        <w:rPr>
          <w:rFonts w:ascii="Arial" w:cs="Arial" w:eastAsia="Arial" w:hAnsi="Arial"/>
          <w:sz w:val="18"/>
          <w:szCs w:val="18"/>
          <w:color w:val="auto"/>
        </w:rPr>
      </w:pPr>
    </w:p>
    <w:p>
      <w:pPr>
        <w:ind w:left="880" w:right="20" w:hanging="318"/>
        <w:spacing w:after="0" w:line="277" w:lineRule="auto"/>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the nine months ended September 30, 2016 and 2015, cash used for the purpose of making investments was $177,323 and $238,213, respectively.</w:t>
      </w:r>
    </w:p>
    <w:p>
      <w:pPr>
        <w:spacing w:after="0" w:line="62" w:lineRule="exact"/>
        <w:rPr>
          <w:rFonts w:ascii="Arial" w:cs="Arial" w:eastAsia="Arial" w:hAnsi="Arial"/>
          <w:sz w:val="18"/>
          <w:szCs w:val="18"/>
          <w:color w:val="auto"/>
        </w:rPr>
      </w:pPr>
    </w:p>
    <w:p>
      <w:pPr>
        <w:ind w:left="880" w:right="20" w:hanging="318"/>
        <w:spacing w:after="0" w:line="277" w:lineRule="auto"/>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nine months ended September 30, 2016 and 2015, distributions to shareholders, including cash dividends were $75,017 and $56,275, respectively, and distributions to non-controlling interest were $0 and $309, respectively.</w:t>
      </w:r>
    </w:p>
    <w:p>
      <w:pPr>
        <w:spacing w:after="0" w:line="62" w:lineRule="exact"/>
        <w:rPr>
          <w:rFonts w:ascii="Arial" w:cs="Arial" w:eastAsia="Arial" w:hAnsi="Arial"/>
          <w:sz w:val="18"/>
          <w:szCs w:val="18"/>
          <w:color w:val="auto"/>
        </w:rPr>
      </w:pPr>
    </w:p>
    <w:p>
      <w:pPr>
        <w:ind w:left="880" w:right="20" w:hanging="318"/>
        <w:spacing w:after="0" w:line="277" w:lineRule="auto"/>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62"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Our principal sources of liquidity to fund these uses have been (i) revenues from our transportation infrastructure and equipment assets (including finance lease collections and maintenance reserve collections) net of operating expenses, (ii) borrowings, (iii) distributions received from unconsolidated investees, (iv) capital contributions from our shareholders, (v) proceeds from asset sales and (vi) proceeds from the issuance of common shares.</w:t>
      </w:r>
    </w:p>
    <w:p>
      <w:pPr>
        <w:spacing w:after="0" w:line="57" w:lineRule="exact"/>
        <w:rPr>
          <w:sz w:val="20"/>
          <w:szCs w:val="20"/>
          <w:color w:val="auto"/>
        </w:rPr>
      </w:pPr>
    </w:p>
    <w:p>
      <w:pPr>
        <w:ind w:left="880" w:hanging="318"/>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nine months ended September 30, 2016 and 2015, cash flows from operating activities, plus the principal collections on finance leases and maintenance reserve collections were $28,874 and $51,409, respectively.</w:t>
      </w:r>
    </w:p>
    <w:p>
      <w:pPr>
        <w:spacing w:after="0" w:line="62" w:lineRule="exact"/>
        <w:rPr>
          <w:rFonts w:ascii="Arial" w:cs="Arial" w:eastAsia="Arial" w:hAnsi="Arial"/>
          <w:sz w:val="18"/>
          <w:szCs w:val="18"/>
          <w:color w:val="auto"/>
        </w:rPr>
      </w:pPr>
    </w:p>
    <w:p>
      <w:pPr>
        <w:jc w:val="both"/>
        <w:ind w:left="880" w:hanging="318"/>
        <w:spacing w:after="0" w:line="302"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the nine months ended September 30, 2016, additional borrowings were obtained in connection with the Series 2016 Bonds of $99,858 and the CMQR Credit Agreement of $10,800. We made total principal repayments of $157,603. primarily relating to the termination of the Jefferson Terminal Credit Agreement, Container Loan #1, and Container Loan #2. During nine months ended September 30, 2015, additional borrowings of $200 were obtained in connection with the CMQR Credit Agreement and we made total principal repayments of $19,764.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76" w:right="239" w:bottom="1440" w:gutter="0" w:footer="0" w:header="0"/>
        </w:sectPr>
      </w:pPr>
    </w:p>
    <w:bookmarkStart w:id="65" w:name="page66"/>
    <w:bookmarkEnd w:id="65"/>
    <w:p>
      <w:pPr>
        <w:ind w:left="880" w:hanging="318"/>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nine months ended September 30, 2016 and 2015, we received $462 and $3,081 in cash distributions from our unconsolidated investees, respectively, of which $30 and $160 was included in cash flows from operating activities, respectively.</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During the nine months ended September 30, 2016 and 2015, proceeds from the sale of assets were $87,030 and $9,253, respectively.</w:t>
      </w:r>
    </w:p>
    <w:p>
      <w:pPr>
        <w:spacing w:after="0" w:line="128" w:lineRule="exact"/>
        <w:rPr>
          <w:rFonts w:ascii="Arial" w:cs="Arial" w:eastAsia="Arial" w:hAnsi="Arial"/>
          <w:sz w:val="17"/>
          <w:szCs w:val="17"/>
          <w:color w:val="auto"/>
        </w:rPr>
      </w:pPr>
    </w:p>
    <w:p>
      <w:pPr>
        <w:ind w:left="880" w:hanging="318"/>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nine months ended September 30, 2016 and 2015, capital contributions from shareholders were $0 and $295,879, respectively, and capital contributions from non-controlling interests were $7,433 and $34,787, respectively.</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During the nine months ended September 30, 2015, proceeds from the issuance of common stock were $351,059, net of issuance costs of $2,998</w:t>
      </w:r>
    </w:p>
    <w:p>
      <w:pPr>
        <w:spacing w:after="0" w:line="140"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net cash provided by operating activities has been less than the amount of distributions to our shareholders. Our board of directors takes this and other factors into account as part of any decision to pay a dividend, and the timing and amount of any future dividend is subject to change at the discretion of our board of directors.</w:t>
      </w:r>
    </w:p>
    <w:p>
      <w:pPr>
        <w:spacing w:after="0" w:line="73"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Company is currently evaluating several potential Infrastructure and Equipment Leasing transactions, which could occur within the next 12 months. However, as of the date of this filing, none of these pipeline transactions or negotiations are definitive or included within the planned liquidity needs of the Company. We cannot assure you if or when any such transaction will be consummated or the terms of any such transaction.</w:t>
      </w:r>
    </w:p>
    <w:p>
      <w:pPr>
        <w:spacing w:after="0" w:line="5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May 3, 2016, the Company’s Board of Directors also authorized the repurchase of up to $50 million of the Company’s common shares over the next 12 months. Under the program, the Company may purchase its shares from time to time in the open market or in privately negotiated transactions. The amount and timing of the purchases will depend on a number of factors including the price and availability of the Company’s shares, trading volume, capital availability, Company performance and general economic and market conditions. The Company may also from time to time establish a trading plan under Rule 10b5-1 of the Securities Exchange Act of 1934 or effect one or more tender offers to facilitate purchases of its shares under this authorization. The share repurchase program may be suspended or discontinued at any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nine months ended September 30, 2016 and September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compares the historical cash flow for the nine months ended September 30, 2016 and September 30, 2015:</w:t>
      </w:r>
    </w:p>
    <w:p>
      <w:pPr>
        <w:spacing w:after="0" w:line="293" w:lineRule="exact"/>
        <w:rPr>
          <w:sz w:val="20"/>
          <w:szCs w:val="20"/>
          <w:color w:val="auto"/>
        </w:rPr>
      </w:pPr>
    </w:p>
    <w:p>
      <w:pPr>
        <w:jc w:val="center"/>
        <w:ind w:left="700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37465</wp:posOffset>
            </wp:positionV>
            <wp:extent cx="2804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80" w:lineRule="exact"/>
        <w:rPr>
          <w:sz w:val="20"/>
          <w:szCs w:val="20"/>
          <w:color w:val="auto"/>
        </w:rPr>
      </w:pPr>
    </w:p>
    <w:p>
      <w:pPr>
        <w:ind w:left="7400"/>
        <w:spacing w:after="0"/>
        <w:tabs>
          <w:tab w:leader="none" w:pos="9640" w:val="left"/>
        </w:tabs>
        <w:rPr>
          <w:sz w:val="20"/>
          <w:szCs w:val="20"/>
          <w:color w:val="auto"/>
        </w:rPr>
      </w:pPr>
      <w:r>
        <w:rPr>
          <w:rFonts w:ascii="Arial" w:cs="Arial" w:eastAsia="Arial" w:hAnsi="Arial"/>
          <w:sz w:val="16"/>
          <w:szCs w:val="16"/>
          <w:b w:val="1"/>
          <w:bCs w:val="1"/>
          <w:color w:val="auto"/>
        </w:rPr>
        <w:t>September 30, 2016</w:t>
      </w:r>
      <w:r>
        <w:rPr>
          <w:sz w:val="20"/>
          <w:szCs w:val="20"/>
          <w:color w:val="auto"/>
        </w:rPr>
        <w:tab/>
      </w: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37465</wp:posOffset>
            </wp:positionV>
            <wp:extent cx="2804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66"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ind w:left="40"/>
              <w:spacing w:after="0"/>
              <w:rPr>
                <w:sz w:val="20"/>
                <w:szCs w:val="20"/>
                <w:color w:val="auto"/>
              </w:rPr>
            </w:pPr>
            <w:r>
              <w:rPr>
                <w:rFonts w:ascii="Arial" w:cs="Arial" w:eastAsia="Arial" w:hAnsi="Arial"/>
                <w:sz w:val="16"/>
                <w:szCs w:val="16"/>
                <w:b w:val="1"/>
                <w:bCs w:val="1"/>
                <w:color w:val="auto"/>
              </w:rPr>
              <w:t>Cash Flow Data:</w:t>
            </w:r>
          </w:p>
        </w:tc>
        <w:tc>
          <w:tcPr>
            <w:tcW w:w="2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3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15,662</w:t>
            </w:r>
          </w:p>
        </w:tc>
        <w:tc>
          <w:tcPr>
            <w:tcW w:w="8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26,870</w:t>
            </w:r>
          </w:p>
        </w:tc>
      </w:tr>
      <w:tr>
        <w:trPr>
          <w:trHeight w:val="237"/>
        </w:trPr>
        <w:tc>
          <w:tcPr>
            <w:tcW w:w="536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3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(88,004)</w:t>
            </w:r>
          </w:p>
        </w:tc>
        <w:tc>
          <w:tcPr>
            <w:tcW w:w="84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(203,712)</w:t>
            </w:r>
          </w:p>
        </w:tc>
      </w:tr>
      <w:tr>
        <w:trPr>
          <w:trHeight w:val="33"/>
        </w:trPr>
        <w:tc>
          <w:tcPr>
            <w:tcW w:w="5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53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23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(111,487)</w:t>
            </w:r>
          </w:p>
        </w:tc>
        <w:tc>
          <w:tcPr>
            <w:tcW w:w="8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603,016</w:t>
            </w:r>
          </w:p>
        </w:tc>
      </w:tr>
      <w:tr>
        <w:trPr>
          <w:trHeight w:val="33"/>
        </w:trPr>
        <w:tc>
          <w:tcPr>
            <w:tcW w:w="53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Net cash provided by operating activities was $15,662 in the nine months ended September 30, 2016 as compared to $26,870 in the nine months ended September 30, 2015, representing an $11,208 decrease. Net loss of $34,779 in the nine months ended September 30, 2016, compared to a loss of $19,384 in the nine months ended September 30, 2015, a decrease of $15,395 was the primary driver of the decrease in net cash provided by operating activities for the period. The decrease was offset by non-cash adjustments to reconcile net income which include an increase of (i) $7,450 relating to an asset impairment, (ii) $10,419 relating to depreciation and amortization, and (iii) $1,579 loss on extinguishment of debt, offset by a decrease due to equity based compensation of $7,512, equity in losses from unconsolidated entities of $5,783 and gain on sale of equipment of $1,270 as compared to 2015.</w:t>
      </w:r>
    </w:p>
    <w:p>
      <w:pPr>
        <w:spacing w:after="0" w:line="57"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Net cash used in investing activities was $88,004 and $203,712 in the nine months ended September 30, 2016 and 2015, respectively, representing a $115,708 decrease. Cash used in investing activities decreased due to cash received for the sale of two finance leases, resulting in proceeds of $71,000, and cash proceeds received related to the sale of leasing equipment of $6,905, as well as decreases in cash paid for property, plant and equipment of $40,614, leasing equipment and related lease intangibles of $24,295 and the investment in the note receivable of $7,710 in the nine months ended September 30, 2016 as compared to the nine months ended September 30, 2015. Offsetting these decreases was an increase in cash used for purchase deposits of aircraft and aircraft engines of $9,975, an investment in an unconsolidated entity of $1,754, a decrease principal collections on finance leases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76" w:right="2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of $15,006, and a decrease in capital distributions of $2,489 in the nine months ended September 30, 2016 as compared to the nine months ended September 30, 2015.</w:t>
      </w:r>
    </w:p>
    <w:p>
      <w:pPr>
        <w:spacing w:after="0" w:line="62"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Net cash used in financing activities was $111,487 in the nine months ended September 30, 2016 as compared to cash provided by financing activities of $603,016 in nine months ended September 30, 2015, representing a $714,503 decrease. Such decrease was attributable to (i) a decrease in cash proceeds received due to the issuance of common shares net of issuance costs paid of $351,059, (ii) a decrease in capital contributions from shareholders of $295,879, and (iii) a decrease in capital contributions from non-controlling interests of $27,354. In addition to these decreases, cash outflows increased in the nine months ended September 30, 2016 as compared to the nine months ended September 30, 2015 due to repayment of debt, net of proceeds from borrowings of $27,381, cash dividends paid of $63,659, offset by a decrease in distributions to shareholders of $44,917 and a net increase in maintenance deposits of $8,699.</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Funds Available for Distribution (Non-GAAP)</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uses Funds Available for Distribution (“FAD”) in evaluating its ability to meet its stated dividend policy. FAD is not a financial measure in accordance with GAAP. The GAAP measure most directly comparable to FAD is net cash provided by operating activities. The Company believes FAD is a useful metric for investors and analysts for similar purposes.</w:t>
      </w:r>
    </w:p>
    <w:p>
      <w:pPr>
        <w:spacing w:after="0" w:line="7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Company defines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gridSpan w:val="4"/>
          </w:tcPr>
          <w:p>
            <w:pPr>
              <w:jc w:val="right"/>
              <w:ind w:right="14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2016</w:t>
            </w:r>
          </w:p>
        </w:tc>
        <w:tc>
          <w:tcPr>
            <w:tcW w:w="240" w:type="dxa"/>
            <w:vAlign w:val="bottom"/>
          </w:tcPr>
          <w:p>
            <w:pPr>
              <w:spacing w:after="0"/>
              <w:rPr>
                <w:sz w:val="18"/>
                <w:szCs w:val="18"/>
                <w:color w:val="auto"/>
              </w:rPr>
            </w:pPr>
          </w:p>
        </w:tc>
        <w:tc>
          <w:tcPr>
            <w:tcW w:w="190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September 30, 2015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15,662</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26,870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Finance Leases</w:t>
            </w:r>
          </w:p>
        </w:tc>
        <w:tc>
          <w:tcPr>
            <w:tcW w:w="2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17,412</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6"/>
                <w:szCs w:val="16"/>
                <w:color w:val="auto"/>
              </w:rPr>
              <w:t xml:space="preserve">Add: Proceeds from sale of assets </w:t>
            </w:r>
            <w:r>
              <w:rPr>
                <w:rFonts w:ascii="Arial" w:cs="Arial" w:eastAsia="Arial" w:hAnsi="Arial"/>
                <w:sz w:val="21"/>
                <w:szCs w:val="21"/>
                <w:color w:val="auto"/>
                <w:vertAlign w:val="superscript"/>
              </w:rPr>
              <w:t>(1)</w:t>
            </w:r>
          </w:p>
        </w:tc>
        <w:tc>
          <w:tcPr>
            <w:tcW w:w="260" w:type="dxa"/>
            <w:vAlign w:val="bottom"/>
          </w:tcPr>
          <w:p>
            <w:pPr>
              <w:spacing w:after="0"/>
              <w:rPr>
                <w:sz w:val="22"/>
                <w:szCs w:val="22"/>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87,530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9,253</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Return of Capital Distributions from Unconsolidated Entities</w:t>
            </w:r>
          </w:p>
        </w:tc>
        <w:tc>
          <w:tcPr>
            <w:tcW w:w="2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2,921</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6"/>
                <w:szCs w:val="16"/>
                <w:color w:val="auto"/>
              </w:rPr>
              <w:t xml:space="preserve">Less: Required Payments on Debt Obligations </w:t>
            </w:r>
            <w:r>
              <w:rPr>
                <w:rFonts w:ascii="Arial" w:cs="Arial" w:eastAsia="Arial" w:hAnsi="Arial"/>
                <w:sz w:val="21"/>
                <w:szCs w:val="21"/>
                <w:color w:val="auto"/>
                <w:vertAlign w:val="superscript"/>
              </w:rPr>
              <w:t>(2)</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(52,105)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(19,764)</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Capital Distributions to Non-Controlling Interest</w:t>
            </w:r>
          </w:p>
        </w:tc>
        <w:tc>
          <w:tcPr>
            <w:tcW w:w="26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Exclude: Changes in Working Capital</w:t>
            </w:r>
          </w:p>
        </w:tc>
        <w:tc>
          <w:tcPr>
            <w:tcW w:w="26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2,370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Funds Available for Distribution (FAD)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56,295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38,015</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46"/>
        </w:numPr>
        <w:rPr>
          <w:rFonts w:ascii="Arial" w:cs="Arial" w:eastAsia="Arial" w:hAnsi="Arial"/>
          <w:sz w:val="8"/>
          <w:szCs w:val="8"/>
          <w:color w:val="auto"/>
        </w:rPr>
      </w:pPr>
      <w:r>
        <w:rPr>
          <w:rFonts w:ascii="Arial" w:cs="Arial" w:eastAsia="Arial" w:hAnsi="Arial"/>
          <w:sz w:val="13"/>
          <w:szCs w:val="13"/>
          <w:color w:val="auto"/>
        </w:rPr>
        <w:t>Proceeds from sale of assets includes $500 received in December 2015 for a deposit on the sale of a commercial jet engine, which was completed in the nine months ended September 30, 2016.</w:t>
      </w:r>
    </w:p>
    <w:p>
      <w:pPr>
        <w:spacing w:after="0" w:line="12" w:lineRule="exact"/>
        <w:rPr>
          <w:rFonts w:ascii="Arial" w:cs="Arial" w:eastAsia="Arial" w:hAnsi="Arial"/>
          <w:sz w:val="8"/>
          <w:szCs w:val="8"/>
          <w:color w:val="auto"/>
        </w:rPr>
      </w:pPr>
    </w:p>
    <w:p>
      <w:pPr>
        <w:ind w:left="500" w:right="120" w:hanging="492"/>
        <w:spacing w:after="0" w:line="255" w:lineRule="auto"/>
        <w:tabs>
          <w:tab w:leader="none" w:pos="154" w:val="left"/>
        </w:tabs>
        <w:numPr>
          <w:ilvl w:val="0"/>
          <w:numId w:val="46"/>
        </w:numPr>
        <w:rPr>
          <w:rFonts w:ascii="Arial" w:cs="Arial" w:eastAsia="Arial" w:hAnsi="Arial"/>
          <w:sz w:val="9"/>
          <w:szCs w:val="9"/>
          <w:color w:val="auto"/>
        </w:rPr>
      </w:pPr>
      <w:r>
        <w:rPr>
          <w:rFonts w:ascii="Arial" w:cs="Arial" w:eastAsia="Arial" w:hAnsi="Arial"/>
          <w:sz w:val="14"/>
          <w:szCs w:val="14"/>
          <w:color w:val="auto"/>
        </w:rPr>
        <w:t>Required payments on debt obligations excludes $98,750 repayment upon the termination of the Jefferson Terminal Credit Agreement and $6,748 repayment under the CMQR Credit Agreement in the nine months ended September 30, 2016, which were voluntary refinancing as repayment of these amounts were not required at this time.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FAD is subject to a number of limitations and assumptions and there can be no assurance that the Company will generate FAD sufficient to meet its intended dividends. FAD has material limitations as a liquidity measure of the Company because such measure excludes items that are required elements of the Company’s net cash provided by operating activities as described below. FAD should not be considered in isolation nor as a substitute for analysis of the Company’s results of operations under GAAP, and it is not the only metric that should be considered in evaluating the Company’s ability to meet its stated dividend policy. Specifically:</w:t>
      </w:r>
    </w:p>
    <w:p>
      <w:pPr>
        <w:spacing w:after="0" w:line="80" w:lineRule="exact"/>
        <w:rPr>
          <w:sz w:val="20"/>
          <w:szCs w:val="20"/>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FAD does not include equity capital called from the Company’s existing limited partners, proceeds from any debt issuance or future equity offering, historical cash and cash equivalents and expected investments in the Company’s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FAD does not give pro forma effect to prior acquisitions, certain of which cannot be quantified.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While FAD reflects the cash inflows from sale of certain assets, FAD does not reflect the cash outflows to acquire assets as the Company relies on alternative sources of liquidity to fund such purchases.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FAD does not reflect expenditures related to capital expenditures, acquisitions and other investments as the Company has multiple sources of liquidity and intends to fund these expenditures with future incurrences of indebtedness, additional capital contributions and/or future issuances of equity.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76" w:right="239" w:bottom="1440" w:gutter="0" w:footer="0" w:header="0"/>
        </w:sectPr>
      </w:pPr>
    </w:p>
    <w:bookmarkStart w:id="67" w:name="page68"/>
    <w:bookmarkEnd w:id="67"/>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 has significant discretion to make distributions, and the Company is not bound by any contractual provision that requires it to use cash for distributions.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If such factors were included in FAD, there can be no assurance that the results would be consistent with the Company’s presentation of FAD.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debt agreements is disclosed in our Form 10-K for the year ended December 31, 2015.</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Container Loan #1</w:t>
      </w:r>
      <w:r>
        <w:rPr>
          <w:rFonts w:ascii="Arial" w:cs="Arial" w:eastAsia="Arial" w:hAnsi="Arial"/>
          <w:sz w:val="17"/>
          <w:szCs w:val="17"/>
          <w:color w:val="auto"/>
        </w:rPr>
        <w:t>—On December 27, 2012, a subsidiary of the Company entered into a Credit Agreement (“Container Loan #1”) with a bank for an initial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 amount of approximately $55,991 in connection with the acquisition of a portfolio of shipping containers subject to finance leases. Container Loan #1 required monthly payments of interest and scheduled principal payments through its maturity on December 27, 2017 and could be prepaid without penalty after the third anniversary of the closing of the loan. In connection with Container Loan #1, the Company entered into an interest rate swap agreement (the “Swap”) on January 17, 2013 with respect to 70% of the outstanding balance of Container Loan #1 and designated as a cash flow hedge which fixed the LIBOR rate at 0.681%. During the first quarter of 2016, all amounts outstanding under Container Loan #1 and the Swap were paid in full using the proceeds from the sale of the underlying assets, and such agreements were terminated.</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Container Loan #2</w:t>
      </w:r>
      <w:r>
        <w:rPr>
          <w:rFonts w:ascii="Arial" w:cs="Arial" w:eastAsia="Arial" w:hAnsi="Arial"/>
          <w:sz w:val="18"/>
          <w:szCs w:val="18"/>
          <w:color w:val="auto"/>
        </w:rPr>
        <w:t>—On August 15, 2013, a subsidiary of the Company entered into a Credit Agreement (“Container Loan #2”) with a bank for an initial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 amount of approximately $21,548 in connection with the acquisition of a portfolio of shipping containers subject to finance leases. Container Loan #2 required quarterly payments of interest and scheduled principal payments through its maturity on August 28, 2018 and could be prepaid without penalty at any time. In connection with Container Loan #2, the Company entered into an interest rate cap agreement (the “Cap”) on September 20, 2013, with respect to 50% of the portion of the outstanding balance of Container Loan #2, not designated as a cash flow hedge, which capped LIBOR at 2.5%. During the first quarter of 2016, all amounts outstanding under Container Loan #2 and the Cap were paid in full using the proceeds from the sale of the underlying assets, and such agreements were terminated.</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FTAI Pride Credit Agreement</w:t>
      </w:r>
      <w:r>
        <w:rPr>
          <w:rFonts w:ascii="Arial" w:cs="Arial" w:eastAsia="Arial" w:hAnsi="Arial"/>
          <w:sz w:val="18"/>
          <w:szCs w:val="18"/>
          <w:color w:val="auto"/>
        </w:rPr>
        <w:t>—On September 15, 2014, FTAI Pride, LLC, (“FTAI Pride”) a subsidiary of the Company entered into a credit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and can be prepaid without penalty at any time. The FTAI Pride Credit Agreement is secured on a first priority basis by the offshore construction vessel and charter. Borrowings under the FTAI Pride Credit Agreement bear interest at the LIBOR rate plus a spread of 4.50%.</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CMQR Credit Agreement</w:t>
      </w:r>
      <w:r>
        <w:rPr>
          <w:rFonts w:ascii="Arial" w:cs="Arial" w:eastAsia="Arial" w:hAnsi="Arial"/>
          <w:sz w:val="17"/>
          <w:szCs w:val="17"/>
          <w:color w:val="auto"/>
        </w:rPr>
        <w:t>—On March 28, 2016, CMQR amended its credit agreement (the “CMQR Credit Agreement”) with a financial institution for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revolving line of credit to increase the aggregate amount from $10,000 to $20,000 and to extend the maturity date to September 18, 2018. Borrowings under the CMQR Credit Agreement bear interest at either (i) Adjusted LIBOR plus a spread of 2.50% or 4.50%, (ii) the U.S. or Canadian Base Rate plus a spread of 1.50% or 3.50%, or (iii) the Canadian Fixed Rate plus a spread of 2.50% or 4.50%, as defined by the CMQR Credit Agreement.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CMQR Credit Agreement is also indirectly supported by Fortress Transportation and Infrastructure Investors LLC (the “Sponsor”). In the event of a default under the credit agreement, CMQR’s lenders can cause CMQR to call up to a total of $29 million in capital from the Sponsor, and in the event of CMQR’s bankruptcy, the lenders can put the debt back to the Sponsor. The CMQR Credit Agreement contains affirmative and negative covenants which limit certain actions of CMQR.</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Jefferson Terminal Credit Agreement</w:t>
      </w:r>
      <w:r>
        <w:rPr>
          <w:rFonts w:ascii="Arial" w:cs="Arial" w:eastAsia="Arial" w:hAnsi="Arial"/>
          <w:sz w:val="18"/>
          <w:szCs w:val="18"/>
          <w:color w:val="auto"/>
        </w:rPr>
        <w:t>—On August 27, 2014, a subsidiary of the Company, entered into a credit agreement (the “Jefferson Terminal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a financial institution for an aggregate amount of $100,000. The Jefferson Terminal Credit Agreement required quarterly payments of $250 beginning with the quarter ending December 31, 2014, with such quarterly payments increasing to $1,250 beginning with the quarter ending December 31, 2016, and could be prepaid or repaid at any time prior to its maturity on February 27, 2018. On March 8, 2016, all amounts outstanding under the Jefferson Terminal Credit Agreement were paid in full and such agreement was terminated. Accordingly, during the first quarter of 2016, the Company recorded a loss on extinguishment of debt of $1,579.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76" w:right="239" w:bottom="1440" w:gutter="0" w:footer="0" w:header="0"/>
        </w:sectPr>
      </w:pPr>
    </w:p>
    <w:bookmarkStart w:id="68" w:name="page69"/>
    <w:bookmarkEnd w:id="68"/>
    <w:p>
      <w:pPr>
        <w:jc w:val="both"/>
        <w:spacing w:after="0" w:line="293" w:lineRule="auto"/>
        <w:rPr>
          <w:sz w:val="20"/>
          <w:szCs w:val="20"/>
          <w:color w:val="auto"/>
        </w:rPr>
      </w:pPr>
      <w:r>
        <w:rPr>
          <w:rFonts w:ascii="Arial" w:cs="Arial" w:eastAsia="Arial" w:hAnsi="Arial"/>
          <w:sz w:val="16"/>
          <w:szCs w:val="16"/>
          <w:b w:val="1"/>
          <w:bCs w:val="1"/>
          <w:i w:val="1"/>
          <w:iCs w:val="1"/>
          <w:color w:val="auto"/>
        </w:rPr>
        <w:t>Series 2012 Bonds</w:t>
      </w:r>
      <w:r>
        <w:rPr>
          <w:rFonts w:ascii="Arial" w:cs="Arial" w:eastAsia="Arial" w:hAnsi="Arial"/>
          <w:sz w:val="16"/>
          <w:szCs w:val="16"/>
          <w:color w:val="auto"/>
        </w:rPr>
        <w:t>—On August 1, 2012, Jefferson County Development Corporation issued $46,875 of tax-exempt industrial bonds (“Series 2012 Bonds”),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Company’s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Series 2012 Bond agreement contains a financial covenant requiring a subsidiary of the Company to maintain a long-term debt service coverage ratio, as defined in the agreement, of 1.25 to 1, in each fiscal year, beginning with December 31, 2014.</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Series 2016 Bonds</w:t>
      </w:r>
      <w:r>
        <w:rPr>
          <w:rFonts w:ascii="Arial" w:cs="Arial" w:eastAsia="Arial" w:hAnsi="Arial"/>
          <w:sz w:val="16"/>
          <w:szCs w:val="16"/>
          <w:color w:val="auto"/>
        </w:rPr>
        <w:t>—On March 7, 2016, the Port of Beaumont Navigation District of Jefferson County, Texas (the “District”) issued $144,200 of Dock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as well as maintenance of a minimum total asset value of Aviation Assets and minimum total equity of the Company. In connection with the above,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such affiliate, will effectively guarantee a pro rata portion of the obligations under the Standby Bond Purchase Agreement in return for a guarantee fee of $6,873 (shared on the same pro rata basis). This fee will be amortized as interest expense to the redemption date or February 13, 2020.</w:t>
      </w:r>
    </w:p>
    <w:p>
      <w:pPr>
        <w:spacing w:after="0" w:line="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debt covenants as of September 30,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76"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The following table summarizes our future obligations, by period due, as of September 30, 2016, under our various contractual obligations and commitments. We had no off-balance sheet arrangements as of September 30, 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Arial" w:cs="Arial" w:eastAsia="Arial" w:hAnsi="Arial"/>
                <w:sz w:val="16"/>
                <w:szCs w:val="16"/>
                <w:b w:val="1"/>
                <w:bCs w:val="1"/>
                <w:color w:val="auto"/>
              </w:rPr>
              <w:t>Payments Due by Period (in thousands)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Thereafter</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Note payable to non-controlling 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2,352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FTAI Pride Credit Agreement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CMQR Credit Agreement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13,625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13,625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Jefferson Bonds Payable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188,390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37,740</w:t>
            </w:r>
          </w:p>
        </w:tc>
      </w:tr>
      <w:tr>
        <w:trPr>
          <w:trHeight w:val="217"/>
        </w:trPr>
        <w:tc>
          <w:tcPr>
            <w:tcW w:w="3540" w:type="dxa"/>
            <w:vAlign w:val="bottom"/>
            <w:gridSpan w:val="2"/>
          </w:tcPr>
          <w:p>
            <w:pPr>
              <w:ind w:left="40"/>
              <w:spacing w:after="0"/>
              <w:rPr>
                <w:sz w:val="20"/>
                <w:szCs w:val="20"/>
                <w:color w:val="auto"/>
              </w:rPr>
            </w:pPr>
            <w:r>
              <w:rPr>
                <w:rFonts w:ascii="Arial" w:cs="Arial" w:eastAsia="Arial" w:hAnsi="Arial"/>
                <w:sz w:val="16"/>
                <w:szCs w:val="16"/>
                <w:color w:val="auto"/>
                <w:w w:val="92"/>
              </w:rPr>
              <w:t>Total principal payments on loans and bonds payable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266,867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8,078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50,510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146,581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37,740</w:t>
            </w:r>
          </w:p>
        </w:tc>
      </w:tr>
      <w:tr>
        <w:trPr>
          <w:trHeight w:val="33"/>
        </w:trPr>
        <w:tc>
          <w:tcPr>
            <w:tcW w:w="26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 xml:space="preserve">Total estimated interest payments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83,786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7,102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17,719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17,133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15,735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21,580</w:t>
            </w:r>
          </w:p>
        </w:tc>
      </w:tr>
      <w:tr>
        <w:trPr>
          <w:trHeight w:val="324"/>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Obligation to third-party (Repauno)</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5,500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Operating lease obligations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100,505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6,259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5,652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5,227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77,141</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101,406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6,453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5,846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5,421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4,734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77,230</w:t>
            </w:r>
          </w:p>
        </w:tc>
      </w:tr>
      <w:tr>
        <w:trPr>
          <w:trHeight w:val="33"/>
        </w:trPr>
        <w:tc>
          <w:tcPr>
            <w:tcW w:w="26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contractual obligations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458,559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155,832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136,550</w:t>
            </w:r>
          </w:p>
        </w:tc>
      </w:tr>
      <w:tr>
        <w:trPr>
          <w:trHeight w:val="20"/>
        </w:trPr>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30" w:lineRule="exact"/>
        <w:rPr>
          <w:sz w:val="20"/>
          <w:szCs w:val="20"/>
          <w:color w:val="auto"/>
        </w:rPr>
      </w:pPr>
    </w:p>
    <w:p>
      <w:pPr>
        <w:ind w:left="200" w:hanging="165"/>
        <w:spacing w:after="0"/>
        <w:tabs>
          <w:tab w:leader="none" w:pos="200" w:val="left"/>
        </w:tabs>
        <w:numPr>
          <w:ilvl w:val="0"/>
          <w:numId w:val="49"/>
        </w:numPr>
        <w:rPr>
          <w:rFonts w:ascii="Arial" w:cs="Arial" w:eastAsia="Arial" w:hAnsi="Arial"/>
          <w:sz w:val="9"/>
          <w:szCs w:val="9"/>
          <w:color w:val="auto"/>
        </w:rPr>
      </w:pPr>
      <w:r>
        <w:rPr>
          <w:rFonts w:ascii="Arial" w:cs="Arial" w:eastAsia="Arial" w:hAnsi="Arial"/>
          <w:sz w:val="14"/>
          <w:szCs w:val="14"/>
          <w:color w:val="auto"/>
        </w:rPr>
        <w:t>Estimated interest payments based on rates as of September 30,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in our critical accounting policies as disclosed in our Form 10-K for the year ended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Note 2 to our consolidated financial statements included elsewhere in this filing for recent accounting pronouncements.</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Market risk represents the risk of changes in value of a financial instrument, caused by fluctuations in interest rates and foreign exchange rates.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factors could cause fluctuations in our results of operations and cash flows. We are exposed to the market risks described below.</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79"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72" w:right="239" w:bottom="1440" w:gutter="0" w:footer="0" w:header="0"/>
        </w:sectPr>
      </w:pPr>
    </w:p>
    <w:bookmarkStart w:id="70" w:name="page71"/>
    <w:bookmarkEnd w:id="70"/>
    <w:p>
      <w:pPr>
        <w:jc w:val="both"/>
        <w:ind w:firstLine="446"/>
        <w:spacing w:after="0" w:line="271" w:lineRule="auto"/>
        <w:rPr>
          <w:sz w:val="20"/>
          <w:szCs w:val="20"/>
          <w:color w:val="auto"/>
        </w:rPr>
      </w:pPr>
      <w:r>
        <w:rPr>
          <w:rFonts w:ascii="Arial" w:cs="Arial" w:eastAsia="Arial" w:hAnsi="Arial"/>
          <w:sz w:val="17"/>
          <w:szCs w:val="17"/>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7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of September 30, 2016,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$740 and $(589), respectively, over the next 12 months before the impact of interest rate derivatives.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upon that evaluation, the Company’s Chief Executive Officer and Chief Financial Officer have concluded that these disclosure controls and procedures were effective as of and for the period covered by this report.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In addition, no change in the Company’s internal control over financial reporting (as defined in Rule 13a-15(f) under the Exchange Act) occurred during its most recent fiscal quarter that has materially affected, or is reasonably likely to materially affect, its internal control over financial reporting.</w:t>
      </w:r>
    </w:p>
    <w:p>
      <w:pPr>
        <w:spacing w:after="0" w:line="359"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may be involved in litigation matters arising in the ordinary course of our business. Although we will be unable to predict with certainty the eventual outcome of any litigation, in the opinion of management, our legal proceedings are not expected to have a material adverse effect on our financial position or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Form 10-Q in evaluating us and our common stock.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76" w:right="239" w:bottom="1440" w:gutter="0" w:footer="0" w:header="0"/>
        </w:sectPr>
      </w:pPr>
    </w:p>
    <w:bookmarkStart w:id="71" w:name="page72"/>
    <w:bookmarkEnd w:id="71"/>
    <w:p>
      <w:pPr>
        <w:jc w:val="both"/>
        <w:ind w:firstLine="432"/>
        <w:spacing w:after="0" w:line="269" w:lineRule="auto"/>
        <w:rPr>
          <w:sz w:val="20"/>
          <w:szCs w:val="20"/>
          <w:color w:val="auto"/>
        </w:rPr>
      </w:pPr>
      <w:r>
        <w:rPr>
          <w:rFonts w:ascii="Arial" w:cs="Arial" w:eastAsia="Arial" w:hAnsi="Arial"/>
          <w:sz w:val="17"/>
          <w:szCs w:val="17"/>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In particular, the significant decline in oil prices during 2015 has resulted in lower exploration and production budgets worldwide, with industry experts predicting that exploration and production spending will decrease by approximately 25% in 2016, as compared to 2015.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Further, demand for our assets is related to passenger and cargo traffic growth, which in turn is dependent on general business and economic conditions. The recent global economic downturn could continue or worsen, which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85" w:lineRule="exact"/>
        <w:rPr>
          <w:sz w:val="20"/>
          <w:szCs w:val="20"/>
          <w:color w:val="auto"/>
        </w:rPr>
      </w:pPr>
    </w:p>
    <w:p>
      <w:pPr>
        <w:jc w:val="both"/>
        <w:ind w:firstLine="432"/>
        <w:spacing w:after="0" w:line="375" w:lineRule="auto"/>
        <w:rPr>
          <w:sz w:val="20"/>
          <w:szCs w:val="20"/>
          <w:color w:val="auto"/>
        </w:rPr>
      </w:pPr>
      <w:r>
        <w:rPr>
          <w:rFonts w:ascii="Arial" w:cs="Arial" w:eastAsia="Arial" w:hAnsi="Arial"/>
          <w:sz w:val="15"/>
          <w:szCs w:val="15"/>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57" w:lineRule="exact"/>
        <w:rPr>
          <w:sz w:val="20"/>
          <w:szCs w:val="20"/>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demand for the type of assets that we purchase;</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macroeconomic conditions, including market prices for commodities that our assets may serve;</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geopolitical events, including war, prolonged armed conflict and acts of terrorism;</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outbreaks of communicable diseases and natural disasters;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of credit;</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restructurings and bankruptcies of companies in the industries in which we operate, including our customers;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manufacturer production levels and technological innovation;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manufacturers merging or exiting the industry or ceasing to produce certain asset types;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retirement and obsolescence of the assets that we own;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railroad infrastructure may be damaged, including by flooding and railroad derailments;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in supply levels of assets in the market due to the sale or merging of operating lessors; and</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reintroduction of previously unused or dormant assets into the industries in which we operate.</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76" w:right="239" w:bottom="1440" w:gutter="0" w:footer="0" w:header="0"/>
        </w:sectPr>
      </w:pPr>
    </w:p>
    <w:bookmarkStart w:id="72" w:name="page73"/>
    <w:bookmarkEnd w:id="72"/>
    <w:p>
      <w:pPr>
        <w:ind w:left="440"/>
        <w:spacing w:after="0"/>
        <w:rPr>
          <w:sz w:val="20"/>
          <w:szCs w:val="20"/>
          <w:color w:val="auto"/>
        </w:rPr>
      </w:pPr>
      <w:r>
        <w:rPr>
          <w:rFonts w:ascii="Arial" w:cs="Arial" w:eastAsia="Arial" w:hAnsi="Arial"/>
          <w:sz w:val="18"/>
          <w:szCs w:val="18"/>
          <w:b w:val="1"/>
          <w:bCs w:val="1"/>
          <w:i w:val="1"/>
          <w:iCs w:val="1"/>
          <w:color w:val="auto"/>
        </w:rPr>
        <w:t>There can be no assurance that any target returns will be achieved.</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7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5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58"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76" w:right="239" w:bottom="1440" w:gutter="0" w:footer="0" w:header="0"/>
        </w:sectPr>
      </w:pPr>
    </w:p>
    <w:bookmarkStart w:id="73" w:name="page74"/>
    <w:bookmarkEnd w:id="73"/>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5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operate in highly competitive markets.</w:t>
      </w:r>
    </w:p>
    <w:p>
      <w:pPr>
        <w:spacing w:after="0" w:line="11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8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6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76" w:right="239" w:bottom="1440" w:gutter="0" w:footer="0" w:header="0"/>
        </w:sectPr>
      </w:pPr>
    </w:p>
    <w:bookmarkStart w:id="74" w:name="page75"/>
    <w:bookmarkEnd w:id="74"/>
    <w:p>
      <w:pPr>
        <w:jc w:val="both"/>
        <w:spacing w:after="0" w:line="277" w:lineRule="auto"/>
        <w:rPr>
          <w:sz w:val="20"/>
          <w:szCs w:val="20"/>
          <w:color w:val="auto"/>
        </w:rPr>
      </w:pPr>
      <w:r>
        <w:rPr>
          <w:rFonts w:ascii="Arial" w:cs="Arial" w:eastAsia="Arial" w:hAnsi="Arial"/>
          <w:sz w:val="18"/>
          <w:szCs w:val="18"/>
          <w:color w:val="auto"/>
        </w:rPr>
        <w:t>jurisdictions cannot be predicted. To the extent more of our business shifts to areas outside of the United States and Europe, such as China and Malaysia, it may become more difficult and expensive to enforce our rights and recover our assets.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Certain liens may arise on our assets.</w:t>
      </w:r>
    </w:p>
    <w:p>
      <w:pPr>
        <w:spacing w:after="0" w:line="11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values of the assets that we purchase may fluctuate due to various factors.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charter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4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are subject to the risks and costs of obsolescence of our assets.</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76" w:right="239" w:bottom="1440" w:gutter="0" w:footer="0" w:header="0"/>
        </w:sectPr>
      </w:pPr>
    </w:p>
    <w:bookmarkStart w:id="75" w:name="page76"/>
    <w:bookmarkEnd w:id="75"/>
    <w:p>
      <w:pPr>
        <w:jc w:val="both"/>
        <w:ind w:right="20" w:firstLine="432"/>
        <w:spacing w:after="0" w:line="342"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7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In April 2015, we received a notice from Transport Canada that it is investigating a possible violation under the Railway Safety Act related to inspections of our operations conducted in March 2015. We believe we are in compliance with applicable requirements, and, while we cannot predict with certainty the outcome of the investigation, we do not believe it will have a material adverse effect on the Company. Violation of environmental or other laws, regulations and permits can result in the imposition of significant administrative, civil and criminal penalties, injunctions and construction bans or delays.</w:t>
      </w:r>
    </w:p>
    <w:p>
      <w:pPr>
        <w:spacing w:after="0" w:line="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Legislation passed by the U.S. Congress or Canadian Parliament or new regulations issued by federal agencies can significantly affect the revenues, costs and profitability of our business. For instance, in December 2009, a proposed bill called the “Surface Transportation Board Reauthorization Act of 2009” was introduced in the Senate but not advanced. In addition,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7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5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76" w:right="239" w:bottom="1440" w:gutter="0" w:footer="0" w:header="0"/>
        </w:sectPr>
      </w:pPr>
    </w:p>
    <w:bookmarkStart w:id="76" w:name="page77"/>
    <w:bookmarkEnd w:id="76"/>
    <w:p>
      <w:pPr>
        <w:jc w:val="both"/>
        <w:ind w:firstLine="486"/>
        <w:spacing w:after="0" w:line="270" w:lineRule="auto"/>
        <w:rPr>
          <w:sz w:val="20"/>
          <w:szCs w:val="20"/>
          <w:color w:val="auto"/>
        </w:rPr>
      </w:pPr>
      <w:r>
        <w:rPr>
          <w:rFonts w:ascii="Arial" w:cs="Arial" w:eastAsia="Arial" w:hAnsi="Arial"/>
          <w:sz w:val="17"/>
          <w:szCs w:val="17"/>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While we may be able to pass some of these costs on to our customers, there may be additional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8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operations of transportation and infrastructure projects are exposed to unplanned interruptions caused by significant catastrophic events, such as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assets generally require routine maintenance, and we may be exposed to unforeseen maintenance costs.</w:t>
      </w:r>
    </w:p>
    <w:p>
      <w:pPr>
        <w:spacing w:after="0" w:line="11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76" w:right="2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6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3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September 30, 2016 and we do not anticipate any expenditures relating to environmental clean-up (including impacts to the Chaudière River) as a result of the Incident.</w:t>
      </w:r>
    </w:p>
    <w:p>
      <w:pPr>
        <w:spacing w:after="0" w:line="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have declined significantly in the last nine months)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Shipping Containers segment is affected by the lack of an international title registry for containers, which increases the risk of ownership disputes.</w:t>
      </w:r>
    </w:p>
    <w:p>
      <w:pPr>
        <w:spacing w:after="0" w:line="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additional risks, which could adversely affect our business, prospects, financial condition, results of operations and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76" w:right="239" w:bottom="1440" w:gutter="0" w:footer="0" w:header="0"/>
        </w:sectPr>
      </w:pPr>
    </w:p>
    <w:bookmarkStart w:id="78" w:name="page79"/>
    <w:bookmarkEnd w:id="78"/>
    <w:p>
      <w:pPr>
        <w:ind w:firstLine="432"/>
        <w:spacing w:after="0" w:line="277" w:lineRule="auto"/>
        <w:rPr>
          <w:sz w:val="20"/>
          <w:szCs w:val="20"/>
          <w:color w:val="auto"/>
        </w:rPr>
      </w:pPr>
      <w:r>
        <w:rPr>
          <w:rFonts w:ascii="Arial" w:cs="Arial" w:eastAsia="Arial" w:hAnsi="Arial"/>
          <w:sz w:val="18"/>
          <w:szCs w:val="18"/>
          <w:color w:val="auto"/>
        </w:rPr>
        <w:t>We and our customers operate in various regions throughout the world. As a result, we may, directly or indirectly, be exposed to political and other uncertainties, including risks of:</w:t>
      </w:r>
    </w:p>
    <w:p>
      <w:pPr>
        <w:spacing w:after="0" w:line="62" w:lineRule="exact"/>
        <w:rPr>
          <w:sz w:val="20"/>
          <w:szCs w:val="20"/>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terrorist acts, armed hostilities, war and civil disturbances;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acts of piracy;</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significant governmental influence over many aspects of local economies;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seizure, nationalization or expropriation of property or equipment;</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repudiation, nullification, modification or renegotiation of contracts;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limitations on insurance coverage, such as war risk coverage, in certain areas;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foreign and U.S. monetary policy and foreign currency fluctuations and devaluations;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inability to repatriate income or capital;</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complications associated with repairing and replacing equipment in remote locations;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import-export quotas, wage and price controls, imposition of trade barriers;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U.S. and foreign sanctions or trade embargoes;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restrictions on the transfer of funds into or out of countries in which we operate;</w:t>
      </w:r>
    </w:p>
    <w:p>
      <w:pPr>
        <w:spacing w:after="0" w:line="117" w:lineRule="exact"/>
        <w:rPr>
          <w:rFonts w:ascii="Arial" w:cs="Arial" w:eastAsia="Arial" w:hAnsi="Arial"/>
          <w:sz w:val="18"/>
          <w:szCs w:val="18"/>
          <w:color w:val="auto"/>
        </w:rPr>
      </w:pPr>
    </w:p>
    <w:p>
      <w:pPr>
        <w:ind w:left="1300" w:hanging="887"/>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compliance with U.S. Treasury sanctions regulations restricting doing business with certain nations or specially designated nationals;</w:t>
      </w:r>
    </w:p>
    <w:p>
      <w:pPr>
        <w:spacing w:after="0" w:line="128" w:lineRule="exact"/>
        <w:rPr>
          <w:rFonts w:ascii="Arial" w:cs="Arial" w:eastAsia="Arial" w:hAnsi="Arial"/>
          <w:sz w:val="17"/>
          <w:szCs w:val="17"/>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regulatory or financial requirements to comply with foreign bureaucratic actions;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compliance with applicable anti-corruption laws and regulations;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changing taxation policies, including confiscatory taxation;</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other forms of government regulation and economic conditions that are beyond our control; and</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governmental corruption.</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Any of these or other risks could adversely impact our customers’ international operations which could materially adversely impact our operating results and growth opportunities.</w:t>
      </w:r>
    </w:p>
    <w:p>
      <w:pPr>
        <w:spacing w:after="0" w:line="6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7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76"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auto"/>
        </w:rPr>
        <w:t>and volatility limitations in these markets may also adversely affect our ability to dispose of our assets at the best price available or in a timely manner.</w:t>
      </w:r>
    </w:p>
    <w:p>
      <w:pPr>
        <w:spacing w:after="0" w:line="1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we have and may continue to acquire assets located in emerging markets throughout the world, we may be exposed to any one or a combination of these risks, which could adversely affect our operating results.</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6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6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79" w:lineRule="exact"/>
        <w:rPr>
          <w:sz w:val="20"/>
          <w:szCs w:val="20"/>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competition from market participants;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and/or industry trends, including pricing for the products or services offered by our operating businesses;</w:t>
      </w:r>
    </w:p>
    <w:p>
      <w:pPr>
        <w:spacing w:after="0" w:line="117"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issuance and/or continued availability of necessary permits, licenses, approvals and agreements from governmental agencies and third parties as are required to construct and operate such businesses;</w:t>
      </w:r>
    </w:p>
    <w:p>
      <w:pPr>
        <w:spacing w:after="0" w:line="62"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or deficiencies in the design or construction of development projects;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unforeseen engineering, environmental or geological problems;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potential increases in construction and operating costs due to changes in the cost and availability of fuel, power, materials and supplies;</w:t>
      </w:r>
    </w:p>
    <w:p>
      <w:pPr>
        <w:spacing w:after="0" w:line="128" w:lineRule="exact"/>
        <w:rPr>
          <w:rFonts w:ascii="Arial" w:cs="Arial" w:eastAsia="Arial" w:hAnsi="Arial"/>
          <w:sz w:val="17"/>
          <w:szCs w:val="17"/>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availability and cost of skilled labor and equipment;</w:t>
      </w:r>
    </w:p>
    <w:p>
      <w:pPr>
        <w:spacing w:after="0" w:line="117" w:lineRule="exact"/>
        <w:rPr>
          <w:rFonts w:ascii="Arial" w:cs="Arial" w:eastAsia="Arial" w:hAnsi="Arial"/>
          <w:sz w:val="18"/>
          <w:szCs w:val="18"/>
          <w:color w:val="auto"/>
        </w:rPr>
      </w:pPr>
    </w:p>
    <w:p>
      <w:pPr>
        <w:jc w:val="both"/>
        <w:ind w:left="880" w:hanging="359"/>
        <w:spacing w:after="0" w:line="264"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73"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potential liability for injury or casualty losses which are not covered by insurance;</w:t>
      </w:r>
    </w:p>
    <w:p>
      <w:pPr>
        <w:spacing w:after="0" w:line="117" w:lineRule="exact"/>
        <w:rPr>
          <w:rFonts w:ascii="Arial" w:cs="Arial" w:eastAsia="Arial" w:hAnsi="Arial"/>
          <w:sz w:val="18"/>
          <w:szCs w:val="18"/>
          <w:color w:val="auto"/>
        </w:rPr>
      </w:pPr>
    </w:p>
    <w:p>
      <w:pPr>
        <w:ind w:left="880" w:hanging="359"/>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potential opposition from non-governmental organizations, environmental groups, local or other groups which may delay or prevent development activities;</w:t>
      </w:r>
    </w:p>
    <w:p>
      <w:pPr>
        <w:spacing w:after="0" w:line="62"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local and economic conditions;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legal requirements; and</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force majeure events, including catastrophes and adverse weather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76" w:right="239" w:bottom="1440" w:gutter="0" w:footer="0" w:header="0"/>
        </w:sectPr>
      </w:pPr>
    </w:p>
    <w:bookmarkStart w:id="80" w:name="page81"/>
    <w:bookmarkEnd w:id="80"/>
    <w:p>
      <w:pPr>
        <w:ind w:left="440"/>
        <w:spacing w:after="0"/>
        <w:rPr>
          <w:sz w:val="20"/>
          <w:szCs w:val="20"/>
          <w:color w:val="auto"/>
        </w:rPr>
      </w:pPr>
      <w:r>
        <w:rPr>
          <w:rFonts w:ascii="Arial" w:cs="Arial" w:eastAsia="Arial" w:hAnsi="Arial"/>
          <w:sz w:val="18"/>
          <w:szCs w:val="18"/>
          <w:color w:val="auto"/>
        </w:rPr>
        <w:t>Any of these factors could materially affect our business, financial condition, liquidity and results of operations.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Terrorist attacks could negatively impact our operations and our profitability and may expose us to liability and reputational damage.</w:t>
      </w:r>
    </w:p>
    <w:p>
      <w:pPr>
        <w:spacing w:after="0" w:line="1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Because we are a recently formed company with a limited operating history, our historical financial and operating data may not be representative of our future results.</w:t>
      </w:r>
    </w:p>
    <w:p>
      <w:pPr>
        <w:spacing w:after="0" w:line="6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inability to obtain sufficient capital would constrain our ability to grow our portfolio and to increase our revenues.</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6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62" w:lineRule="exact"/>
        <w:rPr>
          <w:sz w:val="20"/>
          <w:szCs w:val="20"/>
          <w:color w:val="auto"/>
        </w:rPr>
      </w:pPr>
    </w:p>
    <w:p>
      <w:pPr>
        <w:ind w:left="1060" w:hanging="647"/>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meet the terms and maturities of our existing and future debt facilities;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purchase new assets or refinance existing assets;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fund our working capital needs and maintain adequate liquidity; and</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finance other growth initiatives.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76" w:right="239" w:bottom="1440" w:gutter="0" w:footer="0" w:header="0"/>
        </w:sectPr>
      </w:pPr>
    </w:p>
    <w:bookmarkStart w:id="81" w:name="page82"/>
    <w:bookmarkEnd w:id="81"/>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Repauno site is subject to environmental laws and regulations that may expose us to significant costs and liabilities.</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 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into a hub for industrial development in a timely manner, its future prospects could be materially and adversely affected, which may have a material adverse effect on our business, operating results and financial condition.</w:t>
      </w:r>
    </w:p>
    <w:p>
      <w:pPr>
        <w:spacing w:after="0" w:line="1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8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76" w:right="239"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b w:val="1"/>
          <w:bCs w:val="1"/>
          <w:color w:val="auto"/>
        </w:rPr>
        <w:t>Risks Related to Our Manager</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officers and other individuals who perform services for us (other than Jefferson and CMQR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7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are conflicts of interest in our relationship with our Manager.</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Railway, L.L.C.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Trac Intermodal and Florida East Coast Railway, L.L.C. Although we have the same Manager, we may compete with entities affiliated with our Manager or Fortress, including Seacastle Ships Holdings Inc., Trac Intermodal and Florida East Coast Railway, L.L.C.,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 Fortress had approximately $70.1 billion of assets under management as of September 30, 2016.</w:t>
      </w:r>
    </w:p>
    <w:p>
      <w:pPr>
        <w:spacing w:after="0" w:line="6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72" w:right="239" w:bottom="1440" w:gutter="0" w:footer="0" w:header="0"/>
        </w:sectPr>
      </w:pPr>
    </w:p>
    <w:bookmarkStart w:id="83" w:name="page84"/>
    <w:bookmarkEnd w:id="83"/>
    <w:p>
      <w:pPr>
        <w:jc w:val="both"/>
        <w:ind w:firstLine="432"/>
        <w:spacing w:after="0" w:line="28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6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5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7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5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Manager will not be liable to us for any acts or omissions performed in accordance with the Management Agreement, including with respect to the performance of our assets.</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6" w:right="239" w:bottom="1440" w:gutter="0" w:footer="0" w:header="0"/>
        </w:sectPr>
      </w:pPr>
    </w:p>
    <w:bookmarkStart w:id="84" w:name="page85"/>
    <w:bookmarkEnd w:id="84"/>
    <w:p>
      <w:pPr>
        <w:jc w:val="both"/>
        <w:spacing w:after="0" w:line="271" w:lineRule="auto"/>
        <w:rPr>
          <w:sz w:val="20"/>
          <w:szCs w:val="20"/>
          <w:color w:val="auto"/>
        </w:rPr>
      </w:pPr>
      <w:r>
        <w:rPr>
          <w:rFonts w:ascii="Arial" w:cs="Arial" w:eastAsia="Arial" w:hAnsi="Arial"/>
          <w:sz w:val="17"/>
          <w:szCs w:val="17"/>
          <w:color w:val="auto"/>
        </w:rPr>
        <w:t>shareholders or partners for any acts or omissions by our Manager, its members, managers, officers, employees, sub-advisers and any other person controlling or Manager,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Taxation</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Shareholders may be subject to U.S. federal income tax on their share of our taxable income, regardless of whether they receive any cash dividends from us.</w:t>
      </w:r>
    </w:p>
    <w:p>
      <w:pPr>
        <w:spacing w:after="0" w:line="6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our operating agreement, in the event of an inadvertent partnership termination in which the Internal Revenue Service (“IRS”) has granted us limited relief, each shareholder also is obligated to make such adjustments as are required by the IRS to maintain our status as a partnership. Such adjustments may require shareholders to recognize additional amounts in income during the years in which they have held common shares. We may also be required to make payments to the IRS.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Tax gain or loss on a sale or other disposition of our common shares could be more or less than expected.</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 price is less than their original cost to such shareholder. A portion of the amount realized, whether or not representing gain, may be treated as ordinary income to such shareholder.</w:t>
      </w:r>
    </w:p>
    <w:p>
      <w:pPr>
        <w:spacing w:after="0" w:line="8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subsidiaries may be subject to local taxes in each of the relevant territories and jurisdictions in which they operate, including taxes on income, profits or gains and withholding taxes. As a result, our funds available for distribution is indirectly reduced by such taxes, and the post-tax return to our shareholders is similarly reduced by such taxes.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76" w:right="239" w:bottom="1440" w:gutter="0" w:footer="0" w:header="0"/>
        </w:sectPr>
      </w:pPr>
    </w:p>
    <w:bookmarkStart w:id="85" w:name="page86"/>
    <w:bookmarkEnd w:id="85"/>
    <w:p>
      <w:pPr>
        <w:jc w:val="both"/>
        <w:ind w:firstLine="486"/>
        <w:spacing w:after="0" w:line="276" w:lineRule="auto"/>
        <w:rPr>
          <w:sz w:val="20"/>
          <w:szCs w:val="20"/>
          <w:color w:val="auto"/>
        </w:rPr>
      </w:pPr>
      <w:r>
        <w:rPr>
          <w:rFonts w:ascii="Arial" w:cs="Arial" w:eastAsia="Arial" w:hAnsi="Arial"/>
          <w:sz w:val="17"/>
          <w:szCs w:val="17"/>
          <w:color w:val="auto"/>
        </w:rPr>
        <w:t>In general, a shareholder that is subject to U.S. federal income tax must include in income its allocable share of FTAI’s items of income, gain, loss, deduction, and credit (including, so long as FTAI is treated as a partnership for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If we are treated as a corporation for U.S. federal income tax purposes, the value of the shares could be adversely affected.</w:t>
      </w:r>
    </w:p>
    <w:p>
      <w:pPr>
        <w:spacing w:after="0" w:line="11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6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If we fail to satisfy the Qualifying Income Exception, we would be required to pay U.S. federal income tax at regular corporate rates on our worldwide income. In addition, we would likely be liable for state and local income and/or franchise taxes on such income. Dividends to shareholders would constitute ordinary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6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Non-U.S. Holders (defined below) should anticipate being required to file U.S. tax returns and may be required to pay U.S. tax solely on account of owning and disposing of our common shares.</w:t>
      </w:r>
    </w:p>
    <w:p>
      <w:pPr>
        <w:spacing w:after="0" w:line="6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Moreover, we anticipate that, in the future, we will sell interests in U.S. real holding property corporations (each a “USRPHC”) and therefore be deemed to be engaged in a U.S. trade or business for that reason at such time. If we were to realize gain from the sale or other disposition of a U.S. real property interest (including a USRPHC) or were otherwise engaged in a U.S. trade or business, Non-U.S. Holders generally would be required to file U.S. federal income tax returns and would be subject to U.S. federal withholding tax on their allocable share of the effectively connected income on gain at the highest marginal U.S. federal income tax rates applicable to ordinary income. Non-U.S. holders that are corporations may also be subject to a branch profits tax on their allocable share of such income. In addition, if we were treated as being 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 Accordingly, Non-U.S. Holders should anticipate being required to file U.S. tax returns and may be required to pay U.S. tax solely on account of owning our common shares.</w:t>
      </w:r>
    </w:p>
    <w:p>
      <w:pPr>
        <w:spacing w:after="0" w:line="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Non-U.S. Holders that hold (or are deemed to hold) more than 5% of our common shares (or held, or were deemed to hold, more than 5% of our common shares) may be subject to U.S. federal income tax upon the disposition of some or all their common shares.</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If a Non-U.S. Holder held more than 5% of our common shares at any time during the 5 year period preceding such Non-U.S. Holder’s disposition of our common shares, and we were considered a USRPHC (determined as if we were a U.S. corporation) at any time during such 5 year period because of our current or previous ownership of U.S. real property interests above a certain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76" w:right="23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threshold, such Non-U.S. Holder may be subject to U.S. tax on such disposition of our common shares (and may have a U.S. tax return filing obligation).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Tax-exempt shareholders may face certain adverse U.S. tax consequences from owning our common shares.</w:t>
      </w:r>
    </w:p>
    <w:p>
      <w:pPr>
        <w:spacing w:after="0" w:line="11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hold or acquire certain investments through an entity classified as a PFIC or CFC for U.S. federal income tax purposes.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w:t>
      </w:r>
    </w:p>
    <w:p>
      <w:pPr>
        <w:spacing w:after="0" w:line="7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4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is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35%.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4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85"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Prospective investors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76" w:right="239" w:bottom="1440" w:gutter="0" w:footer="0" w:header="0"/>
        </w:sectPr>
      </w:pPr>
    </w:p>
    <w:bookmarkStart w:id="87" w:name="page88"/>
    <w:bookmarkEnd w:id="87"/>
    <w:p>
      <w:pPr>
        <w:jc w:val="both"/>
        <w:spacing w:after="0" w:line="264" w:lineRule="auto"/>
        <w:rPr>
          <w:sz w:val="20"/>
          <w:szCs w:val="20"/>
          <w:color w:val="auto"/>
        </w:rPr>
      </w:pPr>
      <w:r>
        <w:rPr>
          <w:rFonts w:ascii="Arial" w:cs="Arial" w:eastAsia="Arial" w:hAnsi="Arial"/>
          <w:sz w:val="18"/>
          <w:szCs w:val="18"/>
          <w:color w:val="auto"/>
        </w:rPr>
        <w:t>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7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5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1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59" w:lineRule="exact"/>
        <w:rPr>
          <w:sz w:val="20"/>
          <w:szCs w:val="20"/>
          <w:color w:val="auto"/>
        </w:rPr>
      </w:pPr>
    </w:p>
    <w:p>
      <w:pPr>
        <w:jc w:val="both"/>
        <w:ind w:firstLine="432"/>
        <w:spacing w:after="0" w:line="375" w:lineRule="auto"/>
        <w:rPr>
          <w:sz w:val="20"/>
          <w:szCs w:val="20"/>
          <w:color w:val="auto"/>
        </w:rPr>
      </w:pPr>
      <w:r>
        <w:rPr>
          <w:rFonts w:ascii="Arial" w:cs="Arial" w:eastAsia="Arial" w:hAnsi="Arial"/>
          <w:sz w:val="15"/>
          <w:szCs w:val="15"/>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4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may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common shares within a 12-month period will result in our termination for U.S. federal income tax purposes.</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will be considered to have terminated as a partnership for U.S. federal income tax purposes if there is a sale or exchange of 50% or more of our common shares within a 12-month period. Our termination would, among other things, result in the closing of our taxable year for all shareholders and could result in a deferral of depreciation and amortization deductions allowable in computing our taxable income.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76" w:right="239"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shares may be volatile, which could result in rapid and substantial losses for our shareholders.</w:t>
      </w:r>
    </w:p>
    <w:p>
      <w:pPr>
        <w:spacing w:after="0" w:line="6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46" w:lineRule="exact"/>
        <w:rPr>
          <w:sz w:val="20"/>
          <w:szCs w:val="20"/>
          <w:color w:val="auto"/>
        </w:rPr>
      </w:pPr>
    </w:p>
    <w:p>
      <w:pPr>
        <w:ind w:left="1060" w:hanging="647"/>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shares;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within the meaning of the JOBS Act, and due to our taking advantage of certain exemptions from various reporting requirements applicable to emerging growth companies, our common shares could be less attractive to investors.</w:t>
      </w:r>
    </w:p>
    <w:p>
      <w:pPr>
        <w:spacing w:after="0" w:line="38"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We are an “emerging growth company” as defined in the JOBS Act. As such,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will remain an emerging growth company until the earliest of (a) the last day of the first fiscal year in which our annual gross revenues exceed $1 billion, (b) the last day of the fiscal year following the fifth anniversary of our initial public offering, (c) the date that we become a “large accelerated filer” as defined in Rule 12b-2 under the Exchange Act, which would occur if the market value of our common shares that are held by non-affiliates exceeds $700 million as of the last business day of our most recently completed second fiscal quarter or</w:t>
      </w:r>
    </w:p>
    <w:p>
      <w:pPr>
        <w:spacing w:after="0" w:line="1" w:lineRule="exact"/>
        <w:rPr>
          <w:sz w:val="20"/>
          <w:szCs w:val="20"/>
          <w:color w:val="auto"/>
        </w:rPr>
      </w:pPr>
    </w:p>
    <w:p>
      <w:pPr>
        <w:jc w:val="both"/>
        <w:ind w:right="20" w:firstLine="8"/>
        <w:spacing w:after="0" w:line="255" w:lineRule="auto"/>
        <w:tabs>
          <w:tab w:leader="none" w:pos="2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during the preceding three-year period. Because we have taken advantage of each of these exemptions, we do not know if some investors will find our common shares less attractive as a result. The result may be a less active trading market for our common shares and our share price may be more volatile.</w:t>
      </w:r>
    </w:p>
    <w:p>
      <w:pPr>
        <w:spacing w:after="0" w:line="8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We will be required by Section 404 of the Sarbanes-Oxley Act to evaluate the effectiveness of our internal controls, and the outcome of that effort may adversely affect our results of operations, financial condition and liquidity.</w:t>
      </w:r>
    </w:p>
    <w:p>
      <w:pPr>
        <w:spacing w:after="0" w:line="6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As a public company, we are required to comply with Section 404 of the Sarbanes-Oxley Act (the timing of when to comply with the auditor attestation requirements will be determined based on whether we take advantage of certain JOBS Act provisions applicable to emerging growth companies). Section 404 requires that we evaluate our internal control over financial reporting to enable management to report on the effectiveness of those controls. We have undertaken a review of our internal controls and procedures. The outcome of our review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Furthermore, if we discover a material weakness, our share price could decline and our ability to raise capital could be impaired.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72" w:right="239" w:bottom="1440" w:gutter="0" w:footer="0" w:header="0"/>
        </w:sectPr>
      </w:pPr>
    </w:p>
    <w:bookmarkStart w:id="89" w:name="page90"/>
    <w:bookmarkEnd w:id="89"/>
    <w:p>
      <w:pPr>
        <w:ind w:left="440"/>
        <w:spacing w:after="0"/>
        <w:rPr>
          <w:sz w:val="20"/>
          <w:szCs w:val="20"/>
          <w:color w:val="auto"/>
        </w:rPr>
      </w:pPr>
      <w:r>
        <w:rPr>
          <w:rFonts w:ascii="Arial" w:cs="Arial" w:eastAsia="Arial" w:hAnsi="Arial"/>
          <w:sz w:val="18"/>
          <w:szCs w:val="18"/>
          <w:b w:val="1"/>
          <w:bCs w:val="1"/>
          <w:i w:val="1"/>
          <w:iCs w:val="1"/>
          <w:color w:val="auto"/>
        </w:rPr>
        <w:t>Your percentage ownership in us may be diluted in the future.</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Your percentage ownership in FTAI may be diluted in the future because of equity awards that may be granted to our Manager pursuant to our Management Agreement.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such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71" w:lineRule="exact"/>
        <w:rPr>
          <w:sz w:val="20"/>
          <w:szCs w:val="20"/>
          <w:color w:val="auto"/>
        </w:rPr>
      </w:pPr>
    </w:p>
    <w:p>
      <w:pPr>
        <w:jc w:val="both"/>
        <w:ind w:firstLine="537"/>
        <w:spacing w:after="0" w:line="269" w:lineRule="auto"/>
        <w:rPr>
          <w:sz w:val="20"/>
          <w:szCs w:val="20"/>
          <w:color w:val="auto"/>
        </w:rPr>
      </w:pPr>
      <w:r>
        <w:rPr>
          <w:rFonts w:ascii="Arial" w:cs="Arial" w:eastAsia="Arial" w:hAnsi="Arial"/>
          <w:sz w:val="17"/>
          <w:szCs w:val="17"/>
          <w:color w:val="auto"/>
        </w:rPr>
        <w:t>Our board of directors has adopted the Fortress Transportation and Infrastructure Investors Nonqualified Stock Option and Incentive Award Plan (the “Incentive Plan”) which provides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(i) the gross capital raised in an equity issuance of equity securities other than common shares during the ten-year term of the Incentive Plan, divided by (ii) the fair market value of a common share as of the date of such equity issuance.</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or issuances of shares of our common shares could adversely affect the market price of our common shares.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of substantial amounts of shares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5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determination of how much leverage to use to finance our acquisitions may adversely affect our return on our assets and may reduce funds available for distribution.</w:t>
      </w:r>
    </w:p>
    <w:p>
      <w:pPr>
        <w:spacing w:after="0" w:line="6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76" w:right="239" w:bottom="1440" w:gutter="0" w:footer="0" w:header="0"/>
        </w:sectPr>
      </w:pPr>
    </w:p>
    <w:bookmarkStart w:id="90" w:name="page91"/>
    <w:bookmarkEnd w:id="90"/>
    <w:p>
      <w:pPr>
        <w:ind w:left="440"/>
        <w:spacing w:after="0"/>
        <w:rPr>
          <w:sz w:val="20"/>
          <w:szCs w:val="20"/>
          <w:color w:val="auto"/>
        </w:rPr>
      </w:pPr>
      <w:r>
        <w:rPr>
          <w:rFonts w:ascii="Arial" w:cs="Arial" w:eastAsia="Arial" w:hAnsi="Arial"/>
          <w:sz w:val="17"/>
          <w:szCs w:val="17"/>
          <w:b w:val="1"/>
          <w:bCs w:val="1"/>
          <w:i w:val="1"/>
          <w:iCs w:val="1"/>
          <w:color w:val="auto"/>
        </w:rPr>
        <w:t>While we currently intend to pay regular quarterly dividends to our shareholders, we may change our dividend policy at any time.</w:t>
      </w:r>
    </w:p>
    <w:p>
      <w:pPr>
        <w:spacing w:after="0" w:line="12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Anti-takeover provisions in our operating agreement and Delaware law could delay or prevent a change in control.</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8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3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As a public company, we will incur additional costs and face increased demands on our management.</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and financial compliance costs and make some activities to our board of directors more time-consuming and costly. For example, as a result of becoming a public company, we have independent directors and board committees. In addition, we may incur additional costs associated with our public company reporting requirements and maintaining directors’ and officers’ liability insurance.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immediately following the signature page of this Quarterly Report on Form 10-Q.</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476" w:right="239" w:bottom="1440" w:gutter="0" w:footer="0" w:header="0"/>
          <w:type w:val="continuous"/>
        </w:sectPr>
      </w:pPr>
    </w:p>
    <w:bookmarkStart w:id="91" w:name="page92"/>
    <w:bookmarkEnd w:id="91"/>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FORTRESS TRANSPORTATION AND INFRASTRUCTURE INVESTORS LLC</w:t>
      </w:r>
    </w:p>
    <w:p>
      <w:pPr>
        <w:spacing w:after="0" w:line="387" w:lineRule="exact"/>
        <w:rPr>
          <w:sz w:val="20"/>
          <w:szCs w:val="20"/>
          <w:color w:val="auto"/>
        </w:rPr>
      </w:pPr>
    </w:p>
    <w:p>
      <w:pPr>
        <w:ind w:left="7960"/>
        <w:spacing w:after="0"/>
        <w:tabs>
          <w:tab w:leader="none" w:pos="9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31750</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7"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Joseph P. Adams, Jr.</w:t>
      </w:r>
    </w:p>
    <w:p>
      <w:pPr>
        <w:spacing w:after="0" w:line="63"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November 3,</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2016</w:t>
      </w:r>
    </w:p>
    <w:p>
      <w:pPr>
        <w:spacing w:after="0" w:line="400" w:lineRule="exact"/>
        <w:rPr>
          <w:sz w:val="20"/>
          <w:szCs w:val="20"/>
          <w:color w:val="auto"/>
        </w:rPr>
      </w:pPr>
    </w:p>
    <w:p>
      <w:pPr>
        <w:ind w:left="7960"/>
        <w:spacing w:after="0"/>
        <w:tabs>
          <w:tab w:leader="none" w:pos="9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31750</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7"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Scott Christopher</w:t>
      </w:r>
    </w:p>
    <w:p>
      <w:pPr>
        <w:spacing w:after="0" w:line="63"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Interim Chief Financial</w:t>
      </w:r>
    </w:p>
    <w:p>
      <w:pPr>
        <w:spacing w:after="0" w:line="23"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Officer and Chief Accounting</w:t>
      </w:r>
    </w:p>
    <w:p>
      <w:pPr>
        <w:spacing w:after="0" w:line="32"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November 3,</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2016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368" w:right="2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2360"/>
              <w:spacing w:after="0"/>
              <w:rPr>
                <w:sz w:val="20"/>
                <w:szCs w:val="20"/>
                <w:color w:val="auto"/>
              </w:rPr>
            </w:pPr>
            <w:r>
              <w:rPr>
                <w:rFonts w:ascii="Arial" w:cs="Arial" w:eastAsia="Arial" w:hAnsi="Arial"/>
                <w:sz w:val="18"/>
                <w:szCs w:val="18"/>
                <w:b w:val="1"/>
                <w:bCs w:val="1"/>
                <w:color w:val="auto"/>
              </w:rPr>
              <w:t>INDEX TO EXHIBITS</w:t>
            </w:r>
          </w:p>
        </w:tc>
      </w:tr>
      <w:tr>
        <w:trPr>
          <w:trHeight w:val="594"/>
        </w:trPr>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8540" w:type="dxa"/>
            <w:vAlign w:val="bottom"/>
          </w:tcPr>
          <w:p>
            <w:pPr>
              <w:ind w:left="38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384"/>
        </w:trPr>
        <w:tc>
          <w:tcPr>
            <w:tcW w:w="1260" w:type="dxa"/>
            <w:vAlign w:val="bottom"/>
          </w:tcPr>
          <w:p>
            <w:pPr>
              <w:ind w:left="20"/>
              <w:spacing w:after="0"/>
              <w:rPr>
                <w:sz w:val="20"/>
                <w:szCs w:val="20"/>
                <w:color w:val="auto"/>
              </w:rPr>
            </w:pPr>
            <w:r>
              <w:rPr>
                <w:rFonts w:ascii="Arial" w:cs="Arial" w:eastAsia="Arial" w:hAnsi="Arial"/>
                <w:sz w:val="18"/>
                <w:szCs w:val="18"/>
                <w:color w:val="auto"/>
              </w:rPr>
              <w:t>31.1</w:t>
            </w:r>
          </w:p>
        </w:tc>
        <w:tc>
          <w:tcPr>
            <w:tcW w:w="7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w:t>
            </w:r>
          </w:p>
        </w:tc>
      </w:tr>
      <w:tr>
        <w:trPr>
          <w:trHeight w:val="230"/>
        </w:trPr>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1260" w:type="dxa"/>
            <w:vAlign w:val="bottom"/>
          </w:tcPr>
          <w:p>
            <w:pPr>
              <w:ind w:left="20"/>
              <w:spacing w:after="0"/>
              <w:rPr>
                <w:sz w:val="20"/>
                <w:szCs w:val="20"/>
                <w:color w:val="auto"/>
              </w:rPr>
            </w:pPr>
            <w:r>
              <w:rPr>
                <w:rFonts w:ascii="Arial" w:cs="Arial" w:eastAsia="Arial" w:hAnsi="Arial"/>
                <w:sz w:val="18"/>
                <w:szCs w:val="18"/>
                <w:color w:val="auto"/>
              </w:rPr>
              <w:t>31.2</w:t>
            </w:r>
          </w:p>
        </w:tc>
        <w:tc>
          <w:tcPr>
            <w:tcW w:w="760" w:type="dxa"/>
            <w:vAlign w:val="bottom"/>
          </w:tcPr>
          <w:p>
            <w:pPr>
              <w:spacing w:after="0"/>
              <w:rPr>
                <w:sz w:val="22"/>
                <w:szCs w:val="22"/>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w:t>
            </w:r>
          </w:p>
        </w:tc>
      </w:tr>
      <w:tr>
        <w:trPr>
          <w:trHeight w:val="230"/>
        </w:trPr>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1260" w:type="dxa"/>
            <w:vAlign w:val="bottom"/>
          </w:tcPr>
          <w:p>
            <w:pPr>
              <w:ind w:left="20"/>
              <w:spacing w:after="0"/>
              <w:rPr>
                <w:sz w:val="20"/>
                <w:szCs w:val="20"/>
                <w:color w:val="auto"/>
              </w:rPr>
            </w:pPr>
            <w:r>
              <w:rPr>
                <w:rFonts w:ascii="Arial" w:cs="Arial" w:eastAsia="Arial" w:hAnsi="Arial"/>
                <w:sz w:val="18"/>
                <w:szCs w:val="18"/>
                <w:color w:val="auto"/>
              </w:rPr>
              <w:t>32.1</w:t>
            </w:r>
          </w:p>
        </w:tc>
        <w:tc>
          <w:tcPr>
            <w:tcW w:w="760" w:type="dxa"/>
            <w:vAlign w:val="bottom"/>
          </w:tcPr>
          <w:p>
            <w:pPr>
              <w:spacing w:after="0"/>
              <w:rPr>
                <w:sz w:val="22"/>
                <w:szCs w:val="22"/>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w:t>
            </w:r>
          </w:p>
        </w:tc>
      </w:tr>
      <w:tr>
        <w:trPr>
          <w:trHeight w:val="230"/>
        </w:trPr>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1260" w:type="dxa"/>
            <w:vAlign w:val="bottom"/>
          </w:tcPr>
          <w:p>
            <w:pPr>
              <w:ind w:left="20"/>
              <w:spacing w:after="0"/>
              <w:rPr>
                <w:sz w:val="20"/>
                <w:szCs w:val="20"/>
                <w:color w:val="auto"/>
              </w:rPr>
            </w:pPr>
            <w:r>
              <w:rPr>
                <w:rFonts w:ascii="Arial" w:cs="Arial" w:eastAsia="Arial" w:hAnsi="Arial"/>
                <w:sz w:val="18"/>
                <w:szCs w:val="18"/>
                <w:color w:val="auto"/>
              </w:rPr>
              <w:t>32.2</w:t>
            </w:r>
          </w:p>
        </w:tc>
        <w:tc>
          <w:tcPr>
            <w:tcW w:w="760" w:type="dxa"/>
            <w:vAlign w:val="bottom"/>
          </w:tcPr>
          <w:p>
            <w:pPr>
              <w:spacing w:after="0"/>
              <w:rPr>
                <w:sz w:val="22"/>
                <w:szCs w:val="22"/>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w:t>
            </w:r>
          </w:p>
        </w:tc>
      </w:tr>
      <w:tr>
        <w:trPr>
          <w:trHeight w:val="230"/>
        </w:trPr>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Sarbanes-Oxley Act of 2002.</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85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3160"/>
              <w:spacing w:after="0"/>
              <w:rPr>
                <w:sz w:val="20"/>
                <w:szCs w:val="20"/>
                <w:color w:val="auto"/>
              </w:rPr>
            </w:pPr>
            <w:r>
              <w:rPr>
                <w:rFonts w:ascii="Arial" w:cs="Arial" w:eastAsia="Arial" w:hAnsi="Arial"/>
                <w:sz w:val="18"/>
                <w:szCs w:val="18"/>
                <w:color w:val="auto"/>
              </w:rPr>
              <w:t>93</w:t>
            </w:r>
          </w:p>
        </w:tc>
      </w:tr>
    </w:tbl>
    <w:p>
      <w:pPr>
        <w:sectPr>
          <w:pgSz w:w="11900" w:h="16838" w:orient="portrait"/>
          <w:cols w:equalWidth="0" w:num="1">
            <w:col w:w="10560"/>
          </w:cols>
          <w:pgMar w:left="680" w:top="580" w:right="6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P. Adams. Jr., certify that:</w:t>
      </w:r>
    </w:p>
    <w:p>
      <w:pPr>
        <w:spacing w:after="0" w:line="225"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Fortress Transportation and Infrastructure Investors LLC;</w:t>
      </w:r>
    </w:p>
    <w:p>
      <w:pPr>
        <w:spacing w:after="0" w:line="171"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60" w:firstLine="8"/>
        <w:spacing w:after="0" w:line="277" w:lineRule="auto"/>
        <w:tabs>
          <w:tab w:leader="none" w:pos="31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right="180" w:firstLine="656"/>
        <w:spacing w:after="0" w:line="264" w:lineRule="auto"/>
        <w:tabs>
          <w:tab w:leader="none" w:pos="102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100" w:hanging="444"/>
        <w:spacing w:after="0"/>
        <w:tabs>
          <w:tab w:leader="none" w:pos="11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right="680" w:firstLine="656"/>
        <w:spacing w:after="0" w:line="342" w:lineRule="auto"/>
        <w:tabs>
          <w:tab w:leader="none" w:pos="1028"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60" w:firstLine="656"/>
        <w:spacing w:after="0" w:line="308" w:lineRule="auto"/>
        <w:tabs>
          <w:tab w:leader="none" w:pos="1038"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2" w:lineRule="exact"/>
        <w:rPr>
          <w:rFonts w:ascii="Arial" w:cs="Arial" w:eastAsia="Arial" w:hAnsi="Arial"/>
          <w:sz w:val="17"/>
          <w:szCs w:val="17"/>
          <w:color w:val="auto"/>
        </w:rPr>
      </w:pPr>
    </w:p>
    <w:p>
      <w:pPr>
        <w:ind w:right="520" w:firstLine="8"/>
        <w:spacing w:after="0" w:line="308" w:lineRule="auto"/>
        <w:tabs>
          <w:tab w:leader="none" w:pos="31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656"/>
        <w:spacing w:after="0" w:line="277" w:lineRule="auto"/>
        <w:tabs>
          <w:tab w:leader="none" w:pos="101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0" w:firstLine="656"/>
        <w:spacing w:after="0" w:line="277" w:lineRule="auto"/>
        <w:tabs>
          <w:tab w:leader="none" w:pos="102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November 3, 2016</w:t>
            </w:r>
          </w:p>
        </w:tc>
        <w:tc>
          <w:tcPr>
            <w:tcW w:w="5700" w:type="dxa"/>
            <w:vAlign w:val="bottom"/>
          </w:tcPr>
          <w:p>
            <w:pPr>
              <w:ind w:left="20"/>
              <w:spacing w:after="0"/>
              <w:rPr>
                <w:sz w:val="20"/>
                <w:szCs w:val="20"/>
                <w:color w:val="auto"/>
              </w:rPr>
            </w:pPr>
            <w:r>
              <w:rPr>
                <w:rFonts w:ascii="Arial" w:cs="Arial" w:eastAsia="Arial" w:hAnsi="Arial"/>
                <w:sz w:val="18"/>
                <w:szCs w:val="18"/>
                <w:color w:val="auto"/>
              </w:rPr>
              <w:t>/s/ Joseph P. Adams, Jr.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Joseph P. Adams, Jr.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80"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Christopher, certify that:</w:t>
      </w:r>
    </w:p>
    <w:p>
      <w:pPr>
        <w:spacing w:after="0" w:line="225"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Fortress Transportation and Infrastructure Investors LLC;</w:t>
      </w:r>
    </w:p>
    <w:p>
      <w:pPr>
        <w:spacing w:after="0" w:line="171" w:lineRule="exact"/>
        <w:rPr>
          <w:rFonts w:ascii="Arial" w:cs="Arial" w:eastAsia="Arial" w:hAnsi="Arial"/>
          <w:sz w:val="18"/>
          <w:szCs w:val="18"/>
          <w:color w:val="auto"/>
        </w:rPr>
      </w:pPr>
    </w:p>
    <w:p>
      <w:pPr>
        <w:ind w:right="440" w:firstLine="8"/>
        <w:spacing w:after="0" w:line="342" w:lineRule="auto"/>
        <w:tabs>
          <w:tab w:leader="none" w:pos="3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60" w:firstLine="8"/>
        <w:spacing w:after="0" w:line="277" w:lineRule="auto"/>
        <w:tabs>
          <w:tab w:leader="none" w:pos="3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right="180" w:firstLine="656"/>
        <w:spacing w:after="0" w:line="264" w:lineRule="auto"/>
        <w:tabs>
          <w:tab w:leader="none" w:pos="102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100" w:hanging="444"/>
        <w:spacing w:after="0"/>
        <w:tabs>
          <w:tab w:leader="none" w:pos="11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right="680" w:firstLine="656"/>
        <w:spacing w:after="0" w:line="342" w:lineRule="auto"/>
        <w:tabs>
          <w:tab w:leader="none" w:pos="1028"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60" w:firstLine="656"/>
        <w:spacing w:after="0" w:line="308" w:lineRule="auto"/>
        <w:tabs>
          <w:tab w:leader="none" w:pos="1038"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2" w:lineRule="exact"/>
        <w:rPr>
          <w:rFonts w:ascii="Arial" w:cs="Arial" w:eastAsia="Arial" w:hAnsi="Arial"/>
          <w:sz w:val="17"/>
          <w:szCs w:val="17"/>
          <w:color w:val="auto"/>
        </w:rPr>
      </w:pPr>
    </w:p>
    <w:p>
      <w:pPr>
        <w:ind w:right="520" w:firstLine="8"/>
        <w:spacing w:after="0" w:line="308" w:lineRule="auto"/>
        <w:tabs>
          <w:tab w:leader="none" w:pos="312"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656"/>
        <w:spacing w:after="0" w:line="277" w:lineRule="auto"/>
        <w:tabs>
          <w:tab w:leader="none" w:pos="101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0" w:firstLine="656"/>
        <w:spacing w:after="0" w:line="277" w:lineRule="auto"/>
        <w:tabs>
          <w:tab w:leader="none" w:pos="102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November 3, 2016</w:t>
            </w:r>
          </w:p>
        </w:tc>
        <w:tc>
          <w:tcPr>
            <w:tcW w:w="5700" w:type="dxa"/>
            <w:vAlign w:val="bottom"/>
          </w:tcPr>
          <w:p>
            <w:pPr>
              <w:ind w:left="20"/>
              <w:spacing w:after="0"/>
              <w:rPr>
                <w:sz w:val="20"/>
                <w:szCs w:val="20"/>
                <w:color w:val="auto"/>
              </w:rPr>
            </w:pPr>
            <w:r>
              <w:rPr>
                <w:rFonts w:ascii="Arial" w:cs="Arial" w:eastAsia="Arial" w:hAnsi="Arial"/>
                <w:sz w:val="18"/>
                <w:szCs w:val="18"/>
                <w:color w:val="auto"/>
              </w:rPr>
              <w:t>/s/ Scott Christopher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Scott Christopher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bl>
    <w:p>
      <w:pPr>
        <w:sectPr>
          <w:pgSz w:w="11900" w:h="16838" w:orient="portrait"/>
          <w:cols w:equalWidth="0" w:num="1">
            <w:col w:w="11420"/>
          </w:cols>
          <w:pgMar w:left="240" w:top="580" w:right="23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connection with the Quarterly Report on Form 10-Q of Fortress Transportation and Infrastructure Investors LLC (the “Company”) for the quarterly period ended September 30, 2016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P. Adams,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3, 2016</w:t>
      </w:r>
    </w:p>
    <w:p>
      <w:pPr>
        <w:spacing w:after="0" w:line="25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00"/>
          </w:cols>
          <w:pgMar w:left="240" w:top="580" w:right="25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Fortress Transportation and Infrastructure Investors LLC (the “Company”) for the quarterly period ended September 30, 2016 as filed with the Securities and Exchange Commission on the date hereof (the “Report”), Scott Christopher, as Interim Chief Financial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Christopher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Chief Financial Officer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November 3, 2016</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lowerRoman"/>
      <w:start w:val="2"/>
    </w:lvl>
  </w:abstractNum>
  <w:abstractNum w:abstractNumId="4">
    <w:nsid w:val="6CEAF087"/>
    <w:multiLevelType w:val="hybridMultilevel"/>
    <w:lvl w:ilvl="0">
      <w:lvlJc w:val="left"/>
      <w:lvlText w:val="%1."/>
      <w:numFmt w:val="decimal"/>
      <w:start w:val="3"/>
    </w:lvl>
  </w:abstractNum>
  <w:abstractNum w:abstractNumId="5">
    <w:nsid w:val="22221A70"/>
    <w:multiLevelType w:val="hybridMultilevel"/>
    <w:lvl w:ilvl="0">
      <w:lvlJc w:val="left"/>
      <w:lvlText w:val="%1."/>
      <w:numFmt w:val="decimal"/>
      <w:start w:val="5"/>
    </w:lvl>
  </w:abstractNum>
  <w:abstractNum w:abstractNumId="6">
    <w:nsid w:val="4516DDE9"/>
    <w:multiLevelType w:val="hybridMultilevel"/>
    <w:lvl w:ilvl="0">
      <w:lvlJc w:val="left"/>
      <w:lvlText w:val="%1."/>
      <w:numFmt w:val="decimal"/>
      <w:start w:val="6"/>
    </w:lvl>
  </w:abstractNum>
  <w:abstractNum w:abstractNumId="7">
    <w:nsid w:val="3006C83E"/>
    <w:multiLevelType w:val="hybridMultilevel"/>
    <w:lvl w:ilvl="0">
      <w:lvlJc w:val="left"/>
      <w:lvlText w:val="%1."/>
      <w:numFmt w:val="decimal"/>
      <w:start w:val="9"/>
    </w:lvl>
    <w:lvl w:ilvl="1">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decimal"/>
      <w:start w:val="10"/>
    </w:lvl>
  </w:abstractNum>
  <w:abstractNum w:abstractNumId="10">
    <w:nsid w:val="5577F8E1"/>
    <w:multiLevelType w:val="hybridMultilevel"/>
    <w:lvl w:ilvl="0">
      <w:lvlJc w:val="left"/>
      <w:lvlText w:val="%1."/>
      <w:numFmt w:val="decimal"/>
      <w:start w:val="11"/>
    </w:lvl>
  </w:abstractNum>
  <w:abstractNum w:abstractNumId="11">
    <w:nsid w:val="440BADFC"/>
    <w:multiLevelType w:val="hybridMultilevel"/>
    <w:lvl w:ilvl="0">
      <w:lvlJc w:val="left"/>
      <w:lvlText w:val="%1."/>
      <w:numFmt w:val="decimal"/>
      <w:start w:val="12"/>
    </w:lvl>
  </w:abstractNum>
  <w:abstractNum w:abstractNumId="12">
    <w:nsid w:val="5072367"/>
    <w:multiLevelType w:val="hybridMultilevel"/>
    <w:lvl w:ilvl="0">
      <w:lvlJc w:val="left"/>
      <w:lvlText w:val="%1."/>
      <w:numFmt w:val="decimal"/>
      <w:start w:val="13"/>
    </w:lvl>
  </w:abstractNum>
  <w:abstractNum w:abstractNumId="13">
    <w:nsid w:val="3804823E"/>
    <w:multiLevelType w:val="hybridMultilevel"/>
    <w:lvl w:ilvl="0">
      <w:lvlJc w:val="left"/>
      <w:lvlText w:val="%1."/>
      <w:numFmt w:val="decimal"/>
      <w:start w:val="14"/>
    </w:lvl>
  </w:abstractNum>
  <w:abstractNum w:abstractNumId="14">
    <w:nsid w:val="77465F01"/>
    <w:multiLevelType w:val="hybridMultilevel"/>
    <w:lvl w:ilvl="0">
      <w:lvlJc w:val="left"/>
      <w:lvlText w:val="%1."/>
      <w:numFmt w:val="decimal"/>
      <w:start w:val="15"/>
    </w:lvl>
  </w:abstractNum>
  <w:abstractNum w:abstractNumId="15">
    <w:nsid w:val="7724C67E"/>
    <w:multiLevelType w:val="hybridMultilevel"/>
    <w:lvl w:ilvl="0">
      <w:lvlJc w:val="left"/>
      <w:lvlText w:val="%1."/>
      <w:numFmt w:val="decimal"/>
      <w:start w:val="16"/>
    </w:lvl>
  </w:abstractNum>
  <w:abstractNum w:abstractNumId="16">
    <w:nsid w:val="5C482A97"/>
    <w:multiLevelType w:val="hybridMultilevel"/>
    <w:lvl w:ilvl="0">
      <w:lvlJc w:val="left"/>
      <w:lvlText w:val="%1."/>
      <w:numFmt w:val="decimal"/>
      <w:start w:val="17"/>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lowerLetter"/>
      <w:start w:val="2"/>
    </w:lvl>
  </w:abstractNum>
  <w:abstractNum w:abstractNumId="20">
    <w:nsid w:val="2D517796"/>
    <w:multiLevelType w:val="hybridMultilevel"/>
    <w:lvl w:ilvl="0">
      <w:lvlJc w:val="left"/>
      <w:lvlText w:val="(%1)"/>
      <w:numFmt w:val="lowerLetter"/>
      <w:start w:val="2"/>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2"/>
    </w:lvl>
  </w:abstractNum>
  <w:abstractNum w:abstractNumId="23">
    <w:nsid w:val="3855585C"/>
    <w:multiLevelType w:val="hybridMultilevel"/>
    <w:lvl w:ilvl="0">
      <w:lvlJc w:val="left"/>
      <w:lvlText w:val="(%1)"/>
      <w:numFmt w:val="decimal"/>
      <w:start w:val="3"/>
    </w:lvl>
  </w:abstractNum>
  <w:abstractNum w:abstractNumId="24">
    <w:nsid w:val="70A64E2A"/>
    <w:multiLevelType w:val="hybridMultilevel"/>
    <w:lvl w:ilvl="0">
      <w:lvlJc w:val="left"/>
      <w:lvlText w:val="(%1)"/>
      <w:numFmt w:val="decimal"/>
      <w:start w:val="4"/>
    </w:lvl>
  </w:abstractNum>
  <w:abstractNum w:abstractNumId="25">
    <w:nsid w:val="6A2342EC"/>
    <w:multiLevelType w:val="hybridMultilevel"/>
    <w:lvl w:ilvl="0">
      <w:lvlJc w:val="left"/>
      <w:lvlText w:val="(%1)"/>
      <w:numFmt w:val="decimal"/>
      <w:start w:val="5"/>
    </w:lvl>
  </w:abstractNum>
  <w:abstractNum w:abstractNumId="26">
    <w:nsid w:val="2A487CB0"/>
    <w:multiLevelType w:val="hybridMultilevel"/>
    <w:lvl w:ilvl="0">
      <w:lvlJc w:val="left"/>
      <w:lvlText w:val="(%1)"/>
      <w:numFmt w:val="lowerRoman"/>
      <w:start w:val="2"/>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2"/>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2"/>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2"/>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lowerRoman"/>
      <w:start w:val="2"/>
    </w:lvl>
  </w:abstractNum>
  <w:abstractNum w:abstractNumId="36">
    <w:nsid w:val="7644A45C"/>
    <w:multiLevelType w:val="hybridMultilevel"/>
    <w:lvl w:ilvl="0">
      <w:lvlJc w:val="left"/>
      <w:lvlText w:val="(%1)"/>
      <w:numFmt w:val="decimal"/>
      <w:start w:val="2"/>
    </w:lvl>
  </w:abstractNum>
  <w:abstractNum w:abstractNumId="37">
    <w:nsid w:val="32FFF902"/>
    <w:multiLevelType w:val="hybridMultilevel"/>
    <w:lvl w:ilvl="0">
      <w:lvlJc w:val="left"/>
      <w:lvlText w:val="(%1)"/>
      <w:numFmt w:val="lowerRoman"/>
      <w:start w:val="2"/>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lowerRoman"/>
      <w:start w:val="3"/>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lowerRoman"/>
      <w:start w:val="3"/>
    </w:lvl>
    <w:lvl w:ilvl="1">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lvl w:ilvl="1">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1)"/>
      <w:numFmt w:val="lowerLetter"/>
      <w:start w:val="4"/>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2019-12-29T09:41:05Z</dcterms:created>
  <dcterms:modified xsi:type="dcterms:W3CDTF">2019-12-29T09:41:05Z</dcterms:modified>
</cp:coreProperties>
</file>