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4"/>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4"/>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40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4"/>
              <w:spacing w:after="0"/>
              <w:rPr>
                <w:sz w:val="20"/>
                <w:szCs w:val="20"/>
                <w:color w:val="auto"/>
              </w:rPr>
            </w:pPr>
            <w:r>
              <w:rPr>
                <w:rFonts w:ascii="Arial" w:cs="Arial" w:eastAsia="Arial" w:hAnsi="Arial"/>
                <w:sz w:val="25"/>
                <w:szCs w:val="25"/>
                <w:b w:val="1"/>
                <w:bCs w:val="1"/>
                <w:color w:val="auto"/>
                <w:w w:val="99"/>
              </w:rPr>
              <w:t>FORM 10-Q</w:t>
            </w:r>
          </w:p>
        </w:tc>
        <w:tc>
          <w:tcPr>
            <w:tcW w:w="0" w:type="dxa"/>
            <w:vAlign w:val="bottom"/>
          </w:tcPr>
          <w:p>
            <w:pPr>
              <w:spacing w:after="0"/>
              <w:rPr>
                <w:sz w:val="1"/>
                <w:szCs w:val="1"/>
                <w:color w:val="auto"/>
              </w:rPr>
            </w:pPr>
          </w:p>
        </w:tc>
      </w:tr>
      <w:tr>
        <w:trPr>
          <w:trHeight w:val="282"/>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501"/>
        </w:trPr>
        <w:tc>
          <w:tcPr>
            <w:tcW w:w="1000" w:type="dxa"/>
            <w:vAlign w:val="bottom"/>
          </w:tcPr>
          <w:p>
            <w:pPr>
              <w:spacing w:after="0"/>
              <w:rPr>
                <w:sz w:val="24"/>
                <w:szCs w:val="24"/>
                <w:color w:val="auto"/>
              </w:rPr>
            </w:pPr>
          </w:p>
        </w:tc>
        <w:tc>
          <w:tcPr>
            <w:tcW w:w="9080" w:type="dxa"/>
            <w:vAlign w:val="bottom"/>
          </w:tcPr>
          <w:p>
            <w:pPr>
              <w:jc w:val="center"/>
              <w:ind w:left="34"/>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4"/>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82"/>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55"/>
        </w:trPr>
        <w:tc>
          <w:tcPr>
            <w:tcW w:w="1000" w:type="dxa"/>
            <w:vAlign w:val="bottom"/>
          </w:tcPr>
          <w:p>
            <w:pPr>
              <w:spacing w:after="0"/>
              <w:rPr>
                <w:sz w:val="24"/>
                <w:szCs w:val="24"/>
                <w:color w:val="auto"/>
              </w:rPr>
            </w:pPr>
          </w:p>
        </w:tc>
        <w:tc>
          <w:tcPr>
            <w:tcW w:w="9080" w:type="dxa"/>
            <w:vAlign w:val="bottom"/>
          </w:tcPr>
          <w:p>
            <w:pPr>
              <w:jc w:val="center"/>
              <w:ind w:left="34"/>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4"/>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149860</wp:posOffset>
            </wp:positionV>
            <wp:extent cx="128587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3740" w:type="dxa"/>
            <w:vAlign w:val="bottom"/>
            <w:gridSpan w:val="3"/>
          </w:tcPr>
          <w:p>
            <w:pPr>
              <w:ind w:left="40"/>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506"/>
        </w:trPr>
        <w:tc>
          <w:tcPr>
            <w:tcW w:w="37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w w:val="99"/>
              </w:rPr>
              <w:t>Delaware</w:t>
            </w:r>
          </w:p>
        </w:tc>
        <w:tc>
          <w:tcPr>
            <w:tcW w:w="2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24"/>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200" w:type="dxa"/>
            <w:vAlign w:val="bottom"/>
          </w:tcPr>
          <w:p>
            <w:pPr>
              <w:spacing w:after="0"/>
              <w:rPr>
                <w:sz w:val="19"/>
                <w:szCs w:val="19"/>
                <w:color w:val="auto"/>
              </w:rPr>
            </w:pPr>
          </w:p>
        </w:tc>
        <w:tc>
          <w:tcPr>
            <w:tcW w:w="3740" w:type="dxa"/>
            <w:vAlign w:val="bottom"/>
            <w:gridSpan w:val="3"/>
          </w:tcPr>
          <w:p>
            <w:pPr>
              <w:jc w:val="center"/>
              <w:ind w:right="1119"/>
              <w:spacing w:after="0"/>
              <w:rPr>
                <w:sz w:val="20"/>
                <w:szCs w:val="20"/>
                <w:color w:val="auto"/>
              </w:rPr>
            </w:pPr>
            <w:r>
              <w:rPr>
                <w:rFonts w:ascii="Arial" w:cs="Arial" w:eastAsia="Arial" w:hAnsi="Arial"/>
                <w:sz w:val="16"/>
                <w:szCs w:val="16"/>
                <w:color w:val="auto"/>
              </w:rPr>
              <w:t>(I.R.S. Employer Identification No.)</w:t>
            </w:r>
          </w:p>
        </w:tc>
      </w:tr>
      <w:tr>
        <w:trPr>
          <w:trHeight w:val="472"/>
        </w:trPr>
        <w:tc>
          <w:tcPr>
            <w:tcW w:w="3740" w:type="dxa"/>
            <w:vAlign w:val="bottom"/>
          </w:tcPr>
          <w:p>
            <w:pPr>
              <w:ind w:left="600"/>
              <w:spacing w:after="0"/>
              <w:rPr>
                <w:sz w:val="20"/>
                <w:szCs w:val="20"/>
                <w:color w:val="auto"/>
              </w:rPr>
            </w:pPr>
            <w:r>
              <w:rPr>
                <w:rFonts w:ascii="Arial" w:cs="Arial" w:eastAsia="Arial" w:hAnsi="Arial"/>
                <w:sz w:val="16"/>
                <w:szCs w:val="16"/>
                <w:b w:val="1"/>
                <w:bCs w:val="1"/>
                <w:color w:val="auto"/>
              </w:rPr>
              <w:t>1345 Avenue of the Americas, 45th Floor</w:t>
            </w:r>
          </w:p>
        </w:tc>
        <w:tc>
          <w:tcPr>
            <w:tcW w:w="2540" w:type="dxa"/>
            <w:vAlign w:val="bottom"/>
            <w:gridSpan w:val="2"/>
          </w:tcPr>
          <w:p>
            <w:pPr>
              <w:ind w:left="1200"/>
              <w:spacing w:after="0"/>
              <w:rPr>
                <w:sz w:val="20"/>
                <w:szCs w:val="20"/>
                <w:color w:val="auto"/>
              </w:rPr>
            </w:pPr>
            <w:r>
              <w:rPr>
                <w:rFonts w:ascii="Arial" w:cs="Arial" w:eastAsia="Arial" w:hAnsi="Arial"/>
                <w:sz w:val="16"/>
                <w:szCs w:val="16"/>
                <w:b w:val="1"/>
                <w:bCs w:val="1"/>
                <w:color w:val="auto"/>
              </w:rPr>
              <w:t>New York</w:t>
            </w:r>
          </w:p>
        </w:tc>
        <w:tc>
          <w:tcPr>
            <w:tcW w:w="1200" w:type="dxa"/>
            <w:vAlign w:val="bottom"/>
          </w:tcPr>
          <w:p>
            <w:pPr>
              <w:ind w:left="780"/>
              <w:spacing w:after="0"/>
              <w:rPr>
                <w:sz w:val="20"/>
                <w:szCs w:val="20"/>
                <w:color w:val="auto"/>
              </w:rPr>
            </w:pPr>
            <w:r>
              <w:rPr>
                <w:rFonts w:ascii="Arial" w:cs="Arial" w:eastAsia="Arial" w:hAnsi="Arial"/>
                <w:sz w:val="16"/>
                <w:szCs w:val="16"/>
                <w:b w:val="1"/>
                <w:bCs w:val="1"/>
                <w:color w:val="auto"/>
              </w:rPr>
              <w:t>NY</w:t>
            </w:r>
          </w:p>
        </w:tc>
        <w:tc>
          <w:tcPr>
            <w:tcW w:w="37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23"/>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208"/>
        </w:trPr>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0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23"/>
        </w:trPr>
        <w:tc>
          <w:tcPr>
            <w:tcW w:w="580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shares, $0.01 par value per share</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37"/>
        </w:trPr>
        <w:tc>
          <w:tcPr>
            <w:tcW w:w="5800" w:type="dxa"/>
            <w:vAlign w:val="bottom"/>
            <w:gridSpan w:val="2"/>
          </w:tcPr>
          <w:p>
            <w:pPr>
              <w:jc w:val="center"/>
              <w:ind w:right="12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195"/>
        </w:trPr>
        <w:tc>
          <w:tcPr>
            <w:tcW w:w="5800" w:type="dxa"/>
            <w:vAlign w:val="bottom"/>
            <w:gridSpan w:val="2"/>
          </w:tcPr>
          <w:p>
            <w:pPr>
              <w:jc w:val="center"/>
              <w:ind w:right="120"/>
              <w:spacing w:after="0"/>
              <w:rPr>
                <w:sz w:val="20"/>
                <w:szCs w:val="20"/>
                <w:color w:val="auto"/>
              </w:rPr>
            </w:pPr>
            <w:r>
              <w:rPr>
                <w:rFonts w:ascii="Arial" w:cs="Arial" w:eastAsia="Arial" w:hAnsi="Arial"/>
                <w:sz w:val="16"/>
                <w:szCs w:val="16"/>
                <w:color w:val="auto"/>
              </w:rPr>
              <w:t>Preferred Shares</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37"/>
        </w:trPr>
        <w:tc>
          <w:tcPr>
            <w:tcW w:w="5800" w:type="dxa"/>
            <w:vAlign w:val="bottom"/>
            <w:gridSpan w:val="2"/>
          </w:tcPr>
          <w:p>
            <w:pPr>
              <w:jc w:val="center"/>
              <w:ind w:right="12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195"/>
        </w:trPr>
        <w:tc>
          <w:tcPr>
            <w:tcW w:w="5800" w:type="dxa"/>
            <w:vAlign w:val="bottom"/>
            <w:gridSpan w:val="2"/>
          </w:tcPr>
          <w:p>
            <w:pPr>
              <w:jc w:val="center"/>
              <w:ind w:right="120"/>
              <w:spacing w:after="0"/>
              <w:rPr>
                <w:sz w:val="20"/>
                <w:szCs w:val="20"/>
                <w:color w:val="auto"/>
              </w:rPr>
            </w:pPr>
            <w:r>
              <w:rPr>
                <w:rFonts w:ascii="Arial" w:cs="Arial" w:eastAsia="Arial" w:hAnsi="Arial"/>
                <w:sz w:val="16"/>
                <w:szCs w:val="16"/>
                <w:color w:val="auto"/>
              </w:rPr>
              <w:t>Preferred Shares</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B</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9"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2860" w:type="dxa"/>
        <w:tblCellMar>
          <w:top w:w="0" w:type="dxa"/>
          <w:left w:w="0" w:type="dxa"/>
          <w:bottom w:w="0" w:type="dxa"/>
          <w:right w:w="0" w:type="dxa"/>
        </w:tblCellMar>
      </w:tblPr>
      <w:tr>
        <w:trPr>
          <w:trHeight w:val="236"/>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85,617,146 common shares representing limited liability company interests outstanding at July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43" w:lineRule="exact"/>
        <w:rPr>
          <w:sz w:val="20"/>
          <w:szCs w:val="20"/>
          <w:color w:val="auto"/>
        </w:rPr>
      </w:pPr>
    </w:p>
    <w:p>
      <w:pPr>
        <w:ind w:left="820" w:right="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public health crises, such as the COVID-19 pandemic, and any actions taken by businesses and governments;</w:t>
      </w:r>
    </w:p>
    <w:p>
      <w:pPr>
        <w:spacing w:after="0" w:line="3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21"/>
          <w:szCs w:val="21"/>
          <w:b w:val="1"/>
          <w:bCs w:val="1"/>
          <w:color w:val="00497F"/>
        </w:rPr>
        <w:t>FORTRESS TRANSPORTATION AND INFRASTRUCTURE INVESTORS LLC</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40" w:top="10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1A.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ind w:left="3660"/>
              <w:spacing w:after="0"/>
              <w:rPr>
                <w:sz w:val="20"/>
                <w:szCs w:val="20"/>
                <w:color w:val="auto"/>
              </w:rPr>
            </w:pPr>
            <w:r>
              <w:rPr>
                <w:rFonts w:ascii="Arial" w:cs="Arial" w:eastAsia="Arial" w:hAnsi="Arial"/>
                <w:sz w:val="14"/>
                <w:szCs w:val="14"/>
                <w:b w:val="1"/>
                <w:bCs w:val="1"/>
                <w:color w:val="006EBF"/>
              </w:rPr>
              <w:t>PART I - FINANCIAL INFORMATION</w:t>
            </w:r>
          </w:p>
        </w:tc>
        <w:tc>
          <w:tcPr>
            <w:tcW w:w="1320" w:type="dxa"/>
            <w:vAlign w:val="bottom"/>
          </w:tcPr>
          <w:p>
            <w:pPr>
              <w:spacing w:after="0"/>
              <w:rPr>
                <w:sz w:val="16"/>
                <w:szCs w:val="16"/>
                <w:color w:val="auto"/>
              </w:rPr>
            </w:pPr>
          </w:p>
        </w:tc>
      </w:tr>
      <w:tr>
        <w:trPr>
          <w:trHeight w:val="229"/>
        </w:trPr>
        <w:tc>
          <w:tcPr>
            <w:tcW w:w="8800" w:type="dxa"/>
            <w:vAlign w:val="bottom"/>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320" w:type="dxa"/>
            <w:vAlign w:val="bottom"/>
          </w:tcPr>
          <w:p>
            <w:pPr>
              <w:jc w:val="center"/>
              <w:ind w:left="108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189"/>
        </w:trPr>
        <w:tc>
          <w:tcPr>
            <w:tcW w:w="8800" w:type="dxa"/>
            <w:vAlign w:val="bottom"/>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June 30, 2020 and December 31, 2019</w:t>
              </w:r>
            </w:hyperlink>
          </w:p>
        </w:tc>
        <w:tc>
          <w:tcPr>
            <w:tcW w:w="1320" w:type="dxa"/>
            <w:vAlign w:val="bottom"/>
          </w:tcPr>
          <w:p>
            <w:pPr>
              <w:jc w:val="center"/>
              <w:ind w:left="108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189"/>
        </w:trPr>
        <w:tc>
          <w:tcPr>
            <w:tcW w:w="8800" w:type="dxa"/>
            <w:vAlign w:val="bottom"/>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Operations for the three and six months ended June 30, 2020 and 2019</w:t>
              </w:r>
            </w:hyperlink>
          </w:p>
        </w:tc>
        <w:tc>
          <w:tcPr>
            <w:tcW w:w="1320" w:type="dxa"/>
            <w:vAlign w:val="bottom"/>
          </w:tcPr>
          <w:p>
            <w:pPr>
              <w:jc w:val="center"/>
              <w:ind w:left="108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203"/>
        </w:trPr>
        <w:tc>
          <w:tcPr>
            <w:tcW w:w="8800" w:type="dxa"/>
            <w:vAlign w:val="bottom"/>
          </w:tcPr>
          <w:p>
            <w:pPr>
              <w:ind w:left="20"/>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Comprehensive (Loss) Income for the three and six months ended June 30, 2020 and 2019</w:t>
              </w:r>
            </w:hyperlink>
          </w:p>
        </w:tc>
        <w:tc>
          <w:tcPr>
            <w:tcW w:w="1320" w:type="dxa"/>
            <w:vAlign w:val="bottom"/>
          </w:tcPr>
          <w:p>
            <w:pPr>
              <w:jc w:val="center"/>
              <w:ind w:left="108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189"/>
        </w:trPr>
        <w:tc>
          <w:tcPr>
            <w:tcW w:w="8800" w:type="dxa"/>
            <w:vAlign w:val="bottom"/>
          </w:tcPr>
          <w:p>
            <w:pPr>
              <w:ind w:left="20"/>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 of Changes in Equity for the three and six months ended June 30, 2020 and 2019</w:t>
              </w:r>
            </w:hyperlink>
          </w:p>
        </w:tc>
        <w:tc>
          <w:tcPr>
            <w:tcW w:w="1320" w:type="dxa"/>
            <w:vAlign w:val="bottom"/>
          </w:tcPr>
          <w:p>
            <w:pPr>
              <w:jc w:val="center"/>
              <w:ind w:left="1088"/>
              <w:spacing w:after="0"/>
              <w:rPr>
                <w:rFonts w:ascii="Arial" w:cs="Arial" w:eastAsia="Arial" w:hAnsi="Arial"/>
                <w:sz w:val="14"/>
                <w:szCs w:val="14"/>
                <w:color w:val="0000FF"/>
              </w:rPr>
            </w:pPr>
            <w:hyperlink w:anchor="page8">
              <w:r>
                <w:rPr>
                  <w:rFonts w:ascii="Arial" w:cs="Arial" w:eastAsia="Arial" w:hAnsi="Arial"/>
                  <w:sz w:val="14"/>
                  <w:szCs w:val="14"/>
                  <w:color w:val="0000FF"/>
                </w:rPr>
                <w:t>8</w:t>
              </w:r>
            </w:hyperlink>
          </w:p>
        </w:tc>
      </w:tr>
      <w:tr>
        <w:trPr>
          <w:trHeight w:val="189"/>
        </w:trPr>
        <w:tc>
          <w:tcPr>
            <w:tcW w:w="8800" w:type="dxa"/>
            <w:vAlign w:val="bottom"/>
          </w:tcPr>
          <w:p>
            <w:pPr>
              <w:ind w:left="20"/>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Cash Flows for the six months ended June 30, 2020 and 2019</w:t>
              </w:r>
            </w:hyperlink>
          </w:p>
        </w:tc>
        <w:tc>
          <w:tcPr>
            <w:tcW w:w="1320" w:type="dxa"/>
            <w:vAlign w:val="bottom"/>
          </w:tcPr>
          <w:p>
            <w:pPr>
              <w:jc w:val="center"/>
              <w:ind w:left="1088"/>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r>
      <w:tr>
        <w:trPr>
          <w:trHeight w:val="189"/>
        </w:trPr>
        <w:tc>
          <w:tcPr>
            <w:tcW w:w="8800" w:type="dxa"/>
            <w:vAlign w:val="bottom"/>
          </w:tcPr>
          <w:p>
            <w:pPr>
              <w:ind w:left="20"/>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Consolidated Financial Statements</w:t>
              </w:r>
            </w:hyperlink>
          </w:p>
        </w:tc>
        <w:tc>
          <w:tcPr>
            <w:tcW w:w="1320" w:type="dxa"/>
            <w:vAlign w:val="bottom"/>
          </w:tcPr>
          <w:p>
            <w:pPr>
              <w:jc w:val="center"/>
              <w:ind w:left="108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2">
              <w:r>
                <w:rPr>
                  <w:rFonts w:ascii="Arial" w:cs="Arial" w:eastAsia="Arial" w:hAnsi="Arial"/>
                  <w:sz w:val="14"/>
                  <w:szCs w:val="14"/>
                  <w:color w:val="0000FF"/>
                </w:rPr>
                <w:t>Note 1: Organization</w:t>
              </w:r>
            </w:hyperlink>
          </w:p>
        </w:tc>
        <w:tc>
          <w:tcPr>
            <w:tcW w:w="1320" w:type="dxa"/>
            <w:vAlign w:val="bottom"/>
          </w:tcPr>
          <w:p>
            <w:pPr>
              <w:jc w:val="center"/>
              <w:ind w:left="108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2">
              <w:r>
                <w:rPr>
                  <w:rFonts w:ascii="Arial" w:cs="Arial" w:eastAsia="Arial" w:hAnsi="Arial"/>
                  <w:sz w:val="14"/>
                  <w:szCs w:val="14"/>
                  <w:color w:val="0000FF"/>
                </w:rPr>
                <w:t>Note 2: Summary of Significant Accounting Policies</w:t>
              </w:r>
            </w:hyperlink>
          </w:p>
        </w:tc>
        <w:tc>
          <w:tcPr>
            <w:tcW w:w="1320" w:type="dxa"/>
            <w:vAlign w:val="bottom"/>
          </w:tcPr>
          <w:p>
            <w:pPr>
              <w:jc w:val="center"/>
              <w:ind w:left="108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6">
              <w:r>
                <w:rPr>
                  <w:rFonts w:ascii="Arial" w:cs="Arial" w:eastAsia="Arial" w:hAnsi="Arial"/>
                  <w:sz w:val="14"/>
                  <w:szCs w:val="14"/>
                  <w:color w:val="0000FF"/>
                </w:rPr>
                <w:t>Note 3: Discontinued Operations</w:t>
              </w:r>
            </w:hyperlink>
          </w:p>
        </w:tc>
        <w:tc>
          <w:tcPr>
            <w:tcW w:w="1320" w:type="dxa"/>
            <w:vAlign w:val="bottom"/>
          </w:tcPr>
          <w:p>
            <w:pPr>
              <w:jc w:val="center"/>
              <w:ind w:left="108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6">
              <w:r>
                <w:rPr>
                  <w:rFonts w:ascii="Arial" w:cs="Arial" w:eastAsia="Arial" w:hAnsi="Arial"/>
                  <w:sz w:val="14"/>
                  <w:szCs w:val="14"/>
                  <w:color w:val="0000FF"/>
                </w:rPr>
                <w:t>Note 4: Leasing Equipment, net</w:t>
              </w:r>
            </w:hyperlink>
          </w:p>
        </w:tc>
        <w:tc>
          <w:tcPr>
            <w:tcW w:w="1320" w:type="dxa"/>
            <w:vAlign w:val="bottom"/>
          </w:tcPr>
          <w:p>
            <w:pPr>
              <w:jc w:val="center"/>
              <w:ind w:left="1088"/>
              <w:spacing w:after="0"/>
              <w:rPr>
                <w:rFonts w:ascii="Arial" w:cs="Arial" w:eastAsia="Arial" w:hAnsi="Arial"/>
                <w:sz w:val="14"/>
                <w:szCs w:val="14"/>
                <w:color w:val="0000FF"/>
              </w:rPr>
            </w:pPr>
            <w:hyperlink w:anchor="page16">
              <w:r>
                <w:rPr>
                  <w:rFonts w:ascii="Arial" w:cs="Arial" w:eastAsia="Arial" w:hAnsi="Arial"/>
                  <w:sz w:val="14"/>
                  <w:szCs w:val="14"/>
                  <w:color w:val="0000FF"/>
                </w:rPr>
                <w:t>16</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7">
              <w:r>
                <w:rPr>
                  <w:rFonts w:ascii="Arial" w:cs="Arial" w:eastAsia="Arial" w:hAnsi="Arial"/>
                  <w:sz w:val="14"/>
                  <w:szCs w:val="14"/>
                  <w:color w:val="0000FF"/>
                </w:rPr>
                <w:t>Note 5: Finance Leases, net</w:t>
              </w:r>
            </w:hyperlink>
          </w:p>
        </w:tc>
        <w:tc>
          <w:tcPr>
            <w:tcW w:w="1320" w:type="dxa"/>
            <w:vAlign w:val="bottom"/>
          </w:tcPr>
          <w:p>
            <w:pPr>
              <w:jc w:val="center"/>
              <w:ind w:left="1088"/>
              <w:spacing w:after="0"/>
              <w:rPr>
                <w:rFonts w:ascii="Arial" w:cs="Arial" w:eastAsia="Arial" w:hAnsi="Arial"/>
                <w:sz w:val="14"/>
                <w:szCs w:val="14"/>
                <w:color w:val="0000FF"/>
              </w:rPr>
            </w:pPr>
            <w:hyperlink w:anchor="page17">
              <w:r>
                <w:rPr>
                  <w:rFonts w:ascii="Arial" w:cs="Arial" w:eastAsia="Arial" w:hAnsi="Arial"/>
                  <w:sz w:val="14"/>
                  <w:szCs w:val="14"/>
                  <w:color w:val="0000FF"/>
                </w:rPr>
                <w:t>16</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7">
              <w:r>
                <w:rPr>
                  <w:rFonts w:ascii="Arial" w:cs="Arial" w:eastAsia="Arial" w:hAnsi="Arial"/>
                  <w:sz w:val="14"/>
                  <w:szCs w:val="14"/>
                  <w:color w:val="0000FF"/>
                </w:rPr>
                <w:t>Note 6: Property, Plant and Equipment, net</w:t>
              </w:r>
            </w:hyperlink>
          </w:p>
        </w:tc>
        <w:tc>
          <w:tcPr>
            <w:tcW w:w="1320" w:type="dxa"/>
            <w:vAlign w:val="bottom"/>
          </w:tcPr>
          <w:p>
            <w:pPr>
              <w:jc w:val="center"/>
              <w:ind w:left="1088"/>
              <w:spacing w:after="0"/>
              <w:rPr>
                <w:rFonts w:ascii="Arial" w:cs="Arial" w:eastAsia="Arial" w:hAnsi="Arial"/>
                <w:sz w:val="14"/>
                <w:szCs w:val="14"/>
                <w:color w:val="0000FF"/>
              </w:rPr>
            </w:pPr>
            <w:hyperlink w:anchor="page17">
              <w:r>
                <w:rPr>
                  <w:rFonts w:ascii="Arial" w:cs="Arial" w:eastAsia="Arial" w:hAnsi="Arial"/>
                  <w:sz w:val="14"/>
                  <w:szCs w:val="14"/>
                  <w:color w:val="0000FF"/>
                </w:rPr>
                <w:t>17</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18">
              <w:r>
                <w:rPr>
                  <w:rFonts w:ascii="Arial" w:cs="Arial" w:eastAsia="Arial" w:hAnsi="Arial"/>
                  <w:sz w:val="14"/>
                  <w:szCs w:val="14"/>
                  <w:color w:val="0000FF"/>
                </w:rPr>
                <w:t>Note 7: Investments</w:t>
              </w:r>
            </w:hyperlink>
          </w:p>
        </w:tc>
        <w:tc>
          <w:tcPr>
            <w:tcW w:w="1320" w:type="dxa"/>
            <w:vAlign w:val="bottom"/>
          </w:tcPr>
          <w:p>
            <w:pPr>
              <w:jc w:val="center"/>
              <w:ind w:left="1088"/>
              <w:spacing w:after="0"/>
              <w:rPr>
                <w:rFonts w:ascii="Arial" w:cs="Arial" w:eastAsia="Arial" w:hAnsi="Arial"/>
                <w:sz w:val="14"/>
                <w:szCs w:val="14"/>
                <w:color w:val="0000FF"/>
              </w:rPr>
            </w:pPr>
            <w:hyperlink w:anchor="page18">
              <w:r>
                <w:rPr>
                  <w:rFonts w:ascii="Arial" w:cs="Arial" w:eastAsia="Arial" w:hAnsi="Arial"/>
                  <w:sz w:val="14"/>
                  <w:szCs w:val="14"/>
                  <w:color w:val="0000FF"/>
                </w:rPr>
                <w:t>17</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0">
              <w:r>
                <w:rPr>
                  <w:rFonts w:ascii="Arial" w:cs="Arial" w:eastAsia="Arial" w:hAnsi="Arial"/>
                  <w:sz w:val="14"/>
                  <w:szCs w:val="14"/>
                  <w:color w:val="0000FF"/>
                </w:rPr>
                <w:t>Note 8: Intangible Assets and Liabilities, net</w:t>
              </w:r>
            </w:hyperlink>
          </w:p>
        </w:tc>
        <w:tc>
          <w:tcPr>
            <w:tcW w:w="1320" w:type="dxa"/>
            <w:vAlign w:val="bottom"/>
          </w:tcPr>
          <w:p>
            <w:pPr>
              <w:jc w:val="center"/>
              <w:ind w:left="1088"/>
              <w:spacing w:after="0"/>
              <w:rPr>
                <w:rFonts w:ascii="Arial" w:cs="Arial" w:eastAsia="Arial" w:hAnsi="Arial"/>
                <w:sz w:val="14"/>
                <w:szCs w:val="14"/>
                <w:color w:val="0000FF"/>
              </w:rPr>
            </w:pPr>
            <w:hyperlink w:anchor="page20">
              <w:r>
                <w:rPr>
                  <w:rFonts w:ascii="Arial" w:cs="Arial" w:eastAsia="Arial" w:hAnsi="Arial"/>
                  <w:sz w:val="14"/>
                  <w:szCs w:val="14"/>
                  <w:color w:val="0000FF"/>
                </w:rPr>
                <w:t>19</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1">
              <w:r>
                <w:rPr>
                  <w:rFonts w:ascii="Arial" w:cs="Arial" w:eastAsia="Arial" w:hAnsi="Arial"/>
                  <w:sz w:val="14"/>
                  <w:szCs w:val="14"/>
                  <w:color w:val="0000FF"/>
                </w:rPr>
                <w:t>Note 9: Debt, net</w:t>
              </w:r>
            </w:hyperlink>
          </w:p>
        </w:tc>
        <w:tc>
          <w:tcPr>
            <w:tcW w:w="1320" w:type="dxa"/>
            <w:vAlign w:val="bottom"/>
          </w:tcPr>
          <w:p>
            <w:pPr>
              <w:jc w:val="center"/>
              <w:ind w:left="1088"/>
              <w:spacing w:after="0"/>
              <w:rPr>
                <w:rFonts w:ascii="Arial" w:cs="Arial" w:eastAsia="Arial" w:hAnsi="Arial"/>
                <w:sz w:val="14"/>
                <w:szCs w:val="14"/>
                <w:color w:val="0000FF"/>
              </w:rPr>
            </w:pPr>
            <w:hyperlink w:anchor="page21">
              <w:r>
                <w:rPr>
                  <w:rFonts w:ascii="Arial" w:cs="Arial" w:eastAsia="Arial" w:hAnsi="Arial"/>
                  <w:sz w:val="14"/>
                  <w:szCs w:val="14"/>
                  <w:color w:val="0000FF"/>
                </w:rPr>
                <w:t>20</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3">
              <w:r>
                <w:rPr>
                  <w:rFonts w:ascii="Arial" w:cs="Arial" w:eastAsia="Arial" w:hAnsi="Arial"/>
                  <w:sz w:val="14"/>
                  <w:szCs w:val="14"/>
                  <w:color w:val="0000FF"/>
                </w:rPr>
                <w:t>Note 10: Fair Value Measurements</w:t>
              </w:r>
            </w:hyperlink>
          </w:p>
        </w:tc>
        <w:tc>
          <w:tcPr>
            <w:tcW w:w="1320" w:type="dxa"/>
            <w:vAlign w:val="bottom"/>
          </w:tcPr>
          <w:p>
            <w:pPr>
              <w:jc w:val="center"/>
              <w:ind w:left="1088"/>
              <w:spacing w:after="0"/>
              <w:rPr>
                <w:rFonts w:ascii="Arial" w:cs="Arial" w:eastAsia="Arial" w:hAnsi="Arial"/>
                <w:sz w:val="14"/>
                <w:szCs w:val="14"/>
                <w:color w:val="0000FF"/>
              </w:rPr>
            </w:pPr>
            <w:hyperlink w:anchor="page23">
              <w:r>
                <w:rPr>
                  <w:rFonts w:ascii="Arial" w:cs="Arial" w:eastAsia="Arial" w:hAnsi="Arial"/>
                  <w:sz w:val="14"/>
                  <w:szCs w:val="14"/>
                  <w:color w:val="0000FF"/>
                </w:rPr>
                <w:t>22</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4">
              <w:r>
                <w:rPr>
                  <w:rFonts w:ascii="Arial" w:cs="Arial" w:eastAsia="Arial" w:hAnsi="Arial"/>
                  <w:sz w:val="14"/>
                  <w:szCs w:val="14"/>
                  <w:color w:val="0000FF"/>
                </w:rPr>
                <w:t>Note 11: Derivative Financial Instruments</w:t>
              </w:r>
            </w:hyperlink>
          </w:p>
        </w:tc>
        <w:tc>
          <w:tcPr>
            <w:tcW w:w="1320" w:type="dxa"/>
            <w:vAlign w:val="bottom"/>
          </w:tcPr>
          <w:p>
            <w:pPr>
              <w:jc w:val="center"/>
              <w:ind w:left="1088"/>
              <w:spacing w:after="0"/>
              <w:rPr>
                <w:rFonts w:ascii="Arial" w:cs="Arial" w:eastAsia="Arial" w:hAnsi="Arial"/>
                <w:sz w:val="14"/>
                <w:szCs w:val="14"/>
                <w:color w:val="0000FF"/>
              </w:rPr>
            </w:pPr>
            <w:hyperlink w:anchor="page24">
              <w:r>
                <w:rPr>
                  <w:rFonts w:ascii="Arial" w:cs="Arial" w:eastAsia="Arial" w:hAnsi="Arial"/>
                  <w:sz w:val="14"/>
                  <w:szCs w:val="14"/>
                  <w:color w:val="0000FF"/>
                </w:rPr>
                <w:t>23</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5">
              <w:r>
                <w:rPr>
                  <w:rFonts w:ascii="Arial" w:cs="Arial" w:eastAsia="Arial" w:hAnsi="Arial"/>
                  <w:sz w:val="14"/>
                  <w:szCs w:val="14"/>
                  <w:color w:val="0000FF"/>
                </w:rPr>
                <w:t>Note 12: Revenues</w:t>
              </w:r>
            </w:hyperlink>
          </w:p>
        </w:tc>
        <w:tc>
          <w:tcPr>
            <w:tcW w:w="1320" w:type="dxa"/>
            <w:vAlign w:val="bottom"/>
          </w:tcPr>
          <w:p>
            <w:pPr>
              <w:jc w:val="center"/>
              <w:ind w:left="1088"/>
              <w:spacing w:after="0"/>
              <w:rPr>
                <w:rFonts w:ascii="Arial" w:cs="Arial" w:eastAsia="Arial" w:hAnsi="Arial"/>
                <w:sz w:val="14"/>
                <w:szCs w:val="14"/>
                <w:color w:val="0000FF"/>
              </w:rPr>
            </w:pPr>
            <w:hyperlink w:anchor="page25">
              <w:r>
                <w:rPr>
                  <w:rFonts w:ascii="Arial" w:cs="Arial" w:eastAsia="Arial" w:hAnsi="Arial"/>
                  <w:sz w:val="14"/>
                  <w:szCs w:val="14"/>
                  <w:color w:val="0000FF"/>
                </w:rPr>
                <w:t>24</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7">
              <w:r>
                <w:rPr>
                  <w:rFonts w:ascii="Arial" w:cs="Arial" w:eastAsia="Arial" w:hAnsi="Arial"/>
                  <w:sz w:val="14"/>
                  <w:szCs w:val="14"/>
                  <w:color w:val="0000FF"/>
                </w:rPr>
                <w:t>Note 13: Leases</w:t>
              </w:r>
            </w:hyperlink>
          </w:p>
        </w:tc>
        <w:tc>
          <w:tcPr>
            <w:tcW w:w="1320" w:type="dxa"/>
            <w:vAlign w:val="bottom"/>
          </w:tcPr>
          <w:p>
            <w:pPr>
              <w:jc w:val="center"/>
              <w:ind w:left="1088"/>
              <w:spacing w:after="0"/>
              <w:rPr>
                <w:rFonts w:ascii="Arial" w:cs="Arial" w:eastAsia="Arial" w:hAnsi="Arial"/>
                <w:sz w:val="14"/>
                <w:szCs w:val="14"/>
                <w:color w:val="0000FF"/>
              </w:rPr>
            </w:pPr>
            <w:hyperlink w:anchor="page27">
              <w:r>
                <w:rPr>
                  <w:rFonts w:ascii="Arial" w:cs="Arial" w:eastAsia="Arial" w:hAnsi="Arial"/>
                  <w:sz w:val="14"/>
                  <w:szCs w:val="14"/>
                  <w:color w:val="0000FF"/>
                </w:rPr>
                <w:t>26</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8">
              <w:r>
                <w:rPr>
                  <w:rFonts w:ascii="Arial" w:cs="Arial" w:eastAsia="Arial" w:hAnsi="Arial"/>
                  <w:sz w:val="14"/>
                  <w:szCs w:val="14"/>
                  <w:color w:val="0000FF"/>
                </w:rPr>
                <w:t>Note 14: Equity-Based Compensation</w:t>
              </w:r>
            </w:hyperlink>
          </w:p>
        </w:tc>
        <w:tc>
          <w:tcPr>
            <w:tcW w:w="1320" w:type="dxa"/>
            <w:vAlign w:val="bottom"/>
          </w:tcPr>
          <w:p>
            <w:pPr>
              <w:jc w:val="center"/>
              <w:ind w:left="1088"/>
              <w:spacing w:after="0"/>
              <w:rPr>
                <w:rFonts w:ascii="Arial" w:cs="Arial" w:eastAsia="Arial" w:hAnsi="Arial"/>
                <w:sz w:val="14"/>
                <w:szCs w:val="14"/>
                <w:color w:val="0000FF"/>
              </w:rPr>
            </w:pPr>
            <w:hyperlink w:anchor="page28">
              <w:r>
                <w:rPr>
                  <w:rFonts w:ascii="Arial" w:cs="Arial" w:eastAsia="Arial" w:hAnsi="Arial"/>
                  <w:sz w:val="14"/>
                  <w:szCs w:val="14"/>
                  <w:color w:val="0000FF"/>
                </w:rPr>
                <w:t>27</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9">
              <w:r>
                <w:rPr>
                  <w:rFonts w:ascii="Arial" w:cs="Arial" w:eastAsia="Arial" w:hAnsi="Arial"/>
                  <w:sz w:val="14"/>
                  <w:szCs w:val="14"/>
                  <w:color w:val="0000FF"/>
                </w:rPr>
                <w:t>Note 15: Income Taxes</w:t>
              </w:r>
            </w:hyperlink>
          </w:p>
        </w:tc>
        <w:tc>
          <w:tcPr>
            <w:tcW w:w="1320" w:type="dxa"/>
            <w:vAlign w:val="bottom"/>
          </w:tcPr>
          <w:p>
            <w:pPr>
              <w:jc w:val="center"/>
              <w:ind w:left="1088"/>
              <w:spacing w:after="0"/>
              <w:rPr>
                <w:rFonts w:ascii="Arial" w:cs="Arial" w:eastAsia="Arial" w:hAnsi="Arial"/>
                <w:sz w:val="14"/>
                <w:szCs w:val="14"/>
                <w:color w:val="0000FF"/>
              </w:rPr>
            </w:pPr>
            <w:hyperlink w:anchor="page29">
              <w:r>
                <w:rPr>
                  <w:rFonts w:ascii="Arial" w:cs="Arial" w:eastAsia="Arial" w:hAnsi="Arial"/>
                  <w:sz w:val="14"/>
                  <w:szCs w:val="14"/>
                  <w:color w:val="0000FF"/>
                </w:rPr>
                <w:t>28</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29">
              <w:r>
                <w:rPr>
                  <w:rFonts w:ascii="Arial" w:cs="Arial" w:eastAsia="Arial" w:hAnsi="Arial"/>
                  <w:sz w:val="14"/>
                  <w:szCs w:val="14"/>
                  <w:color w:val="0000FF"/>
                </w:rPr>
                <w:t>Note 16: Management Agreement and Affiliate Transactions</w:t>
              </w:r>
            </w:hyperlink>
          </w:p>
        </w:tc>
        <w:tc>
          <w:tcPr>
            <w:tcW w:w="1320" w:type="dxa"/>
            <w:vAlign w:val="bottom"/>
          </w:tcPr>
          <w:p>
            <w:pPr>
              <w:jc w:val="center"/>
              <w:ind w:left="1088"/>
              <w:spacing w:after="0"/>
              <w:rPr>
                <w:rFonts w:ascii="Arial" w:cs="Arial" w:eastAsia="Arial" w:hAnsi="Arial"/>
                <w:sz w:val="14"/>
                <w:szCs w:val="14"/>
                <w:color w:val="0000FF"/>
              </w:rPr>
            </w:pPr>
            <w:hyperlink w:anchor="page29">
              <w:r>
                <w:rPr>
                  <w:rFonts w:ascii="Arial" w:cs="Arial" w:eastAsia="Arial" w:hAnsi="Arial"/>
                  <w:sz w:val="14"/>
                  <w:szCs w:val="14"/>
                  <w:color w:val="0000FF"/>
                </w:rPr>
                <w:t>28</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32">
              <w:r>
                <w:rPr>
                  <w:rFonts w:ascii="Arial" w:cs="Arial" w:eastAsia="Arial" w:hAnsi="Arial"/>
                  <w:sz w:val="14"/>
                  <w:szCs w:val="14"/>
                  <w:color w:val="0000FF"/>
                </w:rPr>
                <w:t>Note 17: Segment Information</w:t>
              </w:r>
            </w:hyperlink>
          </w:p>
        </w:tc>
        <w:tc>
          <w:tcPr>
            <w:tcW w:w="1320" w:type="dxa"/>
            <w:vAlign w:val="bottom"/>
          </w:tcPr>
          <w:p>
            <w:pPr>
              <w:jc w:val="center"/>
              <w:ind w:left="1088"/>
              <w:spacing w:after="0"/>
              <w:rPr>
                <w:rFonts w:ascii="Arial" w:cs="Arial" w:eastAsia="Arial" w:hAnsi="Arial"/>
                <w:sz w:val="14"/>
                <w:szCs w:val="14"/>
                <w:color w:val="0000FF"/>
              </w:rPr>
            </w:pPr>
            <w:hyperlink w:anchor="page32">
              <w:r>
                <w:rPr>
                  <w:rFonts w:ascii="Arial" w:cs="Arial" w:eastAsia="Arial" w:hAnsi="Arial"/>
                  <w:sz w:val="14"/>
                  <w:szCs w:val="14"/>
                  <w:color w:val="0000FF"/>
                </w:rPr>
                <w:t>31</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43">
              <w:r>
                <w:rPr>
                  <w:rFonts w:ascii="Arial" w:cs="Arial" w:eastAsia="Arial" w:hAnsi="Arial"/>
                  <w:sz w:val="14"/>
                  <w:szCs w:val="14"/>
                  <w:color w:val="0000FF"/>
                </w:rPr>
                <w:t>Note 18: Earnings per Share and Equity</w:t>
              </w:r>
            </w:hyperlink>
          </w:p>
        </w:tc>
        <w:tc>
          <w:tcPr>
            <w:tcW w:w="1320" w:type="dxa"/>
            <w:vAlign w:val="bottom"/>
          </w:tcPr>
          <w:p>
            <w:pPr>
              <w:jc w:val="center"/>
              <w:ind w:left="1088"/>
              <w:spacing w:after="0"/>
              <w:rPr>
                <w:rFonts w:ascii="Arial" w:cs="Arial" w:eastAsia="Arial" w:hAnsi="Arial"/>
                <w:sz w:val="14"/>
                <w:szCs w:val="14"/>
                <w:color w:val="0000FF"/>
              </w:rPr>
            </w:pPr>
            <w:hyperlink w:anchor="page43">
              <w:r>
                <w:rPr>
                  <w:rFonts w:ascii="Arial" w:cs="Arial" w:eastAsia="Arial" w:hAnsi="Arial"/>
                  <w:sz w:val="14"/>
                  <w:szCs w:val="14"/>
                  <w:color w:val="0000FF"/>
                </w:rPr>
                <w:t>43</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44">
              <w:r>
                <w:rPr>
                  <w:rFonts w:ascii="Arial" w:cs="Arial" w:eastAsia="Arial" w:hAnsi="Arial"/>
                  <w:sz w:val="14"/>
                  <w:szCs w:val="14"/>
                  <w:color w:val="0000FF"/>
                </w:rPr>
                <w:t>Note 19: Commitments and Contingencies</w:t>
              </w:r>
            </w:hyperlink>
          </w:p>
        </w:tc>
        <w:tc>
          <w:tcPr>
            <w:tcW w:w="1320" w:type="dxa"/>
            <w:vAlign w:val="bottom"/>
          </w:tcPr>
          <w:p>
            <w:pPr>
              <w:jc w:val="center"/>
              <w:ind w:left="1088"/>
              <w:spacing w:after="0"/>
              <w:rPr>
                <w:rFonts w:ascii="Arial" w:cs="Arial" w:eastAsia="Arial" w:hAnsi="Arial"/>
                <w:sz w:val="14"/>
                <w:szCs w:val="14"/>
                <w:color w:val="0000FF"/>
              </w:rPr>
            </w:pPr>
            <w:hyperlink w:anchor="page44">
              <w:r>
                <w:rPr>
                  <w:rFonts w:ascii="Arial" w:cs="Arial" w:eastAsia="Arial" w:hAnsi="Arial"/>
                  <w:sz w:val="14"/>
                  <w:szCs w:val="14"/>
                  <w:color w:val="0000FF"/>
                </w:rPr>
                <w:t>43</w:t>
              </w:r>
            </w:hyperlink>
          </w:p>
        </w:tc>
      </w:tr>
      <w:tr>
        <w:trPr>
          <w:trHeight w:val="189"/>
        </w:trPr>
        <w:tc>
          <w:tcPr>
            <w:tcW w:w="8800" w:type="dxa"/>
            <w:vAlign w:val="bottom"/>
          </w:tcPr>
          <w:p>
            <w:pPr>
              <w:ind w:left="100"/>
              <w:spacing w:after="0"/>
              <w:rPr>
                <w:rFonts w:ascii="Arial" w:cs="Arial" w:eastAsia="Arial" w:hAnsi="Arial"/>
                <w:sz w:val="14"/>
                <w:szCs w:val="14"/>
                <w:color w:val="0000FF"/>
              </w:rPr>
            </w:pPr>
            <w:hyperlink w:anchor="page44">
              <w:r>
                <w:rPr>
                  <w:rFonts w:ascii="Arial" w:cs="Arial" w:eastAsia="Arial" w:hAnsi="Arial"/>
                  <w:sz w:val="14"/>
                  <w:szCs w:val="14"/>
                  <w:color w:val="0000FF"/>
                </w:rPr>
                <w:t>Note 20: Subsequent Events</w:t>
              </w:r>
            </w:hyperlink>
          </w:p>
        </w:tc>
        <w:tc>
          <w:tcPr>
            <w:tcW w:w="1320" w:type="dxa"/>
            <w:vAlign w:val="bottom"/>
          </w:tcPr>
          <w:p>
            <w:pPr>
              <w:jc w:val="center"/>
              <w:ind w:left="1088"/>
              <w:spacing w:after="0"/>
              <w:rPr>
                <w:rFonts w:ascii="Arial" w:cs="Arial" w:eastAsia="Arial" w:hAnsi="Arial"/>
                <w:sz w:val="14"/>
                <w:szCs w:val="14"/>
                <w:color w:val="0000FF"/>
              </w:rPr>
            </w:pPr>
            <w:hyperlink w:anchor="page44">
              <w:r>
                <w:rPr>
                  <w:rFonts w:ascii="Arial" w:cs="Arial" w:eastAsia="Arial" w:hAnsi="Arial"/>
                  <w:sz w:val="14"/>
                  <w:szCs w:val="14"/>
                  <w:color w:val="0000FF"/>
                </w:rPr>
                <w:t>44</w:t>
              </w:r>
            </w:hyperlink>
          </w:p>
        </w:tc>
      </w:tr>
      <w:tr>
        <w:trPr>
          <w:trHeight w:val="216"/>
        </w:trPr>
        <w:tc>
          <w:tcPr>
            <w:tcW w:w="8800" w:type="dxa"/>
            <w:vAlign w:val="bottom"/>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Management’s Discussion and Analysis of Financial Condition and Results of Operations</w:t>
              </w:r>
            </w:hyperlink>
          </w:p>
        </w:tc>
        <w:tc>
          <w:tcPr>
            <w:tcW w:w="1320" w:type="dxa"/>
            <w:vAlign w:val="bottom"/>
          </w:tcPr>
          <w:p>
            <w:pPr>
              <w:jc w:val="center"/>
              <w:ind w:left="1088"/>
              <w:spacing w:after="0"/>
              <w:rPr>
                <w:rFonts w:ascii="Arial" w:cs="Arial" w:eastAsia="Arial" w:hAnsi="Arial"/>
                <w:sz w:val="14"/>
                <w:szCs w:val="14"/>
                <w:color w:val="0000FF"/>
              </w:rPr>
            </w:pPr>
            <w:hyperlink w:anchor="page45">
              <w:r>
                <w:rPr>
                  <w:rFonts w:ascii="Arial" w:cs="Arial" w:eastAsia="Arial" w:hAnsi="Arial"/>
                  <w:sz w:val="14"/>
                  <w:szCs w:val="14"/>
                  <w:color w:val="0000FF"/>
                </w:rPr>
                <w:t>45</w:t>
              </w:r>
            </w:hyperlink>
          </w:p>
        </w:tc>
      </w:tr>
      <w:tr>
        <w:trPr>
          <w:trHeight w:val="216"/>
        </w:trPr>
        <w:tc>
          <w:tcPr>
            <w:tcW w:w="8800" w:type="dxa"/>
            <w:vAlign w:val="bottom"/>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Quantitative and Qualitative Disclosures About Market Risk</w:t>
              </w:r>
            </w:hyperlink>
          </w:p>
        </w:tc>
        <w:tc>
          <w:tcPr>
            <w:tcW w:w="1320" w:type="dxa"/>
            <w:vAlign w:val="bottom"/>
          </w:tcPr>
          <w:p>
            <w:pPr>
              <w:jc w:val="center"/>
              <w:ind w:left="1088"/>
              <w:spacing w:after="0"/>
              <w:rPr>
                <w:rFonts w:ascii="Arial" w:cs="Arial" w:eastAsia="Arial" w:hAnsi="Arial"/>
                <w:sz w:val="14"/>
                <w:szCs w:val="14"/>
                <w:color w:val="0000FF"/>
              </w:rPr>
            </w:pPr>
            <w:hyperlink w:anchor="page64">
              <w:r>
                <w:rPr>
                  <w:rFonts w:ascii="Arial" w:cs="Arial" w:eastAsia="Arial" w:hAnsi="Arial"/>
                  <w:sz w:val="14"/>
                  <w:szCs w:val="14"/>
                  <w:color w:val="0000FF"/>
                </w:rPr>
                <w:t>64</w:t>
              </w:r>
            </w:hyperlink>
          </w:p>
        </w:tc>
      </w:tr>
      <w:tr>
        <w:trPr>
          <w:trHeight w:val="216"/>
        </w:trPr>
        <w:tc>
          <w:tcPr>
            <w:tcW w:w="8800" w:type="dxa"/>
            <w:vAlign w:val="bottom"/>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Controls and Procedures</w:t>
              </w:r>
            </w:hyperlink>
          </w:p>
        </w:tc>
        <w:tc>
          <w:tcPr>
            <w:tcW w:w="1320" w:type="dxa"/>
            <w:vAlign w:val="bottom"/>
          </w:tcPr>
          <w:p>
            <w:pPr>
              <w:jc w:val="center"/>
              <w:ind w:left="1088"/>
              <w:spacing w:after="0"/>
              <w:rPr>
                <w:rFonts w:ascii="Arial" w:cs="Arial" w:eastAsia="Arial" w:hAnsi="Arial"/>
                <w:sz w:val="14"/>
                <w:szCs w:val="14"/>
                <w:color w:val="0000FF"/>
              </w:rPr>
            </w:pPr>
            <w:hyperlink w:anchor="page65">
              <w:r>
                <w:rPr>
                  <w:rFonts w:ascii="Arial" w:cs="Arial" w:eastAsia="Arial" w:hAnsi="Arial"/>
                  <w:sz w:val="14"/>
                  <w:szCs w:val="14"/>
                  <w:color w:val="0000FF"/>
                </w:rPr>
                <w:t>64</w:t>
              </w:r>
            </w:hyperlink>
          </w:p>
        </w:tc>
      </w:tr>
      <w:tr>
        <w:trPr>
          <w:trHeight w:val="419"/>
        </w:trPr>
        <w:tc>
          <w:tcPr>
            <w:tcW w:w="8800" w:type="dxa"/>
            <w:vAlign w:val="bottom"/>
          </w:tcPr>
          <w:p>
            <w:pPr>
              <w:ind w:left="3780"/>
              <w:spacing w:after="0"/>
              <w:rPr>
                <w:sz w:val="20"/>
                <w:szCs w:val="20"/>
                <w:color w:val="auto"/>
              </w:rPr>
            </w:pPr>
            <w:r>
              <w:rPr>
                <w:rFonts w:ascii="Arial" w:cs="Arial" w:eastAsia="Arial" w:hAnsi="Arial"/>
                <w:sz w:val="14"/>
                <w:szCs w:val="14"/>
                <w:b w:val="1"/>
                <w:bCs w:val="1"/>
                <w:color w:val="006EBF"/>
              </w:rPr>
              <w:t>PART II - OTHER INFORMATION</w:t>
            </w:r>
          </w:p>
        </w:tc>
        <w:tc>
          <w:tcPr>
            <w:tcW w:w="1320" w:type="dxa"/>
            <w:vAlign w:val="bottom"/>
          </w:tcPr>
          <w:p>
            <w:pPr>
              <w:spacing w:after="0"/>
              <w:rPr>
                <w:sz w:val="24"/>
                <w:szCs w:val="24"/>
                <w:color w:val="auto"/>
              </w:rPr>
            </w:pPr>
          </w:p>
        </w:tc>
      </w:tr>
      <w:tr>
        <w:trPr>
          <w:trHeight w:val="230"/>
        </w:trPr>
        <w:tc>
          <w:tcPr>
            <w:tcW w:w="8800" w:type="dxa"/>
            <w:vAlign w:val="bottom"/>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Legal Proceedings</w:t>
              </w:r>
            </w:hyperlink>
          </w:p>
        </w:tc>
        <w:tc>
          <w:tcPr>
            <w:tcW w:w="1320" w:type="dxa"/>
            <w:vAlign w:val="bottom"/>
          </w:tcPr>
          <w:p>
            <w:pPr>
              <w:jc w:val="center"/>
              <w:ind w:left="1088"/>
              <w:spacing w:after="0"/>
              <w:rPr>
                <w:rFonts w:ascii="Arial" w:cs="Arial" w:eastAsia="Arial" w:hAnsi="Arial"/>
                <w:sz w:val="14"/>
                <w:szCs w:val="14"/>
                <w:color w:val="0000FF"/>
              </w:rPr>
            </w:pPr>
            <w:hyperlink w:anchor="page65">
              <w:r>
                <w:rPr>
                  <w:rFonts w:ascii="Arial" w:cs="Arial" w:eastAsia="Arial" w:hAnsi="Arial"/>
                  <w:sz w:val="14"/>
                  <w:szCs w:val="14"/>
                  <w:color w:val="0000FF"/>
                </w:rPr>
                <w:t>64</w:t>
              </w:r>
            </w:hyperlink>
          </w:p>
        </w:tc>
      </w:tr>
      <w:tr>
        <w:trPr>
          <w:trHeight w:val="216"/>
        </w:trPr>
        <w:tc>
          <w:tcPr>
            <w:tcW w:w="8800" w:type="dxa"/>
            <w:vAlign w:val="bottom"/>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Risk Factors</w:t>
              </w:r>
            </w:hyperlink>
          </w:p>
        </w:tc>
        <w:tc>
          <w:tcPr>
            <w:tcW w:w="1320" w:type="dxa"/>
            <w:vAlign w:val="bottom"/>
          </w:tcPr>
          <w:p>
            <w:pPr>
              <w:jc w:val="center"/>
              <w:ind w:left="1088"/>
              <w:spacing w:after="0"/>
              <w:rPr>
                <w:rFonts w:ascii="Arial" w:cs="Arial" w:eastAsia="Arial" w:hAnsi="Arial"/>
                <w:sz w:val="14"/>
                <w:szCs w:val="14"/>
                <w:color w:val="0000FF"/>
              </w:rPr>
            </w:pPr>
            <w:hyperlink w:anchor="page66">
              <w:r>
                <w:rPr>
                  <w:rFonts w:ascii="Arial" w:cs="Arial" w:eastAsia="Arial" w:hAnsi="Arial"/>
                  <w:sz w:val="14"/>
                  <w:szCs w:val="14"/>
                  <w:color w:val="0000FF"/>
                </w:rPr>
                <w:t>65</w:t>
              </w:r>
            </w:hyperlink>
          </w:p>
        </w:tc>
      </w:tr>
      <w:tr>
        <w:trPr>
          <w:trHeight w:val="216"/>
        </w:trPr>
        <w:tc>
          <w:tcPr>
            <w:tcW w:w="8800" w:type="dxa"/>
            <w:vAlign w:val="bottom"/>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Unregistered Sales of Equity Securities and Use of Proceeds</w:t>
              </w:r>
            </w:hyperlink>
          </w:p>
        </w:tc>
        <w:tc>
          <w:tcPr>
            <w:tcW w:w="1320" w:type="dxa"/>
            <w:vAlign w:val="bottom"/>
          </w:tcPr>
          <w:p>
            <w:pPr>
              <w:jc w:val="center"/>
              <w:ind w:left="1088"/>
              <w:spacing w:after="0"/>
              <w:rPr>
                <w:rFonts w:ascii="Arial" w:cs="Arial" w:eastAsia="Arial" w:hAnsi="Arial"/>
                <w:sz w:val="14"/>
                <w:szCs w:val="14"/>
                <w:color w:val="0000FF"/>
              </w:rPr>
            </w:pPr>
            <w:hyperlink w:anchor="page87">
              <w:r>
                <w:rPr>
                  <w:rFonts w:ascii="Arial" w:cs="Arial" w:eastAsia="Arial" w:hAnsi="Arial"/>
                  <w:sz w:val="14"/>
                  <w:szCs w:val="14"/>
                  <w:color w:val="0000FF"/>
                </w:rPr>
                <w:t>86</w:t>
              </w:r>
            </w:hyperlink>
          </w:p>
        </w:tc>
      </w:tr>
      <w:tr>
        <w:trPr>
          <w:trHeight w:val="216"/>
        </w:trPr>
        <w:tc>
          <w:tcPr>
            <w:tcW w:w="8800" w:type="dxa"/>
            <w:vAlign w:val="bottom"/>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Defaults Upon Senior Securities</w:t>
              </w:r>
            </w:hyperlink>
          </w:p>
        </w:tc>
        <w:tc>
          <w:tcPr>
            <w:tcW w:w="1320" w:type="dxa"/>
            <w:vAlign w:val="bottom"/>
          </w:tcPr>
          <w:p>
            <w:pPr>
              <w:jc w:val="center"/>
              <w:ind w:left="1088"/>
              <w:spacing w:after="0"/>
              <w:rPr>
                <w:rFonts w:ascii="Arial" w:cs="Arial" w:eastAsia="Arial" w:hAnsi="Arial"/>
                <w:sz w:val="14"/>
                <w:szCs w:val="14"/>
                <w:color w:val="0000FF"/>
              </w:rPr>
            </w:pPr>
            <w:hyperlink w:anchor="page87">
              <w:r>
                <w:rPr>
                  <w:rFonts w:ascii="Arial" w:cs="Arial" w:eastAsia="Arial" w:hAnsi="Arial"/>
                  <w:sz w:val="14"/>
                  <w:szCs w:val="14"/>
                  <w:color w:val="0000FF"/>
                </w:rPr>
                <w:t>86</w:t>
              </w:r>
            </w:hyperlink>
          </w:p>
        </w:tc>
      </w:tr>
      <w:tr>
        <w:trPr>
          <w:trHeight w:val="216"/>
        </w:trPr>
        <w:tc>
          <w:tcPr>
            <w:tcW w:w="8800" w:type="dxa"/>
            <w:vAlign w:val="bottom"/>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Mine Safety Disclosures</w:t>
              </w:r>
            </w:hyperlink>
          </w:p>
        </w:tc>
        <w:tc>
          <w:tcPr>
            <w:tcW w:w="1320" w:type="dxa"/>
            <w:vAlign w:val="bottom"/>
          </w:tcPr>
          <w:p>
            <w:pPr>
              <w:jc w:val="center"/>
              <w:ind w:left="1088"/>
              <w:spacing w:after="0"/>
              <w:rPr>
                <w:rFonts w:ascii="Arial" w:cs="Arial" w:eastAsia="Arial" w:hAnsi="Arial"/>
                <w:sz w:val="14"/>
                <w:szCs w:val="14"/>
                <w:color w:val="0000FF"/>
              </w:rPr>
            </w:pPr>
            <w:hyperlink w:anchor="page87">
              <w:r>
                <w:rPr>
                  <w:rFonts w:ascii="Arial" w:cs="Arial" w:eastAsia="Arial" w:hAnsi="Arial"/>
                  <w:sz w:val="14"/>
                  <w:szCs w:val="14"/>
                  <w:color w:val="0000FF"/>
                </w:rPr>
                <w:t>87</w:t>
              </w:r>
            </w:hyperlink>
          </w:p>
        </w:tc>
      </w:tr>
      <w:tr>
        <w:trPr>
          <w:trHeight w:val="216"/>
        </w:trPr>
        <w:tc>
          <w:tcPr>
            <w:tcW w:w="8800" w:type="dxa"/>
            <w:vAlign w:val="bottom"/>
          </w:tcPr>
          <w:p>
            <w:pPr>
              <w:spacing w:after="0"/>
              <w:rPr>
                <w:rFonts w:ascii="Arial" w:cs="Arial" w:eastAsia="Arial" w:hAnsi="Arial"/>
                <w:sz w:val="14"/>
                <w:szCs w:val="14"/>
                <w:color w:val="0000FF"/>
              </w:rPr>
            </w:pPr>
            <w:hyperlink w:anchor="page88">
              <w:r>
                <w:rPr>
                  <w:rFonts w:ascii="Arial" w:cs="Arial" w:eastAsia="Arial" w:hAnsi="Arial"/>
                  <w:sz w:val="14"/>
                  <w:szCs w:val="14"/>
                  <w:color w:val="0000FF"/>
                </w:rPr>
                <w:t>Other Information</w:t>
              </w:r>
            </w:hyperlink>
          </w:p>
        </w:tc>
        <w:tc>
          <w:tcPr>
            <w:tcW w:w="1320" w:type="dxa"/>
            <w:vAlign w:val="bottom"/>
          </w:tcPr>
          <w:p>
            <w:pPr>
              <w:jc w:val="center"/>
              <w:ind w:left="1088"/>
              <w:spacing w:after="0"/>
              <w:rPr>
                <w:rFonts w:ascii="Arial" w:cs="Arial" w:eastAsia="Arial" w:hAnsi="Arial"/>
                <w:sz w:val="14"/>
                <w:szCs w:val="14"/>
                <w:color w:val="0000FF"/>
              </w:rPr>
            </w:pPr>
            <w:hyperlink w:anchor="page88">
              <w:r>
                <w:rPr>
                  <w:rFonts w:ascii="Arial" w:cs="Arial" w:eastAsia="Arial" w:hAnsi="Arial"/>
                  <w:sz w:val="14"/>
                  <w:szCs w:val="14"/>
                  <w:color w:val="0000FF"/>
                </w:rPr>
                <w:t>87</w:t>
              </w:r>
            </w:hyperlink>
          </w:p>
        </w:tc>
      </w:tr>
      <w:tr>
        <w:trPr>
          <w:trHeight w:val="216"/>
        </w:trPr>
        <w:tc>
          <w:tcPr>
            <w:tcW w:w="8800" w:type="dxa"/>
            <w:vAlign w:val="bottom"/>
          </w:tcPr>
          <w:p>
            <w:pPr>
              <w:spacing w:after="0"/>
              <w:rPr>
                <w:rFonts w:ascii="Arial" w:cs="Arial" w:eastAsia="Arial" w:hAnsi="Arial"/>
                <w:sz w:val="14"/>
                <w:szCs w:val="14"/>
                <w:color w:val="0000FF"/>
              </w:rPr>
            </w:pPr>
            <w:hyperlink w:anchor="page88">
              <w:r>
                <w:rPr>
                  <w:rFonts w:ascii="Arial" w:cs="Arial" w:eastAsia="Arial" w:hAnsi="Arial"/>
                  <w:sz w:val="14"/>
                  <w:szCs w:val="14"/>
                  <w:color w:val="0000FF"/>
                </w:rPr>
                <w:t>Exhibits</w:t>
              </w:r>
            </w:hyperlink>
          </w:p>
        </w:tc>
        <w:tc>
          <w:tcPr>
            <w:tcW w:w="1320" w:type="dxa"/>
            <w:vAlign w:val="bottom"/>
          </w:tcPr>
          <w:p>
            <w:pPr>
              <w:jc w:val="center"/>
              <w:ind w:left="1088"/>
              <w:spacing w:after="0"/>
              <w:rPr>
                <w:rFonts w:ascii="Arial" w:cs="Arial" w:eastAsia="Arial" w:hAnsi="Arial"/>
                <w:sz w:val="14"/>
                <w:szCs w:val="14"/>
                <w:color w:val="0000FF"/>
              </w:rPr>
            </w:pPr>
            <w:hyperlink w:anchor="page88">
              <w:r>
                <w:rPr>
                  <w:rFonts w:ascii="Arial" w:cs="Arial" w:eastAsia="Arial" w:hAnsi="Arial"/>
                  <w:sz w:val="14"/>
                  <w:szCs w:val="14"/>
                  <w:color w:val="0000FF"/>
                </w:rPr>
                <w:t>87</w:t>
              </w:r>
            </w:hyperlink>
          </w:p>
        </w:tc>
      </w:tr>
    </w:tbl>
    <w:p>
      <w:pPr>
        <w:spacing w:after="0" w:line="200" w:lineRule="exact"/>
        <w:rPr>
          <w:sz w:val="20"/>
          <w:szCs w:val="20"/>
          <w:color w:val="auto"/>
        </w:rPr>
      </w:pPr>
    </w:p>
    <w:p>
      <w:pPr>
        <w:sectPr>
          <w:pgSz w:w="11900" w:h="16838" w:orient="portrait"/>
          <w:cols w:equalWidth="0" w:num="2">
            <w:col w:w="560" w:space="320"/>
            <w:col w:w="10120"/>
          </w:cols>
          <w:pgMar w:left="340" w:top="10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40" w:top="1025" w:right="5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0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9"/>
                <w:szCs w:val="19"/>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9"/>
                <w:szCs w:val="19"/>
                <w:color w:val="auto"/>
              </w:rPr>
            </w:pPr>
          </w:p>
        </w:tc>
        <w:tc>
          <w:tcPr>
            <w:tcW w:w="166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50,870</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226,512</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49,178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16,005</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62,966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49,470</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1,769,799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1,707,059</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0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62,816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37,466</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8,315</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849,129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732,109</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175,872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23,720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27,692</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122,735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122,639</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112,752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129,105</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3,287,494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108,360</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144,855</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1,602,304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185,332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208,944</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38,795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45,252</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0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62,436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36,968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38,776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2,036,003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1,898,065</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6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shares ($0.01 par value per share; 2,000,000,000 shares authorized; 85,610,800 and</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71"/>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84,917,448 shares issued and outstanding as of June 30, 2020 and December 31, 2019, respectively)</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8,050,000 and 8,050,000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ind w:right="8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1"/>
        </w:trPr>
        <w:tc>
          <w:tcPr>
            <w:tcW w:w="6600" w:type="dxa"/>
            <w:vAlign w:val="bottom"/>
          </w:tcPr>
          <w:p>
            <w:pPr>
              <w:ind w:left="20"/>
              <w:spacing w:after="0"/>
              <w:rPr>
                <w:sz w:val="20"/>
                <w:szCs w:val="20"/>
                <w:color w:val="auto"/>
              </w:rPr>
            </w:pPr>
            <w:r>
              <w:rPr>
                <w:rFonts w:ascii="Arial" w:cs="Arial" w:eastAsia="Arial" w:hAnsi="Arial"/>
                <w:sz w:val="14"/>
                <w:szCs w:val="14"/>
                <w:color w:val="auto"/>
              </w:rPr>
              <w:t>shares issued and outstanding as of June 30, 2020 and December 31, 2019, respectively)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1,109,631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1,110,122</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115,113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190,453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1,222,699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1,301,877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28,792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1,251,491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1,338,857</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3,287,494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24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Notes</w:t>
            </w:r>
          </w:p>
        </w:tc>
        <w:tc>
          <w:tcPr>
            <w:tcW w:w="11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2"/>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79,834</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79,200</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166,283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151,652</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14,475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70,648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40,866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113,090</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4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94,309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149,848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207,149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264,742</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24,572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85,783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58,016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140,093</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7,735</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3,661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2,308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6,855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3,782</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9,548</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jc w:val="center"/>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41,720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42,052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83,917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80,915</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21,794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25,394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44,655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46,128</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111,367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164,798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222,492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288,201</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768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22,622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24,340</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331</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4,937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2,334</w:t>
            </w:r>
          </w:p>
        </w:tc>
      </w:tr>
      <w:tr>
        <w:trPr>
          <w:trHeight w:val="20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27,630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26,452</w:t>
            </w:r>
          </w:p>
        </w:tc>
      </w:tr>
      <w:tr>
        <w:trPr>
          <w:trHeight w:val="16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0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12,680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2,993</w:t>
            </w:r>
          </w:p>
        </w:tc>
      </w:tr>
      <w:tr>
        <w:trPr>
          <w:trHeight w:val="21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(2,061)</w:t>
            </w:r>
          </w:p>
        </w:tc>
      </w:tr>
      <w:tr>
        <w:trPr>
          <w:trHeight w:val="215"/>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income from continuing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5,054</w:t>
            </w:r>
          </w:p>
        </w:tc>
      </w:tr>
      <w:tr>
        <w:trPr>
          <w:trHeight w:val="210"/>
        </w:trPr>
        <w:tc>
          <w:tcPr>
            <w:tcW w:w="4240" w:type="dxa"/>
            <w:vAlign w:val="bottom"/>
          </w:tcPr>
          <w:p>
            <w:pPr>
              <w:ind w:left="120"/>
              <w:spacing w:after="0"/>
              <w:rPr>
                <w:sz w:val="20"/>
                <w:szCs w:val="20"/>
                <w:color w:val="auto"/>
              </w:rPr>
            </w:pPr>
            <w:r>
              <w:rPr>
                <w:rFonts w:ascii="Arial" w:cs="Arial" w:eastAsia="Arial" w:hAnsi="Arial"/>
                <w:sz w:val="14"/>
                <w:szCs w:val="14"/>
                <w:color w:val="auto"/>
              </w:rPr>
              <w:t>Net income from discontinued operations, net of income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943</w:t>
            </w:r>
          </w:p>
        </w:tc>
      </w:tr>
      <w:tr>
        <w:trPr>
          <w:trHeight w:val="21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(15,728)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15,793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(18,788)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5,997</w:t>
            </w:r>
          </w:p>
        </w:tc>
      </w:tr>
      <w:tr>
        <w:trPr>
          <w:trHeight w:val="174"/>
        </w:trPr>
        <w:tc>
          <w:tcPr>
            <w:tcW w:w="424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interests in</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42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2"/>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r>
      <w:tr>
        <w:trPr>
          <w:trHeight w:val="210"/>
        </w:trPr>
        <w:tc>
          <w:tcPr>
            <w:tcW w:w="424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5"/>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(15,695)</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20,332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(18,558)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13,952</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424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(0.23)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0.15</w:t>
            </w:r>
          </w:p>
        </w:tc>
      </w:tr>
      <w:tr>
        <w:trPr>
          <w:trHeight w:val="222"/>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0.15</w:t>
            </w:r>
          </w:p>
        </w:tc>
      </w:tr>
      <w:tr>
        <w:trPr>
          <w:trHeight w:val="210"/>
        </w:trPr>
        <w:tc>
          <w:tcPr>
            <w:tcW w:w="424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0.01</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Basic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86,009,959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85,987,769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86,009,029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85,987,115</w:t>
            </w: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86,009,959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85,989,029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86,009,029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85,987,115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1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5,997</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02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Other comprehensive (loss) income related to equity method investees, net</w:t>
            </w:r>
          </w:p>
        </w:tc>
        <w:tc>
          <w:tcPr>
            <w:tcW w:w="3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(12,112)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77,070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(3,354)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34,058</w:t>
            </w:r>
          </w:p>
        </w:tc>
        <w:tc>
          <w:tcPr>
            <w:tcW w:w="0" w:type="dxa"/>
            <w:vAlign w:val="bottom"/>
          </w:tcPr>
          <w:p>
            <w:pPr>
              <w:spacing w:after="0"/>
              <w:rPr>
                <w:sz w:val="1"/>
                <w:szCs w:val="1"/>
                <w:color w:val="auto"/>
              </w:rPr>
            </w:pPr>
          </w:p>
        </w:tc>
      </w:tr>
      <w:tr>
        <w:trPr>
          <w:trHeight w:val="117"/>
        </w:trPr>
        <w:tc>
          <w:tcPr>
            <w:tcW w:w="5020" w:type="dxa"/>
            <w:vAlign w:val="bottom"/>
            <w:shd w:val="clear" w:color="auto" w:fill="CCEEFF"/>
          </w:tcPr>
          <w:p>
            <w:pPr>
              <w:ind w:left="140"/>
              <w:spacing w:after="0"/>
              <w:rPr>
                <w:sz w:val="20"/>
                <w:szCs w:val="20"/>
                <w:color w:val="auto"/>
              </w:rPr>
            </w:pPr>
            <w:r>
              <w:rPr>
                <w:rFonts w:ascii="Arial" w:cs="Arial" w:eastAsia="Arial" w:hAnsi="Arial"/>
                <w:sz w:val="9"/>
                <w:szCs w:val="9"/>
                <w:color w:val="auto"/>
              </w:rPr>
              <w:t>(1)</w:t>
            </w:r>
          </w:p>
        </w:tc>
        <w:tc>
          <w:tcPr>
            <w:tcW w:w="3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(27,840)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92,863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(22,142)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40,055</w:t>
            </w:r>
          </w:p>
        </w:tc>
        <w:tc>
          <w:tcPr>
            <w:tcW w:w="0" w:type="dxa"/>
            <w:vAlign w:val="bottom"/>
          </w:tcPr>
          <w:p>
            <w:pPr>
              <w:spacing w:after="0"/>
              <w:rPr>
                <w:sz w:val="1"/>
                <w:szCs w:val="1"/>
                <w:color w:val="auto"/>
              </w:rPr>
            </w:pPr>
          </w:p>
        </w:tc>
      </w:tr>
      <w:tr>
        <w:trPr>
          <w:trHeight w:val="22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210"/>
        </w:trPr>
        <w:tc>
          <w:tcPr>
            <w:tcW w:w="502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 income attributable to shareholders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97,402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48,010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28" w:lineRule="auto"/>
        <w:tabs>
          <w:tab w:leader="none" w:pos="184"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Net of deferred tax (benefit) expense of $(3,220) and $6,186 for the three months ended June 30, 2020 and 2019, respectively, and $(894) and $6,186 for the six months ended June 30, 2020 and 2019, respectively.</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239395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11" w:right="1440" w:bottom="1440"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rPr>
              <w:t>Three and Six Months Ended June 30, 2020</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0"/>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Preferred</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7"/>
        </w:trPr>
        <w:tc>
          <w:tcPr>
            <w:tcW w:w="2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In Capital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Retained Earnings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Income (Loss)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 Equity</w:t>
            </w: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1,110,122</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190,453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36,980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1,338,857</w:t>
            </w:r>
          </w:p>
        </w:tc>
      </w:tr>
      <w:tr>
        <w:trPr>
          <w:trHeight w:val="181"/>
        </w:trPr>
        <w:tc>
          <w:tcPr>
            <w:tcW w:w="28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b w:val="1"/>
                <w:bCs w:val="1"/>
                <w:color w:val="auto"/>
              </w:rPr>
              <w:t>1,676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b w:val="1"/>
                <w:bCs w:val="1"/>
                <w:color w:val="auto"/>
              </w:rPr>
              <w:t>(4,736)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(3,060)</w:t>
            </w:r>
          </w:p>
        </w:tc>
      </w:tr>
      <w:tr>
        <w:trPr>
          <w:trHeight w:val="191"/>
        </w:trPr>
        <w:tc>
          <w:tcPr>
            <w:tcW w:w="2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8,758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8,758</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Total comprehensive income (loss)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1,676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8,758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(4,736)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5,698</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156</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(28,391)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(28,391)</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Issuance costs of preferred shares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(246)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(246)</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(4,539)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(4,539)</w:t>
            </w:r>
          </w:p>
        </w:tc>
      </w:tr>
      <w:tr>
        <w:trPr>
          <w:trHeight w:val="18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291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291</w:t>
            </w: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851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1,110,028</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159,199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9,130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32,535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1,311,824</w:t>
            </w:r>
          </w:p>
        </w:tc>
      </w:tr>
      <w:tr>
        <w:trPr>
          <w:trHeight w:val="181"/>
        </w:trPr>
        <w:tc>
          <w:tcPr>
            <w:tcW w:w="2800" w:type="dxa"/>
            <w:vAlign w:val="bottom"/>
          </w:tcPr>
          <w:p>
            <w:pPr>
              <w:ind w:left="120"/>
              <w:spacing w:after="0"/>
              <w:rPr>
                <w:sz w:val="20"/>
                <w:szCs w:val="20"/>
                <w:color w:val="auto"/>
              </w:rPr>
            </w:pPr>
            <w:r>
              <w:rPr>
                <w:rFonts w:ascii="Arial" w:cs="Arial" w:eastAsia="Arial" w:hAnsi="Arial"/>
                <w:sz w:val="13"/>
                <w:szCs w:val="13"/>
                <w:color w:val="auto"/>
              </w:rPr>
              <w:t>Net loss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(11,616)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(4,112)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(15,728)</w:t>
            </w:r>
          </w:p>
        </w:tc>
      </w:tr>
      <w:tr>
        <w:trPr>
          <w:trHeight w:val="190"/>
        </w:trPr>
        <w:tc>
          <w:tcPr>
            <w:tcW w:w="2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(12,112)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(12,112)</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(11,616)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(12,112)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(4,112)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(27,840)</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(42)</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rPr>
              <w:t>150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155</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(28,391)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(28,391)</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of preferred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(542)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(542)</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Dividends declared - preferred shares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(4,079)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(4,079)</w:t>
            </w:r>
          </w:p>
        </w:tc>
      </w:tr>
      <w:tr>
        <w:trPr>
          <w:trHeight w:val="190"/>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Equity-based compensation</w:t>
            </w: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411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411</w:t>
            </w:r>
          </w:p>
        </w:tc>
      </w:tr>
      <w:tr>
        <w:trPr>
          <w:trHeight w:val="189"/>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Equity -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856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81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1,109,631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115,113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(2,982)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28,792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1,251,491</w:t>
            </w: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54"/>
        </w:trPr>
        <w:tc>
          <w:tcPr>
            <w:tcW w:w="2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rPr>
              <w:t>Three and Six Months Ended June 30, 2019</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Preferred</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Comprehensive (Loss)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7"/>
        </w:trPr>
        <w:tc>
          <w:tcPr>
            <w:tcW w:w="2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In Capital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 Equity</w:t>
            </w: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1,029,376</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(32,817)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56,383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1,053,782</w:t>
            </w:r>
          </w:p>
        </w:tc>
      </w:tr>
      <w:tr>
        <w:trPr>
          <w:trHeight w:val="181"/>
        </w:trPr>
        <w:tc>
          <w:tcPr>
            <w:tcW w:w="2800" w:type="dxa"/>
            <w:vAlign w:val="bottom"/>
          </w:tcPr>
          <w:p>
            <w:pPr>
              <w:ind w:left="1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(6,380)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(3,416)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(9,796)</w:t>
            </w:r>
          </w:p>
        </w:tc>
      </w:tr>
      <w:tr>
        <w:trPr>
          <w:trHeight w:val="190"/>
        </w:trPr>
        <w:tc>
          <w:tcPr>
            <w:tcW w:w="2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(43,012)</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(6,380)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(43,012)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(3,416)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(52,808)</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239</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(28,383)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(28,383)</w:t>
            </w:r>
          </w:p>
        </w:tc>
      </w:tr>
      <w:tr>
        <w:trPr>
          <w:trHeight w:val="18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228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228</w:t>
            </w: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March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1,001,223</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(39,197)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53,195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973,054</w:t>
            </w:r>
          </w:p>
        </w:tc>
      </w:tr>
      <w:tr>
        <w:trPr>
          <w:trHeight w:val="181"/>
        </w:trPr>
        <w:tc>
          <w:tcPr>
            <w:tcW w:w="28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20,332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(4,539)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15,793</w:t>
            </w:r>
          </w:p>
        </w:tc>
      </w:tr>
      <w:tr>
        <w:trPr>
          <w:trHeight w:val="190"/>
        </w:trPr>
        <w:tc>
          <w:tcPr>
            <w:tcW w:w="2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77,070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77,070</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Total comprehensive income (loss)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20,332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77,070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(4,539)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92,863</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r>
      <w:tr>
        <w:trPr>
          <w:trHeight w:val="181"/>
        </w:trPr>
        <w:tc>
          <w:tcPr>
            <w:tcW w:w="2800" w:type="dxa"/>
            <w:vAlign w:val="bottom"/>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w:t>
            </w:r>
          </w:p>
        </w:tc>
      </w:tr>
      <w:tr>
        <w:trPr>
          <w:trHeight w:val="19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(28,384)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(28,384)</w:t>
            </w:r>
          </w:p>
        </w:tc>
      </w:tr>
      <w:tr>
        <w:trPr>
          <w:trHeight w:val="18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700</w:t>
            </w:r>
          </w:p>
        </w:tc>
      </w:tr>
      <w:tr>
        <w:trPr>
          <w:trHeight w:val="20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972,836</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34,058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1,038,233</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(18,788)</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5,997</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net cash (used in) provided by operating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2,944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553</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1,051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(24,355)</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(2,869)</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4,724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928</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83,917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82,133</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Change in current and deferred income taxes</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(4,506)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(2,655)</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13,488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17,288</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4,043</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1,761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3,062</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Change in:</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7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(14,675)</w:t>
            </w:r>
          </w:p>
        </w:tc>
      </w:tr>
      <w:tr>
        <w:trPr>
          <w:trHeight w:val="210"/>
        </w:trPr>
        <w:tc>
          <w:tcPr>
            <w:tcW w:w="786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6,210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(13,105)</w:t>
            </w:r>
          </w:p>
        </w:tc>
      </w:tr>
      <w:tr>
        <w:trPr>
          <w:trHeight w:val="222"/>
        </w:trPr>
        <w:tc>
          <w:tcPr>
            <w:tcW w:w="7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(18,894)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8,661</w:t>
            </w:r>
          </w:p>
        </w:tc>
      </w:tr>
      <w:tr>
        <w:trPr>
          <w:trHeight w:val="210"/>
        </w:trPr>
        <w:tc>
          <w:tcPr>
            <w:tcW w:w="7860" w:type="dxa"/>
            <w:vAlign w:val="bottom"/>
          </w:tcPr>
          <w:p>
            <w:pPr>
              <w:ind w:left="160"/>
              <w:spacing w:after="0"/>
              <w:rPr>
                <w:sz w:val="20"/>
                <w:szCs w:val="20"/>
                <w:color w:val="auto"/>
              </w:rPr>
            </w:pPr>
            <w:r>
              <w:rPr>
                <w:rFonts w:ascii="Arial" w:cs="Arial" w:eastAsia="Arial" w:hAnsi="Arial"/>
                <w:sz w:val="14"/>
                <w:szCs w:val="14"/>
                <w:color w:val="auto"/>
              </w:rPr>
              <w:t>Management fees payable to affiliate</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(20,987)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871</w:t>
            </w:r>
          </w:p>
        </w:tc>
      </w:tr>
      <w:tr>
        <w:trPr>
          <w:trHeight w:val="216"/>
        </w:trPr>
        <w:tc>
          <w:tcPr>
            <w:tcW w:w="7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(8,062)</w:t>
            </w:r>
          </w:p>
        </w:tc>
      </w:tr>
      <w:tr>
        <w:trPr>
          <w:trHeight w:val="21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44,652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58,112</w:t>
            </w:r>
          </w:p>
        </w:tc>
      </w:tr>
      <w:tr>
        <w:trPr>
          <w:trHeight w:val="202"/>
        </w:trPr>
        <w:tc>
          <w:tcPr>
            <w:tcW w:w="7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3,320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2,996</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(206,299)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(209,171)</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(130,073)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(159,252)</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(4,590)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(33,637)</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37,687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71,497</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3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capital distributions from unconsolidated entities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1,280</w:t>
            </w:r>
          </w:p>
        </w:tc>
      </w:tr>
      <w:tr>
        <w:trPr>
          <w:trHeight w:val="21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Return of deposit on sale of engine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2,350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(298,122)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(325,657)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458,981</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529,477</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(275,991)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(128,835)</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(12,629)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(32,443)</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3,475</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(3,815)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(233)</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18,499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28,903</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(9,185)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(22,493)</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of preferred shares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common shares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(56,782)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(56,767)</w:t>
            </w:r>
          </w:p>
        </w:tc>
      </w:tr>
      <w:tr>
        <w:trPr>
          <w:trHeight w:val="21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 - preferred shares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111,001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321,084</w:t>
            </w:r>
          </w:p>
        </w:tc>
      </w:tr>
      <w:tr>
        <w:trPr>
          <w:trHeight w:val="202"/>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(142,469)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53,539</w:t>
            </w:r>
          </w:p>
        </w:tc>
      </w:tr>
      <w:tr>
        <w:trPr>
          <w:trHeight w:val="21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242,517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120,837</w:t>
            </w: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100,048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174,376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25,326</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1,558</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(13,631)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(13,735)</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3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(2,545)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(679)</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14,563</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3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34,058</w:t>
            </w: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4"/>
        </w:trPr>
        <w:tc>
          <w:tcPr>
            <w:tcW w:w="786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36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304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112"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112" w:gutter="0" w:footer="0" w:header="0"/>
          <w:type w:val="continuous"/>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and (iii) an equity method investment in a multi-modal terminal located along the Ohio River with multiple industrial development opportunities, including a power plant under construction (“Long Ridge”). Additionally, we own and lease offshore energy equipment and shipping containers. We have three reportable segments, (i) Aviation Leasing, (ii) Jefferson Terminal and (iii) Ports and Terminals, which operate in two primary businesses, Equipment Leasing and Infrastructure (see Note 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9)</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inventory is carried at the lower of cost or net realizable value on our balance sheet. Commodities are removed from inventory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based on the average cost at the time of sale. We had commodities inventory of $0.4 million and $5.6 million as of June 30, 2020 and December 31, 2019, respectively, which is included in Other assets in the Consolidated Balance Sheets.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$25.2 million and $18.1 million as of June 30, 2020 and December 31, 2019, respectively, are recorded as a component of debt in the Consolidated Balance Sheets.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$2.4 million and $1.7 million as of June 30, 2020 and December 31, 2019, respectively, which are included in Other assets in the Consolidated Balance Sheets.</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Amortization expense was $1.9 million and $2.0 million for the three months ended June 30, 2020 and 2019, respectively, and $4.0 million and $4.0 million for the six months ended June 30, 2020 and 2019, respectively, and is included in interest expense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fair value of the aircraft and lease. The fair value of the lease may include a lease premium or discount.</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Leases,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three and six months ended June 30, 2020.</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straight-line basis over the term</w:t>
      </w:r>
      <w:r>
        <w:rPr>
          <w:rFonts w:ascii="Arial" w:cs="Arial" w:eastAsia="Arial" w:hAnsi="Arial"/>
          <w:sz w:val="16"/>
          <w:szCs w:val="16"/>
          <w:color w:val="auto"/>
          <w:strike w:val="1"/>
        </w:rPr>
        <w:t>s</w:t>
      </w:r>
      <w:r>
        <w:rPr>
          <w:rFonts w:ascii="Arial" w:cs="Arial" w:eastAsia="Arial" w:hAnsi="Arial"/>
          <w:sz w:val="16"/>
          <w:szCs w:val="16"/>
          <w:color w:val="auto"/>
        </w:rPr>
        <w:t xml:space="preserve"> of the relevant lease agreement.</w:t>
      </w:r>
    </w:p>
    <w:p>
      <w:pPr>
        <w:spacing w:after="0" w:line="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consists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three months ended June 30, 2020, one customer in the Aviation Leasing segment accounted for approximately 10% of total revenue. During the three months ended June 30, 2019, one customer in the Jefferson Terminal segment accounted for approximately 23% of total revenue. During the six months ended June 30, 2020, one customer in the Jefferson Terminal segment and one customer in the Aviation segment each accounted for approximately 11% of total revenue. During the six months ended June 30, 2019, one customer in the Jefferson Terminal segment accounted for approximately 23% of total revenue.</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June 30, 2020, there were two customers in the Aviation Leasing segment that represented 27% and 14% of total accounts receivable, net, respectively. As of December 31, 2019, accounts receivable from one customer in the Jefferson Terminal segment represented 16% of total accounts receivable, net.</w:t>
      </w:r>
    </w:p>
    <w:p>
      <w:pPr>
        <w:spacing w:after="0" w:line="2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$2.8 million and $1.3 million as of June 30, 2020 and December 31, 2019, respectively. Bad debt expense was $1.1 million and $0.0 million for the three months ended June 30, 2020 and 2019, respectively, and $1.8 million and $3.0 million for the six months ended June 30, 2020 and 2019, respectively, and is included in operating expenses in the Consolidated Statements of Operations.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other comprehensive income related to our equity method investees.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related to equity method investees in our Consolidated Statements of Comprehensive (Loss) Income and recorded in Accumulated other comprehensive (loss)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Equity in earnings (losses) in unconsolidated entities in the Consolidated Statements of Operations. The cash flow impact of derivative contracts that are not designated as hedging instruments is recognized in Investment in unconsolidated entities in our Consolidated Statements of Cash Flows.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11 for additional details.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the extent that we have outstanding derivatives, they are not used for speculative purposes. We record all derivative assets and liabilities on a gross basis at fair value and are included in Other assets and Other liabilities, respectively, in our Consolidated Balance Sheets.</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$46.3 million and $45.3 million, prepaid expenses of $4.3 million and $4.1 million,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receivable of $0.7 million and $2.4 million and maintenance right assets of $22.3 million and $24.5 million as of June 30, 2020 and December 31, 2019, respectively.</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six months ended June 30, 2020 and 2019,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a cash dividend of $0.33 and $0.66 per common share.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quarter ended June 30, 2020, the Board of Directors declared a cash dividend on the Series A Preferred Shares and Series B Preferred Shares of $0.52 and $0.50 per share, respectively.</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June 2016, the FASB issued ASU 2016-13,</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Financial Instruments—Credit Losses (Topic 326): Measurement of</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Credit Losses on Financial Instruments (“ASU 2016-13”)</w:t>
      </w:r>
      <w:r>
        <w:rPr>
          <w:rFonts w:ascii="Arial" w:cs="Arial" w:eastAsia="Arial" w:hAnsi="Arial"/>
          <w:sz w:val="16"/>
          <w:szCs w:val="16"/>
          <w:color w:val="000000"/>
        </w:rPr>
        <w:t>. For assets held at amortized cost basis, ASU 2016-13 eliminates the probable initial recognition</w:t>
      </w:r>
      <w:r>
        <w:rPr>
          <w:rFonts w:ascii="Arial" w:cs="Arial" w:eastAsia="Arial" w:hAnsi="Arial"/>
          <w:sz w:val="16"/>
          <w:szCs w:val="16"/>
          <w:i w:val="1"/>
          <w:iCs w:val="1"/>
          <w:color w:val="000000"/>
        </w:rPr>
        <w:t xml:space="preserve"> </w:t>
      </w:r>
      <w:r>
        <w:rPr>
          <w:rFonts w:ascii="Arial" w:cs="Arial" w:eastAsia="Arial" w:hAnsi="Arial"/>
          <w:sz w:val="16"/>
          <w:szCs w:val="16"/>
          <w:color w:val="000000"/>
        </w:rPr>
        <w:t>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We adopted this ASU in the first quarter of 2020 and adoption did not have a material impact on our consolidated financial statements.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We adopted this ASU in the first quarter of 2020 and adoption did not have a material impact on our consolidated financial statements.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We adopted this ASU in the first quarter of 2020 and adoption did not have a material impact on our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 which temporarily simplifies the accounting for contract modifications, including hedging relationships, due to the transition from LIBOR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December 2019, the FASB issued ASU 2019-12,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Simplifying the Accounting for Income Taxes (Topic 740)</w:t>
      </w:r>
      <w:r>
        <w:rPr>
          <w:rFonts w:ascii="Arial" w:cs="Arial" w:eastAsia="Arial" w:hAnsi="Arial"/>
          <w:sz w:val="16"/>
          <w:szCs w:val="16"/>
          <w:color w:val="000000"/>
        </w:rPr>
        <w: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are currently assessing the impact this guidance will have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results of operations of CMQR have been reported as discontinued operations for all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income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w w:val="96"/>
              </w:rPr>
              <w:t>9,157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18,890</w:t>
            </w:r>
          </w:p>
        </w:tc>
        <w:tc>
          <w:tcPr>
            <w:tcW w:w="0" w:type="dxa"/>
            <w:vAlign w:val="bottom"/>
          </w:tcPr>
          <w:p>
            <w:pPr>
              <w:spacing w:after="0"/>
              <w:rPr>
                <w:sz w:val="1"/>
                <w:szCs w:val="1"/>
                <w:color w:val="auto"/>
              </w:rPr>
            </w:pPr>
          </w:p>
        </w:tc>
      </w:tr>
      <w:tr>
        <w:trPr>
          <w:trHeight w:val="202"/>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0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w w:val="96"/>
              </w:rPr>
              <w:t>7,726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15,882</w:t>
            </w:r>
          </w:p>
        </w:tc>
        <w:tc>
          <w:tcPr>
            <w:tcW w:w="0" w:type="dxa"/>
            <w:vAlign w:val="bottom"/>
          </w:tcPr>
          <w:p>
            <w:pPr>
              <w:spacing w:after="0"/>
              <w:rPr>
                <w:sz w:val="1"/>
                <w:szCs w:val="1"/>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6"/>
              </w:rPr>
              <w:t>8,352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17,747</w:t>
            </w: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0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 in</w:t>
            </w:r>
          </w:p>
        </w:tc>
        <w:tc>
          <w:tcPr>
            <w:tcW w:w="1040" w:type="dxa"/>
            <w:vAlign w:val="bottom"/>
          </w:tcPr>
          <w:p>
            <w:pPr>
              <w:spacing w:after="0"/>
              <w:rPr>
                <w:sz w:val="15"/>
                <w:szCs w:val="15"/>
                <w:color w:val="auto"/>
              </w:rPr>
            </w:pPr>
          </w:p>
        </w:tc>
        <w:tc>
          <w:tcPr>
            <w:tcW w:w="4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3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capital expenditures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r>
      <w:tr>
        <w:trPr>
          <w:trHeight w:val="20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1,218</w:t>
            </w:r>
          </w:p>
        </w:tc>
      </w:tr>
      <w:tr>
        <w:trPr>
          <w:trHeight w:val="22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r>
      <w:tr>
        <w:trPr>
          <w:trHeight w:val="210"/>
        </w:trPr>
        <w:tc>
          <w:tcPr>
            <w:tcW w:w="828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167</w:t>
            </w:r>
          </w:p>
        </w:tc>
      </w:tr>
      <w:tr>
        <w:trPr>
          <w:trHeight w:val="22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04"/>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2,978</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2,146,948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2,019,773</w:t>
            </w:r>
          </w:p>
        </w:tc>
      </w:tr>
      <w:tr>
        <w:trPr>
          <w:trHeight w:val="21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(377,149)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(312,714)</w:t>
            </w:r>
          </w:p>
        </w:tc>
      </w:tr>
      <w:tr>
        <w:trPr>
          <w:trHeight w:val="241"/>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1,769,799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1,707,059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During the three months ended June 30, 2020, we performed impairment analyses over certain of our leasing equipment and determined that the carrying amount of certain assets were not recoverable.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$10.5 million, net of redelivery compensation, during the second quarter of 2020.</w:t>
      </w:r>
    </w:p>
    <w:p>
      <w:pPr>
        <w:spacing w:after="0" w:line="1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six months ended June 30, 2020: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60" w:type="dxa"/>
            <w:vAlign w:val="bottom"/>
            <w:shd w:val="clear" w:color="auto" w:fill="CCEEFF"/>
          </w:tcPr>
          <w:p>
            <w:pPr>
              <w:spacing w:after="0"/>
              <w:rPr>
                <w:sz w:val="18"/>
                <w:szCs w:val="18"/>
                <w:color w:val="auto"/>
              </w:rPr>
            </w:pPr>
          </w:p>
        </w:tc>
      </w:tr>
      <w:tr>
        <w:trPr>
          <w:trHeight w:val="210"/>
        </w:trPr>
        <w:tc>
          <w:tcPr>
            <w:tcW w:w="5880" w:type="dxa"/>
            <w:vAlign w:val="bottom"/>
          </w:tcPr>
          <w:p>
            <w:pPr>
              <w:ind w:left="120"/>
              <w:spacing w:after="0"/>
              <w:rPr>
                <w:sz w:val="20"/>
                <w:szCs w:val="20"/>
                <w:color w:val="auto"/>
              </w:rPr>
            </w:pPr>
            <w:r>
              <w:rPr>
                <w:rFonts w:ascii="Arial" w:cs="Arial" w:eastAsia="Arial" w:hAnsi="Arial"/>
                <w:sz w:val="14"/>
                <w:szCs w:val="14"/>
                <w:color w:val="auto"/>
              </w:rPr>
              <w:t>Aircraft</w:t>
            </w:r>
          </w:p>
        </w:tc>
        <w:tc>
          <w:tcPr>
            <w:tcW w:w="5360" w:type="dxa"/>
            <w:vAlign w:val="bottom"/>
          </w:tcPr>
          <w:p>
            <w:pPr>
              <w:jc w:val="right"/>
              <w:ind w:right="68"/>
              <w:spacing w:after="0"/>
              <w:rPr>
                <w:sz w:val="20"/>
                <w:szCs w:val="20"/>
                <w:color w:val="auto"/>
              </w:rPr>
            </w:pPr>
            <w:r>
              <w:rPr>
                <w:rFonts w:ascii="Arial" w:cs="Arial" w:eastAsia="Arial" w:hAnsi="Arial"/>
                <w:sz w:val="14"/>
                <w:szCs w:val="14"/>
                <w:color w:val="auto"/>
              </w:rPr>
              <w:t>19</w:t>
            </w:r>
          </w:p>
        </w:tc>
      </w:tr>
      <w:tr>
        <w:trPr>
          <w:trHeight w:val="222"/>
        </w:trPr>
        <w:tc>
          <w:tcPr>
            <w:tcW w:w="5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Engines</w:t>
            </w:r>
          </w:p>
        </w:tc>
        <w:tc>
          <w:tcPr>
            <w:tcW w:w="5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r>
      <w:tr>
        <w:trPr>
          <w:trHeight w:val="210"/>
        </w:trPr>
        <w:tc>
          <w:tcPr>
            <w:tcW w:w="588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60" w:type="dxa"/>
            <w:vAlign w:val="bottom"/>
          </w:tcPr>
          <w:p>
            <w:pPr>
              <w:spacing w:after="0"/>
              <w:rPr>
                <w:sz w:val="18"/>
                <w:szCs w:val="18"/>
                <w:color w:val="auto"/>
              </w:rPr>
            </w:pPr>
          </w:p>
        </w:tc>
      </w:tr>
      <w:tr>
        <w:trPr>
          <w:trHeight w:val="222"/>
        </w:trPr>
        <w:tc>
          <w:tcPr>
            <w:tcW w:w="5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Aircraft</w:t>
            </w:r>
          </w:p>
        </w:tc>
        <w:tc>
          <w:tcPr>
            <w:tcW w:w="5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4"/>
        </w:trPr>
        <w:tc>
          <w:tcPr>
            <w:tcW w:w="5880" w:type="dxa"/>
            <w:vAlign w:val="bottom"/>
          </w:tcPr>
          <w:p>
            <w:pPr>
              <w:ind w:left="120"/>
              <w:spacing w:after="0"/>
              <w:rPr>
                <w:sz w:val="20"/>
                <w:szCs w:val="20"/>
                <w:color w:val="auto"/>
              </w:rPr>
            </w:pPr>
            <w:r>
              <w:rPr>
                <w:rFonts w:ascii="Arial" w:cs="Arial" w:eastAsia="Arial" w:hAnsi="Arial"/>
                <w:sz w:val="14"/>
                <w:szCs w:val="14"/>
                <w:color w:val="auto"/>
              </w:rPr>
              <w:t>Engines</w:t>
            </w:r>
          </w:p>
        </w:tc>
        <w:tc>
          <w:tcPr>
            <w:tcW w:w="5360" w:type="dxa"/>
            <w:vAlign w:val="bottom"/>
          </w:tcPr>
          <w:p>
            <w:pPr>
              <w:jc w:val="right"/>
              <w:ind w:right="68"/>
              <w:spacing w:after="0"/>
              <w:rPr>
                <w:sz w:val="20"/>
                <w:szCs w:val="20"/>
                <w:color w:val="auto"/>
              </w:rPr>
            </w:pPr>
            <w:r>
              <w:rPr>
                <w:rFonts w:ascii="Arial" w:cs="Arial" w:eastAsia="Arial" w:hAnsi="Arial"/>
                <w:sz w:val="14"/>
                <w:szCs w:val="14"/>
                <w:color w:val="auto"/>
              </w:rPr>
              <w:t>3</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9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15"/>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34,293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69,017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67,046</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FINANCE LEASES,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12,388</w:t>
            </w:r>
          </w:p>
        </w:tc>
      </w:tr>
      <w:tr>
        <w:trPr>
          <w:trHeight w:val="21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(4,073)</w:t>
            </w:r>
          </w:p>
        </w:tc>
      </w:tr>
      <w:tr>
        <w:trPr>
          <w:trHeight w:val="24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7,657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8,315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51,889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51,901</w:t>
            </w: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322,353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211,110</w:t>
            </w: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3,783</w:t>
            </w: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6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537,486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519,603</w:t>
            </w: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2,208</w:t>
            </w: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6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5,596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4,823</w:t>
            </w: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4,325</w:t>
            </w: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2,443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2,322</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1,969</w:t>
            </w:r>
          </w:p>
        </w:tc>
      </w:tr>
      <w:tr>
        <w:trPr>
          <w:trHeight w:val="209"/>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932,238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802,044</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(83,109)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(69,935)</w:t>
            </w:r>
          </w:p>
        </w:tc>
      </w:tr>
      <w:tr>
        <w:trPr>
          <w:trHeight w:val="215"/>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849,129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732,109</w:t>
            </w:r>
          </w:p>
        </w:tc>
      </w:tr>
      <w:tr>
        <w:trPr>
          <w:trHeight w:val="21"/>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2020, we added property, plant and equipment of $130.2 million, which primarily consists of terminal machinery and equipment placed in service or under development at Jefferson Terminal and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494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6,538</w:t>
            </w:r>
          </w:p>
        </w:tc>
        <w:tc>
          <w:tcPr>
            <w:tcW w:w="100" w:type="dxa"/>
            <w:vAlign w:val="bottom"/>
          </w:tcPr>
          <w:p>
            <w:pPr>
              <w:spacing w:after="0"/>
              <w:rPr>
                <w:sz w:val="18"/>
                <w:szCs w:val="18"/>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6,014</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13,123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12,092</w:t>
            </w: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1,203</w:t>
            </w:r>
          </w:p>
        </w:tc>
      </w:tr>
      <w:tr>
        <w:trPr>
          <w:trHeight w:val="216"/>
        </w:trPr>
        <w:tc>
          <w:tcPr>
            <w:tcW w:w="494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6,538</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6,558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13,123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13,295</w:t>
            </w:r>
          </w:p>
        </w:tc>
      </w:tr>
      <w:tr>
        <w:trPr>
          <w:trHeight w:val="20"/>
        </w:trPr>
        <w:tc>
          <w:tcPr>
            <w:tcW w:w="4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210"/>
        </w:trPr>
        <w:tc>
          <w:tcPr>
            <w:tcW w:w="3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24,652</w:t>
            </w:r>
          </w:p>
        </w:tc>
      </w:tr>
      <w:tr>
        <w:trPr>
          <w:trHeight w:val="210"/>
        </w:trPr>
        <w:tc>
          <w:tcPr>
            <w:tcW w:w="310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40" w:type="dxa"/>
            <w:vAlign w:val="bottom"/>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501</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152,172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155,397</w:t>
            </w:r>
          </w:p>
        </w:tc>
      </w:tr>
      <w:tr>
        <w:trPr>
          <w:trHeight w:val="215"/>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175,872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180,550</w:t>
            </w:r>
          </w:p>
        </w:tc>
      </w:tr>
      <w:tr>
        <w:trPr>
          <w:trHeight w:val="20"/>
        </w:trPr>
        <w:tc>
          <w:tcPr>
            <w:tcW w:w="3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six months ended June 30, 2020 or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9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15"/>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r>
      <w:tr>
        <w:trPr>
          <w:trHeight w:val="210"/>
        </w:trPr>
        <w:tc>
          <w:tcPr>
            <w:tcW w:w="492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9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8"/>
                <w:szCs w:val="18"/>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2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r>
      <w:tr>
        <w:trPr>
          <w:trHeight w:val="210"/>
        </w:trPr>
        <w:tc>
          <w:tcPr>
            <w:tcW w:w="492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92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(2,582)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4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summarized statement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 June</w:t>
            </w: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5,169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9,907</w:t>
            </w:r>
          </w:p>
        </w:tc>
      </w:tr>
      <w:tr>
        <w:trPr>
          <w:trHeight w:val="210"/>
        </w:trPr>
        <w:tc>
          <w:tcPr>
            <w:tcW w:w="720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tcPr>
          <w:p>
            <w:pPr>
              <w:spacing w:after="0"/>
              <w:rPr>
                <w:sz w:val="18"/>
                <w:szCs w:val="18"/>
                <w:color w:val="auto"/>
              </w:rPr>
            </w:pPr>
          </w:p>
        </w:tc>
        <w:tc>
          <w:tcPr>
            <w:tcW w:w="1580" w:type="dxa"/>
            <w:vAlign w:val="bottom"/>
          </w:tcPr>
          <w:p>
            <w:pPr>
              <w:jc w:val="center"/>
              <w:ind w:left="828"/>
              <w:spacing w:after="0"/>
              <w:rPr>
                <w:sz w:val="20"/>
                <w:szCs w:val="20"/>
                <w:color w:val="auto"/>
              </w:rPr>
            </w:pPr>
            <w:r>
              <w:rPr>
                <w:rFonts w:ascii="Arial" w:cs="Arial" w:eastAsia="Arial" w:hAnsi="Arial"/>
                <w:sz w:val="14"/>
                <w:szCs w:val="14"/>
                <w:color w:val="auto"/>
                <w:w w:val="99"/>
              </w:rPr>
              <w:t>(8,483)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(14,858)</w:t>
            </w: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828"/>
              <w:spacing w:after="0"/>
              <w:rPr>
                <w:sz w:val="20"/>
                <w:szCs w:val="20"/>
                <w:color w:val="auto"/>
              </w:rPr>
            </w:pPr>
            <w:r>
              <w:rPr>
                <w:rFonts w:ascii="Arial" w:cs="Arial" w:eastAsia="Arial" w:hAnsi="Arial"/>
                <w:sz w:val="14"/>
                <w:szCs w:val="14"/>
                <w:color w:val="auto"/>
                <w:w w:val="99"/>
              </w:rPr>
              <w:t>(1,840)</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1,605</w:t>
            </w:r>
          </w:p>
        </w:tc>
      </w:tr>
      <w:tr>
        <w:trPr>
          <w:trHeight w:val="21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b w:val="1"/>
                <w:bCs w:val="1"/>
                <w:color w:val="auto"/>
                <w:w w:val="99"/>
              </w:rPr>
              <w:t>(5,154)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(3,346)</w:t>
            </w:r>
          </w:p>
        </w:tc>
      </w:tr>
      <w:tr>
        <w:trPr>
          <w:trHeight w:val="20"/>
        </w:trPr>
        <w:tc>
          <w:tcPr>
            <w:tcW w:w="7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summarized statement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4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(1,851)</w:t>
            </w:r>
          </w:p>
        </w:tc>
      </w:tr>
      <w:tr>
        <w:trPr>
          <w:trHeight w:val="24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(2,374)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was governed by a designated operating committee selected by the members in proportion to their equity interests. JGP was solely reliant on its members to finance its activities and therefore was a VIE. Initially, we concluded that we were not the primary beneficiary of JGP as the members shared equally in the risks and rewards and decision making authority of the entity and, therefore, we did not consolidate JGP and instead accounted for this investment in accordance with the equity method.</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2019, we purchased the remaining 50% interest in JGP from the joint venture partner for a purchase price of approximately $30 million, consolidated JGP and no longer account for this as an equity method investment.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Intermodal owns a portfolio of approximately 3,000 shipping containers subject to multiple operating leases.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10"/>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8"/>
                <w:szCs w:val="18"/>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02"/>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b w:val="1"/>
                <w:bCs w:val="1"/>
                <w:color w:val="auto"/>
              </w:rPr>
              <w:t>35,349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35,349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(26,434)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(26,434)</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8"/>
                <w:szCs w:val="18"/>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b w:val="1"/>
                <w:bCs w:val="1"/>
                <w:color w:val="auto"/>
              </w:rPr>
              <w:t>8,915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8,915</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35,513</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(20,708)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(20,708)</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14,805</w:t>
            </w:r>
          </w:p>
        </w:tc>
      </w:tr>
      <w:tr>
        <w:trPr>
          <w:trHeight w:val="216"/>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8,915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14,805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23,720</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7,151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7,151</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(3,131)</w:t>
            </w:r>
          </w:p>
        </w:tc>
      </w:tr>
      <w:tr>
        <w:trPr>
          <w:trHeight w:val="235"/>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4,020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70"/>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09"/>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8"/>
                <w:szCs w:val="18"/>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02"/>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49,762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49,762</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(38,652)</w:t>
            </w:r>
          </w:p>
        </w:tc>
      </w:tr>
      <w:tr>
        <w:trPr>
          <w:trHeight w:val="20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11,110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11,110</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35,513</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(18,931)</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16,582</w:t>
            </w:r>
          </w:p>
        </w:tc>
      </w:tr>
      <w:tr>
        <w:trPr>
          <w:trHeight w:val="215"/>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11,110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16,582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27,692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5,170</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(3,014)</w:t>
            </w:r>
          </w:p>
        </w:tc>
      </w:tr>
      <w:tr>
        <w:trPr>
          <w:trHeight w:val="235"/>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300" w:type="dxa"/>
            <w:vAlign w:val="bottom"/>
          </w:tcPr>
          <w:p>
            <w:pPr>
              <w:spacing w:after="0"/>
              <w:rPr>
                <w:sz w:val="17"/>
                <w:szCs w:val="17"/>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212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15"/>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4,664</w:t>
            </w:r>
          </w:p>
        </w:tc>
      </w:tr>
      <w:tr>
        <w:trPr>
          <w:trHeight w:val="210"/>
        </w:trPr>
        <w:tc>
          <w:tcPr>
            <w:tcW w:w="21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1,777</w:t>
            </w:r>
          </w:p>
        </w:tc>
      </w:tr>
      <w:tr>
        <w:trPr>
          <w:trHeight w:val="210"/>
        </w:trPr>
        <w:tc>
          <w:tcPr>
            <w:tcW w:w="212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41"/>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6,456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3,523</w:t>
            </w:r>
          </w:p>
        </w:tc>
      </w:tr>
      <w:tr>
        <w:trPr>
          <w:trHeight w:val="210"/>
        </w:trPr>
        <w:tc>
          <w:tcPr>
            <w:tcW w:w="94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6,213</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4,385</w:t>
            </w:r>
          </w:p>
        </w:tc>
      </w:tr>
      <w:tr>
        <w:trPr>
          <w:trHeight w:val="210"/>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6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3,343</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2,236</w:t>
            </w:r>
          </w:p>
        </w:tc>
      </w:tr>
      <w:tr>
        <w:trPr>
          <w:trHeight w:val="21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1"/>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19,700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June 30, 2020</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7"/>
                <w:szCs w:val="17"/>
                <w:color w:val="auto"/>
              </w:rPr>
            </w:pPr>
          </w:p>
        </w:tc>
        <w:tc>
          <w:tcPr>
            <w:tcW w:w="4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202"/>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4"/>
                <w:szCs w:val="14"/>
                <w:color w:val="auto"/>
              </w:rPr>
              <w:t>FTAI Pride Credit Agreement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8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36,009</w:t>
            </w:r>
          </w:p>
        </w:tc>
        <w:tc>
          <w:tcPr>
            <w:tcW w:w="0" w:type="dxa"/>
            <w:vAlign w:val="bottom"/>
          </w:tcPr>
          <w:p>
            <w:pPr>
              <w:spacing w:after="0"/>
              <w:rPr>
                <w:sz w:val="1"/>
                <w:szCs w:val="1"/>
                <w:color w:val="auto"/>
              </w:rPr>
            </w:pPr>
          </w:p>
        </w:tc>
      </w:tr>
      <w:tr>
        <w:trPr>
          <w:trHeight w:val="208"/>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w:t>
            </w:r>
          </w:p>
        </w:tc>
        <w:tc>
          <w:tcPr>
            <w:tcW w:w="24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195,000</w:t>
            </w:r>
          </w:p>
        </w:tc>
        <w:tc>
          <w:tcPr>
            <w:tcW w:w="1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Base Rate + 2.00%; or</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4"/>
                <w:szCs w:val="14"/>
                <w:color w:val="auto"/>
              </w:rPr>
              <w:t>Jefferson Revolver</w:t>
            </w:r>
          </w:p>
        </w:tc>
        <w:tc>
          <w:tcPr>
            <w:tcW w:w="240" w:type="dxa"/>
            <w:vAlign w:val="bottom"/>
          </w:tcPr>
          <w:p>
            <w:pPr>
              <w:spacing w:after="0"/>
              <w:rPr>
                <w:sz w:val="18"/>
                <w:szCs w:val="18"/>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8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9"/>
        </w:trPr>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3"/>
                <w:szCs w:val="13"/>
                <w:color w:val="auto"/>
              </w:rPr>
            </w:pPr>
          </w:p>
        </w:tc>
        <w:tc>
          <w:tcPr>
            <w:tcW w:w="448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rPr>
              <w:t>(i) Base Rate + 1.50%; or</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11/5/2021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6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24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220,000</w:t>
            </w:r>
          </w:p>
        </w:tc>
        <w:tc>
          <w:tcPr>
            <w:tcW w:w="1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111,009</w:t>
            </w:r>
          </w:p>
        </w:tc>
        <w:tc>
          <w:tcPr>
            <w:tcW w:w="0" w:type="dxa"/>
            <w:vAlign w:val="bottom"/>
          </w:tcPr>
          <w:p>
            <w:pPr>
              <w:spacing w:after="0"/>
              <w:rPr>
                <w:sz w:val="1"/>
                <w:szCs w:val="1"/>
                <w:color w:val="auto"/>
              </w:rPr>
            </w:pPr>
          </w:p>
        </w:tc>
      </w:tr>
      <w:tr>
        <w:trPr>
          <w:trHeight w:val="22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(3)</w:t>
            </w:r>
          </w:p>
        </w:tc>
        <w:tc>
          <w:tcPr>
            <w:tcW w:w="240" w:type="dxa"/>
            <w:vAlign w:val="bottom"/>
          </w:tcPr>
          <w:p>
            <w:pPr>
              <w:spacing w:after="0"/>
              <w:rPr>
                <w:sz w:val="18"/>
                <w:szCs w:val="18"/>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8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2016 Bonds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tcPr>
          <w:p>
            <w:pPr>
              <w:spacing w:after="0"/>
              <w:rPr>
                <w:sz w:val="18"/>
                <w:szCs w:val="18"/>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263,980</w:t>
            </w:r>
          </w:p>
        </w:tc>
        <w:tc>
          <w:tcPr>
            <w:tcW w:w="100" w:type="dxa"/>
            <w:vAlign w:val="bottom"/>
          </w:tcPr>
          <w:p>
            <w:pPr>
              <w:spacing w:after="0"/>
              <w:rPr>
                <w:sz w:val="18"/>
                <w:szCs w:val="18"/>
                <w:color w:val="auto"/>
              </w:rPr>
            </w:pPr>
          </w:p>
        </w:tc>
        <w:tc>
          <w:tcPr>
            <w:tcW w:w="448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See below</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698,207</w:t>
            </w:r>
          </w:p>
        </w:tc>
        <w:tc>
          <w:tcPr>
            <w:tcW w:w="100" w:type="dxa"/>
            <w:vAlign w:val="bottom"/>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4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697,814</w:t>
            </w: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6"/>
                <w:szCs w:val="16"/>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445,321</w:t>
            </w: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(5)</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46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444,957</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1,407,508</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1,328,030</w:t>
            </w:r>
          </w:p>
        </w:tc>
        <w:tc>
          <w:tcPr>
            <w:tcW w:w="0" w:type="dxa"/>
            <w:vAlign w:val="bottom"/>
          </w:tcPr>
          <w:p>
            <w:pPr>
              <w:spacing w:after="0"/>
              <w:rPr>
                <w:sz w:val="1"/>
                <w:szCs w:val="1"/>
                <w:color w:val="auto"/>
              </w:rPr>
            </w:pPr>
          </w:p>
        </w:tc>
      </w:tr>
      <w:tr>
        <w:trPr>
          <w:trHeight w:val="257"/>
        </w:trPr>
        <w:tc>
          <w:tcPr>
            <w:tcW w:w="20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1,627,508</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1,439,039</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(25,204)</w:t>
            </w:r>
          </w:p>
        </w:tc>
        <w:tc>
          <w:tcPr>
            <w:tcW w:w="10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(18,111)</w:t>
            </w:r>
          </w:p>
        </w:tc>
        <w:tc>
          <w:tcPr>
            <w:tcW w:w="0" w:type="dxa"/>
            <w:vAlign w:val="bottom"/>
          </w:tcPr>
          <w:p>
            <w:pPr>
              <w:spacing w:after="0"/>
              <w:rPr>
                <w:sz w:val="1"/>
                <w:szCs w:val="1"/>
                <w:color w:val="auto"/>
              </w:rPr>
            </w:pPr>
          </w:p>
        </w:tc>
      </w:tr>
      <w:tr>
        <w:trPr>
          <w:trHeight w:val="24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1,602,304</w:t>
            </w:r>
          </w:p>
        </w:tc>
        <w:tc>
          <w:tcPr>
            <w:tcW w:w="10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182,019</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$1,509 as of December 31, 2019.</w:t>
      </w:r>
    </w:p>
    <w:p>
      <w:pPr>
        <w:spacing w:after="0" w:line="44" w:lineRule="exact"/>
        <w:rPr>
          <w:rFonts w:ascii="Arial" w:cs="Arial" w:eastAsia="Arial" w:hAnsi="Arial"/>
          <w:sz w:val="18"/>
          <w:szCs w:val="18"/>
          <w:color w:val="auto"/>
          <w:vertAlign w:val="superscript"/>
        </w:rPr>
      </w:pPr>
    </w:p>
    <w:p>
      <w:pPr>
        <w:ind w:left="180" w:hanging="172"/>
        <w:spacing w:after="0" w:line="211" w:lineRule="auto"/>
        <w:tabs>
          <w:tab w:leader="none" w:pos="176"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unamortized discount of $4,348 and $5,429 at June 30, 2020 and December 31, 2019, respectively, and an unamortized premium of $2,555 and $3,243 at June 30, 2020 and December 31, 2019, respectively.</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$4,679 and $5,043 at June 30, 2020 and December 31, 2019, respectively.</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Series 2020 Bonds</w:t>
      </w:r>
      <w:r>
        <w:rPr>
          <w:rFonts w:ascii="Arial" w:cs="Arial" w:eastAsia="Arial" w:hAnsi="Arial"/>
          <w:sz w:val="16"/>
          <w:szCs w:val="16"/>
          <w:color w:val="00497F"/>
        </w:rPr>
        <w:t>—</w:t>
      </w:r>
      <w:r>
        <w:rPr>
          <w:rFonts w:ascii="Arial" w:cs="Arial" w:eastAsia="Arial" w:hAnsi="Arial"/>
          <w:sz w:val="16"/>
          <w:szCs w:val="16"/>
          <w:color w:val="000000"/>
        </w:rPr>
        <w:t>On February 11, 2020, our subsidiary (“Jefferson”) issued Series 2020 Bonds in an aggregate principal amount of approximately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$264.0 million (“Jefferson Refinancing”). The Series 2020 Bonds are designated as $184.9 million of Series 2020A Dock and Wharf Facility Revenue Bonds (the “Tax Exempt Series 2020A Bonds”), and $79.1 million of Series 2020B Taxable Facility Revenue Bonds (the “Taxable Series 2020B Bonds”).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2035 ($53.5 million aggregate principal amount) bear interest at a fixed rate of 3.625%.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2050 ($131.4 million aggregate principal amount) bear interest at a fixed rate of 4.00%.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2020B Bonds will mature on January 1, 2025 and bear interest at a fixed rate of 6.00%.</w:t>
      </w:r>
    </w:p>
    <w:p>
      <w:pPr>
        <w:spacing w:after="0" w:line="11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Jefferson used a portion of the net proceeds from this offering to refund, redeem and defease the Series 2012 Bonds, Series 2016 Bonds and Jefferson Revolver, and intends to use a portion of the net proceeds to pay for or reimburse the cost of development, construction and acquisition of certain facilities, to fund certain reserve and funded interest accounts related to the Series 2020 Bonds, and to pay for or reimburse certain costs of issuance of the Series 2020 Bonds.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Jefferson recognized a loss on extinguishment of debt of $4.7 million as a result of this transaction.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During March 2020, we repaid the FTAI Pride Credit Agreement in full.</w:t>
      </w:r>
    </w:p>
    <w:p>
      <w:pPr>
        <w:spacing w:after="0" w:line="11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May 11, 2020, we entered into an amendment to the Revolving Credit Facility which, among other things, (i) permits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incurrence of additional secured indebtedness to finance the potential acquisition of certain aviation assets, subject to certain limitations, (ii) provides that, to the extent borrowings under the Existing Credit Agreement exceed $150 million, we will pledge certain aviation assets as additional collateral and (iii) incorporates certain other updates, including procedures by which the parties will select a replacement benchmark interest rate in the event that LIBOR is no longer available or appropriate as a reference rate upon which to determine the interest rate under the Existing Credit Agreement.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June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June 30, 2020 and December 31, 2019, by level within the fair value hierarchy. Assets measured at fair value are classified in their entirety based on the lowest level of input that is significant to their fair value measurement.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 as of</w:t>
            </w:r>
          </w:p>
        </w:tc>
        <w:tc>
          <w:tcPr>
            <w:tcW w:w="200" w:type="dxa"/>
            <w:vAlign w:val="bottom"/>
          </w:tcPr>
          <w:p>
            <w:pPr>
              <w:spacing w:after="0"/>
              <w:rPr>
                <w:sz w:val="16"/>
                <w:szCs w:val="16"/>
                <w:color w:val="auto"/>
              </w:rPr>
            </w:pPr>
          </w:p>
        </w:tc>
        <w:tc>
          <w:tcPr>
            <w:tcW w:w="43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2"/>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8"/>
                <w:szCs w:val="18"/>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68"/>
              <w:spacing w:after="0"/>
              <w:rPr>
                <w:sz w:val="20"/>
                <w:szCs w:val="20"/>
                <w:color w:val="auto"/>
              </w:rPr>
            </w:pPr>
            <w:r>
              <w:rPr>
                <w:rFonts w:ascii="Arial" w:cs="Arial" w:eastAsia="Arial" w:hAnsi="Arial"/>
                <w:sz w:val="14"/>
                <w:szCs w:val="14"/>
                <w:b w:val="1"/>
                <w:bCs w:val="1"/>
                <w:color w:val="auto"/>
              </w:rPr>
              <w:t>50,870</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50,870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9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49,178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49,178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100,048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100,048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46"/>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 as of</w:t>
            </w:r>
          </w:p>
        </w:tc>
        <w:tc>
          <w:tcPr>
            <w:tcW w:w="200" w:type="dxa"/>
            <w:vAlign w:val="bottom"/>
          </w:tcPr>
          <w:p>
            <w:pPr>
              <w:spacing w:after="0"/>
              <w:rPr>
                <w:sz w:val="24"/>
                <w:szCs w:val="24"/>
                <w:color w:val="auto"/>
              </w:rPr>
            </w:pPr>
          </w:p>
        </w:tc>
        <w:tc>
          <w:tcPr>
            <w:tcW w:w="43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8"/>
                <w:szCs w:val="18"/>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226,512</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226,512</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242,698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242,517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fair value of our commodity derivative assets and liabilities classified as Level 3 measurements are estimated by applying the income approach, which is based on discounted projected future cash flows. The valuation of our electricity derivatives within our equity method investment in Long Ridge is based on management’s best estimate of certain key assumptions, which include extrapolated power forward curves for periods with unobservable market pricing, credit valuation adjustments utilizing estimated cash flows, estimated price volatility and probability of default, and the discount rate. The valuation of our commodity derivatives is based on management’s best estimate of certain key assumptions, which include an estimated differential factor for varying quality of commodity and the discount rate.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Series A 2020 Bonds </w:t>
      </w:r>
      <w:r>
        <w:rPr>
          <w:rFonts w:ascii="Arial" w:cs="Arial" w:eastAsia="Arial" w:hAnsi="Arial"/>
          <w:sz w:val="18"/>
          <w:szCs w:val="18"/>
          <w:color w:val="auto"/>
          <w:vertAlign w:val="superscript"/>
        </w:rPr>
        <w:t>(2)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Series B 2020 Bonds </w:t>
      </w:r>
      <w:r>
        <w:rPr>
          <w:rFonts w:ascii="Arial" w:cs="Arial" w:eastAsia="Arial" w:hAnsi="Arial"/>
          <w:sz w:val="18"/>
          <w:szCs w:val="18"/>
          <w:color w:val="auto"/>
          <w:vertAlign w:val="superscript"/>
        </w:rPr>
        <w:t>(2)</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Senior Notes due 2022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Senior Notes due 2025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2019</w:t>
            </w:r>
          </w:p>
        </w:tc>
      </w:tr>
      <w:tr>
        <w:trPr>
          <w:trHeight w:val="204"/>
        </w:trPr>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41,450</w:t>
            </w:r>
          </w:p>
        </w:tc>
      </w:tr>
      <w:tr>
        <w:trPr>
          <w:trHeight w:val="216"/>
        </w:trPr>
        <w:tc>
          <w:tcPr>
            <w:tcW w:w="2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145,143</w:t>
            </w:r>
          </w:p>
        </w:tc>
      </w:tr>
      <w:tr>
        <w:trPr>
          <w:trHeight w:val="216"/>
        </w:trPr>
        <w:tc>
          <w:tcPr>
            <w:tcW w:w="28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177,964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28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78,756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28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674,324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731,451</w:t>
            </w:r>
          </w:p>
        </w:tc>
      </w:tr>
      <w:tr>
        <w:trPr>
          <w:trHeight w:val="216"/>
        </w:trPr>
        <w:tc>
          <w:tcPr>
            <w:tcW w:w="28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407,462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475,884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-823595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-540385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-266065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6640" w:space="720"/>
            <w:col w:w="3880"/>
          </w:cols>
          <w:pgMar w:left="320" w:top="118"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These bonds were defeased as part of the Jefferson Refinancing. See Note 9 for additional details.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Due to the COVID-19 pandemic, the fair values of our notes and bonds fluctuated significantly during the first half of 2020 and may continue to fluctuate based on market conditions and other factors.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We exited this strategy in the fourth quarter of 2019. These crude oil forward purchase and sales contracts are not designated in hedging relationships.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 June</w:t>
            </w:r>
          </w:p>
        </w:tc>
        <w:tc>
          <w:tcPr>
            <w:tcW w:w="204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30, 2019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Crude Oil Forwards</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Electricity</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Crude Oil</w:t>
            </w:r>
          </w:p>
        </w:tc>
        <w:tc>
          <w:tcPr>
            <w:tcW w:w="160" w:type="dxa"/>
            <w:vAlign w:val="bottom"/>
          </w:tcPr>
          <w:p>
            <w:pPr>
              <w:spacing w:after="0"/>
              <w:rPr>
                <w:sz w:val="17"/>
                <w:szCs w:val="17"/>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Crude Oil Forwards</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Electricity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Crude Oil</w:t>
            </w:r>
          </w:p>
        </w:tc>
        <w:tc>
          <w:tcPr>
            <w:tcW w:w="0" w:type="dxa"/>
            <w:vAlign w:val="bottom"/>
          </w:tcPr>
          <w:p>
            <w:pPr>
              <w:spacing w:after="0"/>
              <w:rPr>
                <w:sz w:val="1"/>
                <w:szCs w:val="1"/>
                <w:color w:val="auto"/>
              </w:rPr>
            </w:pPr>
          </w:p>
        </w:tc>
      </w:tr>
      <w:tr>
        <w:trPr>
          <w:trHeight w:val="176"/>
        </w:trPr>
        <w:tc>
          <w:tcPr>
            <w:tcW w:w="3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line="176" w:lineRule="exact"/>
              <w:rPr>
                <w:sz w:val="20"/>
                <w:szCs w:val="20"/>
                <w:color w:val="auto"/>
              </w:rPr>
            </w:pPr>
            <w:r>
              <w:rPr>
                <w:rFonts w:ascii="Arial" w:cs="Arial" w:eastAsia="Arial" w:hAnsi="Arial"/>
                <w:sz w:val="14"/>
                <w:szCs w:val="14"/>
                <w:b w:val="1"/>
                <w:bCs w:val="1"/>
                <w:color w:val="auto"/>
              </w:rPr>
              <w:t xml:space="preserve">Swaps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Forwards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b w:val="1"/>
                <w:bCs w:val="1"/>
                <w:color w:val="auto"/>
              </w:rPr>
              <w:t xml:space="preserve">Swaps </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Forwards</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194"/>
        </w:trPr>
        <w:tc>
          <w:tcPr>
            <w:tcW w:w="3260" w:type="dxa"/>
            <w:vAlign w:val="bottom"/>
          </w:tcPr>
          <w:p>
            <w:pPr>
              <w:ind w:left="20"/>
              <w:spacing w:after="0"/>
              <w:rPr>
                <w:sz w:val="20"/>
                <w:szCs w:val="20"/>
                <w:color w:val="auto"/>
              </w:rPr>
            </w:pPr>
            <w:r>
              <w:rPr>
                <w:rFonts w:ascii="Arial" w:cs="Arial" w:eastAsia="Arial" w:hAnsi="Arial"/>
                <w:sz w:val="14"/>
                <w:szCs w:val="14"/>
                <w:color w:val="auto"/>
              </w:rPr>
              <w:t>Net unrealized gains (losses) recognized in</w:t>
            </w:r>
          </w:p>
        </w:tc>
        <w:tc>
          <w:tcPr>
            <w:tcW w:w="140" w:type="dxa"/>
            <w:vAlign w:val="bottom"/>
          </w:tcPr>
          <w:p>
            <w:pPr>
              <w:spacing w:after="0"/>
              <w:rPr>
                <w:sz w:val="16"/>
                <w:szCs w:val="16"/>
                <w:color w:val="auto"/>
              </w:rPr>
            </w:pPr>
          </w:p>
        </w:tc>
        <w:tc>
          <w:tcPr>
            <w:tcW w:w="176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60" w:type="dxa"/>
            <w:vAlign w:val="bottom"/>
          </w:tcPr>
          <w:p>
            <w:pPr>
              <w:ind w:left="2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4,887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recognized in other comprehensive income</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4"/>
                <w:szCs w:val="14"/>
                <w:color w:val="auto"/>
              </w:rPr>
              <w:t>Purchases</w:t>
            </w:r>
          </w:p>
        </w:tc>
        <w:tc>
          <w:tcPr>
            <w:tcW w:w="140" w:type="dxa"/>
            <w:vAlign w:val="bottom"/>
          </w:tcPr>
          <w:p>
            <w:pPr>
              <w:spacing w:after="0"/>
              <w:rPr>
                <w:sz w:val="18"/>
                <w:szCs w:val="18"/>
                <w:color w:val="auto"/>
              </w:rPr>
            </w:pPr>
          </w:p>
        </w:tc>
        <w:tc>
          <w:tcPr>
            <w:tcW w:w="1760" w:type="dxa"/>
            <w:vAlign w:val="bottom"/>
            <w:gridSpan w:val="2"/>
          </w:tcPr>
          <w:p>
            <w:pPr>
              <w:ind w:left="1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Settlements</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42,761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4,277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derivatives were deconsolidated in December 2019 due to the Long Ridge Transaction. See Note 7 for additional details.</w:t>
      </w:r>
    </w:p>
    <w:p>
      <w:pPr>
        <w:spacing w:after="0" w:line="94"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6"/>
          <w:szCs w:val="16"/>
          <w:color w:val="auto"/>
        </w:rPr>
        <w:t>There were no transfers into or out of Level 3 during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Three Months Ended June 30, 2020</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9"/>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Infrastructure</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8"/>
                <w:szCs w:val="18"/>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42,505</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2,129</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44,634</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27,105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27,105</w:t>
            </w: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413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413</w:t>
            </w: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5,236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7,682</w:t>
            </w:r>
          </w:p>
        </w:tc>
      </w:tr>
      <w:tr>
        <w:trPr>
          <w:trHeight w:val="21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75,259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4,575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79,834</w:t>
            </w: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287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287</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12,794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12,794</w:t>
            </w: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1,394</w:t>
            </w:r>
          </w:p>
        </w:tc>
      </w:tr>
      <w:tr>
        <w:trPr>
          <w:trHeight w:val="21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13,081</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14,475</w:t>
            </w:r>
          </w:p>
        </w:tc>
      </w:tr>
      <w:tr>
        <w:trPr>
          <w:trHeight w:val="235"/>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75,259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13,081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5,969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94,309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center"/>
              <w:ind w:left="48"/>
              <w:spacing w:after="0"/>
              <w:rPr>
                <w:sz w:val="20"/>
                <w:szCs w:val="20"/>
                <w:color w:val="auto"/>
              </w:rPr>
            </w:pPr>
            <w:r>
              <w:rPr>
                <w:rFonts w:ascii="Arial" w:cs="Arial" w:eastAsia="Arial" w:hAnsi="Arial"/>
                <w:sz w:val="14"/>
                <w:szCs w:val="14"/>
                <w:b w:val="1"/>
                <w:bCs w:val="1"/>
                <w:color w:val="auto"/>
              </w:rPr>
              <w:t>Three Months Ended June 30, 2019</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9"/>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8"/>
                <w:szCs w:val="18"/>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48,731</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51,888</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25,369</w:t>
            </w: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881</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1,062</w:t>
            </w:r>
          </w:p>
        </w:tc>
      </w:tr>
      <w:tr>
        <w:trPr>
          <w:trHeight w:val="203"/>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74,981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4,219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79,200</w:t>
            </w: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1,086</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7,537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8,565</w:t>
            </w: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59,204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59,204</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1,793</w:t>
            </w:r>
          </w:p>
        </w:tc>
      </w:tr>
      <w:tr>
        <w:trPr>
          <w:trHeight w:val="203"/>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7"/>
                <w:szCs w:val="17"/>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67,562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70,648</w:t>
            </w:r>
          </w:p>
        </w:tc>
      </w:tr>
      <w:tr>
        <w:trPr>
          <w:trHeight w:val="241"/>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74,981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67,562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149,848</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70"/>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8"/>
              <w:spacing w:after="0"/>
              <w:rPr>
                <w:sz w:val="20"/>
                <w:szCs w:val="20"/>
                <w:color w:val="auto"/>
              </w:rPr>
            </w:pPr>
            <w:r>
              <w:rPr>
                <w:rFonts w:ascii="Arial" w:cs="Arial" w:eastAsia="Arial" w:hAnsi="Arial"/>
                <w:sz w:val="14"/>
                <w:szCs w:val="14"/>
                <w:b w:val="1"/>
                <w:bCs w:val="1"/>
                <w:color w:val="auto"/>
              </w:rPr>
              <w:t>Six Months Ended June 30, 2020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09"/>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8"/>
                <w:szCs w:val="18"/>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89,446</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5,001</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94,447</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59,100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59,100</w:t>
            </w: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842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842</w:t>
            </w: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8,863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11,894</w:t>
            </w:r>
          </w:p>
        </w:tc>
      </w:tr>
      <w:tr>
        <w:trPr>
          <w:trHeight w:val="21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158,251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8,032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166,283</w:t>
            </w:r>
          </w:p>
        </w:tc>
      </w:tr>
      <w:tr>
        <w:trPr>
          <w:trHeight w:val="20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407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407</w:t>
            </w: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29,205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29,205</w:t>
            </w:r>
          </w:p>
        </w:tc>
      </w:tr>
      <w:tr>
        <w:trPr>
          <w:trHeight w:val="210"/>
        </w:trPr>
        <w:tc>
          <w:tcPr>
            <w:tcW w:w="322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8,210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8,210</w:t>
            </w: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2,730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3,044</w:t>
            </w:r>
          </w:p>
        </w:tc>
      </w:tr>
      <w:tr>
        <w:trPr>
          <w:trHeight w:val="21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37,822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2,730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40,866</w:t>
            </w:r>
          </w:p>
        </w:tc>
      </w:tr>
      <w:tr>
        <w:trPr>
          <w:trHeight w:val="240"/>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158,251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37,822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207,149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Six Months Ended June 30, 2019</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8"/>
                <w:szCs w:val="18"/>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0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96,034</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5,090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101,124</w:t>
            </w:r>
          </w:p>
        </w:tc>
      </w:tr>
      <w:tr>
        <w:trPr>
          <w:trHeight w:val="222"/>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47,146</w:t>
            </w:r>
          </w:p>
        </w:tc>
      </w:tr>
      <w:tr>
        <w:trPr>
          <w:trHeight w:val="210"/>
        </w:trPr>
        <w:tc>
          <w:tcPr>
            <w:tcW w:w="320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8"/>
                <w:szCs w:val="18"/>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1,707</w:t>
            </w:r>
          </w:p>
        </w:tc>
      </w:tr>
      <w:tr>
        <w:trPr>
          <w:trHeight w:val="222"/>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1,675</w:t>
            </w: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7"/>
                <w:szCs w:val="17"/>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145,392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6,260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151,652</w:t>
            </w:r>
          </w:p>
        </w:tc>
      </w:tr>
      <w:tr>
        <w:trPr>
          <w:trHeight w:val="20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0"/>
        </w:trPr>
        <w:tc>
          <w:tcPr>
            <w:tcW w:w="320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1,749</w:t>
            </w:r>
          </w:p>
        </w:tc>
      </w:tr>
      <w:tr>
        <w:trPr>
          <w:trHeight w:val="222"/>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15,250</w:t>
            </w:r>
          </w:p>
        </w:tc>
      </w:tr>
      <w:tr>
        <w:trPr>
          <w:trHeight w:val="210"/>
        </w:trPr>
        <w:tc>
          <w:tcPr>
            <w:tcW w:w="320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89,983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89,983</w:t>
            </w:r>
          </w:p>
        </w:tc>
      </w:tr>
      <w:tr>
        <w:trPr>
          <w:trHeight w:val="222"/>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6,108</w:t>
            </w: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7"/>
                <w:szCs w:val="17"/>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103,516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7,980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1,594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113,090</w:t>
            </w:r>
          </w:p>
        </w:tc>
      </w:tr>
      <w:tr>
        <w:trPr>
          <w:trHeight w:val="241"/>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145,392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264,742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June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7"/>
                <w:szCs w:val="17"/>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b w:val="1"/>
                <w:bCs w:val="1"/>
                <w:color w:val="auto"/>
              </w:rPr>
              <w:t>Finance Leases</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91,457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770</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150,867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1,291</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95,870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897</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59,785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273</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22,149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457,815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3,231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LEASES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approximately 1 to 42 years.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9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1,229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3,199</w:t>
            </w: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96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1,732</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264</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897</w:t>
            </w:r>
          </w:p>
        </w:tc>
      </w:tr>
      <w:tr>
        <w:trPr>
          <w:trHeight w:val="209"/>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Lease expense from continuing operations</w:t>
            </w:r>
          </w:p>
        </w:tc>
        <w:tc>
          <w:tcPr>
            <w:tcW w:w="96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1,653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3,918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5,828</w:t>
            </w:r>
          </w:p>
        </w:tc>
      </w:tr>
      <w:tr>
        <w:trPr>
          <w:trHeight w:val="276"/>
        </w:trPr>
        <w:tc>
          <w:tcPr>
            <w:tcW w:w="49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color w:val="auto"/>
              </w:rPr>
              <w:t>Finance lease expense</w:t>
            </w: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158</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1,850</w:t>
            </w: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Lease expense from discontinued operations</w:t>
            </w:r>
          </w:p>
        </w:tc>
        <w:tc>
          <w:tcPr>
            <w:tcW w:w="9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2,008</w:t>
            </w:r>
          </w:p>
        </w:tc>
      </w:tr>
      <w:tr>
        <w:trPr>
          <w:trHeight w:val="276"/>
        </w:trPr>
        <w:tc>
          <w:tcPr>
            <w:tcW w:w="49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1,653</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3,918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7,836</w:t>
            </w:r>
          </w:p>
        </w:tc>
      </w:tr>
      <w:tr>
        <w:trPr>
          <w:trHeight w:val="21"/>
        </w:trPr>
        <w:tc>
          <w:tcPr>
            <w:tcW w:w="4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six months ended June 30,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62,816</w:t>
            </w:r>
          </w:p>
        </w:tc>
      </w:tr>
      <w:tr>
        <w:trPr>
          <w:trHeight w:val="210"/>
        </w:trPr>
        <w:tc>
          <w:tcPr>
            <w:tcW w:w="900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62,436</w:t>
            </w:r>
          </w:p>
        </w:tc>
      </w:tr>
      <w:tr>
        <w:trPr>
          <w:trHeight w:val="276"/>
        </w:trPr>
        <w:tc>
          <w:tcPr>
            <w:tcW w:w="9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10"/>
        </w:trPr>
        <w:tc>
          <w:tcPr>
            <w:tcW w:w="900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 years</w:t>
            </w:r>
          </w:p>
        </w:tc>
      </w:tr>
      <w:tr>
        <w:trPr>
          <w:trHeight w:val="22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270"/>
        </w:trPr>
        <w:tc>
          <w:tcPr>
            <w:tcW w:w="9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operating lease liabilities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900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2,371</w:t>
            </w:r>
          </w:p>
        </w:tc>
      </w:tr>
      <w:tr>
        <w:trPr>
          <w:trHeight w:val="222"/>
        </w:trPr>
        <w:tc>
          <w:tcPr>
            <w:tcW w:w="9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359"/>
        </w:trPr>
        <w:tc>
          <w:tcPr>
            <w:tcW w:w="9000" w:type="dxa"/>
            <w:vAlign w:val="bottom"/>
          </w:tcPr>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June 30, 2020: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1"/>
        </w:trPr>
        <w:tc>
          <w:tcPr>
            <w:tcW w:w="9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2,378</w:t>
            </w:r>
          </w:p>
        </w:tc>
      </w:tr>
      <w:tr>
        <w:trPr>
          <w:trHeight w:val="210"/>
        </w:trPr>
        <w:tc>
          <w:tcPr>
            <w:tcW w:w="9000" w:type="dxa"/>
            <w:vAlign w:val="bottom"/>
          </w:tcPr>
          <w:p>
            <w:pPr>
              <w:ind w:left="20"/>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4,750</w:t>
            </w:r>
          </w:p>
        </w:tc>
      </w:tr>
      <w:tr>
        <w:trPr>
          <w:trHeight w:val="22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4,632</w:t>
            </w:r>
          </w:p>
        </w:tc>
      </w:tr>
      <w:tr>
        <w:trPr>
          <w:trHeight w:val="210"/>
        </w:trPr>
        <w:tc>
          <w:tcPr>
            <w:tcW w:w="9000" w:type="dxa"/>
            <w:vAlign w:val="bottom"/>
          </w:tcPr>
          <w:p>
            <w:pPr>
              <w:ind w:left="20"/>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4,585</w:t>
            </w:r>
          </w:p>
        </w:tc>
      </w:tr>
      <w:tr>
        <w:trPr>
          <w:trHeight w:val="22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4,354</w:t>
            </w:r>
          </w:p>
        </w:tc>
      </w:tr>
      <w:tr>
        <w:trPr>
          <w:trHeight w:val="21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149,992</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170,691</w:t>
            </w:r>
          </w:p>
        </w:tc>
      </w:tr>
      <w:tr>
        <w:trPr>
          <w:trHeight w:val="21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108,255</w:t>
            </w:r>
          </w:p>
        </w:tc>
      </w:tr>
      <w:tr>
        <w:trPr>
          <w:trHeight w:val="235"/>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62,436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2020, we amended a lease agreement for real estate in connection with the Jefferson Refinancing. The amended lease had a ROU asset value of $59.8 million and a lease term of approximately 43 years at commencement.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June 30, 2020, the Incentive Plan provides for the issuance of up to 29.9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vMerge w:val="restart"/>
          </w:tcPr>
          <w:p>
            <w:pPr>
              <w:jc w:val="center"/>
              <w:ind w:right="12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0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215"/>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4"/>
              </w:rPr>
              <w:t>546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659</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215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1,314</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 continuing</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702</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4"/>
              </w:rPr>
              <w:t>761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21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1,973</w:t>
            </w: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operations</w:t>
            </w:r>
          </w:p>
        </w:tc>
        <w:tc>
          <w:tcPr>
            <w:tcW w:w="22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2160" w:type="dxa"/>
            <w:vAlign w:val="bottom"/>
            <w:vMerge w:val="continue"/>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4"/>
              </w:rPr>
              <w:t>167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operations</w:t>
            </w:r>
          </w:p>
        </w:tc>
        <w:tc>
          <w:tcPr>
            <w:tcW w:w="220" w:type="dxa"/>
            <w:vAlign w:val="bottom"/>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six months ended June 30, 2020, FIG LLC (the “Manager”), an affiliate of Fortress Investment Group LLC, transferred 252,472 of its options to certain of the Manager’s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six months ended June 30, 2020, we issued 831,140 common units of our subsidiaries that had a grant date fair value of $0.9 million and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22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9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4920" w:type="dxa"/>
            <w:vAlign w:val="bottom"/>
          </w:tcPr>
          <w:p>
            <w:pPr>
              <w:ind w:left="120"/>
              <w:spacing w:after="0"/>
              <w:rPr>
                <w:sz w:val="20"/>
                <w:szCs w:val="20"/>
                <w:color w:val="auto"/>
              </w:rPr>
            </w:pPr>
            <w:r>
              <w:rPr>
                <w:rFonts w:ascii="Arial" w:cs="Arial" w:eastAsia="Arial" w:hAnsi="Arial"/>
                <w:sz w:val="14"/>
                <w:szCs w:val="14"/>
                <w:color w:val="auto"/>
              </w:rPr>
              <w:t>Federal</w:t>
            </w:r>
          </w:p>
        </w:tc>
        <w:tc>
          <w:tcPr>
            <w:tcW w:w="92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70</w:t>
            </w:r>
          </w:p>
        </w:tc>
      </w:tr>
      <w:tr>
        <w:trPr>
          <w:trHeight w:val="222"/>
        </w:trPr>
        <w:tc>
          <w:tcPr>
            <w:tcW w:w="4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local</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r>
      <w:tr>
        <w:trPr>
          <w:trHeight w:val="210"/>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w:t>
            </w:r>
          </w:p>
        </w:tc>
      </w:tr>
      <w:tr>
        <w:trPr>
          <w:trHeight w:val="210"/>
        </w:trPr>
        <w:tc>
          <w:tcPr>
            <w:tcW w:w="4920" w:type="dxa"/>
            <w:vAlign w:val="bottom"/>
          </w:tcPr>
          <w:p>
            <w:pPr>
              <w:ind w:left="20"/>
              <w:spacing w:after="0"/>
              <w:rPr>
                <w:sz w:val="20"/>
                <w:szCs w:val="20"/>
                <w:color w:val="auto"/>
              </w:rPr>
            </w:pPr>
            <w:r>
              <w:rPr>
                <w:rFonts w:ascii="Arial" w:cs="Arial" w:eastAsia="Arial" w:hAnsi="Arial"/>
                <w:sz w:val="14"/>
                <w:szCs w:val="14"/>
                <w:color w:val="auto"/>
              </w:rPr>
              <w:t>Deferred:</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Federal</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(1,760)</w:t>
            </w:r>
          </w:p>
        </w:tc>
      </w:tr>
      <w:tr>
        <w:trPr>
          <w:trHeight w:val="210"/>
        </w:trPr>
        <w:tc>
          <w:tcPr>
            <w:tcW w:w="4920" w:type="dxa"/>
            <w:vAlign w:val="bottom"/>
          </w:tcPr>
          <w:p>
            <w:pPr>
              <w:ind w:left="120"/>
              <w:spacing w:after="0"/>
              <w:rPr>
                <w:sz w:val="20"/>
                <w:szCs w:val="20"/>
                <w:color w:val="auto"/>
              </w:rPr>
            </w:pPr>
            <w:r>
              <w:rPr>
                <w:rFonts w:ascii="Arial" w:cs="Arial" w:eastAsia="Arial" w:hAnsi="Arial"/>
                <w:sz w:val="14"/>
                <w:szCs w:val="14"/>
                <w:color w:val="auto"/>
              </w:rPr>
              <w:t>State and local</w:t>
            </w:r>
          </w:p>
        </w:tc>
        <w:tc>
          <w:tcPr>
            <w:tcW w:w="9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(639)</w:t>
            </w:r>
          </w:p>
        </w:tc>
      </w:tr>
      <w:tr>
        <w:trPr>
          <w:trHeight w:val="216"/>
        </w:trPr>
        <w:tc>
          <w:tcPr>
            <w:tcW w:w="4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4920" w:type="dxa"/>
            <w:vAlign w:val="bottom"/>
          </w:tcPr>
          <w:p>
            <w:pPr>
              <w:ind w:left="20"/>
              <w:spacing w:after="0"/>
              <w:rPr>
                <w:sz w:val="20"/>
                <w:szCs w:val="20"/>
                <w:color w:val="auto"/>
              </w:rPr>
            </w:pPr>
            <w:r>
              <w:rPr>
                <w:rFonts w:ascii="Arial" w:cs="Arial" w:eastAsia="Arial" w:hAnsi="Arial"/>
                <w:sz w:val="14"/>
                <w:szCs w:val="14"/>
                <w:color w:val="auto"/>
              </w:rPr>
              <w:t>Total deferred provision</w:t>
            </w:r>
          </w:p>
        </w:tc>
        <w:tc>
          <w:tcPr>
            <w:tcW w:w="92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(4,116)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(4,489)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(2,399)</w:t>
            </w:r>
          </w:p>
        </w:tc>
      </w:tr>
      <w:tr>
        <w:trPr>
          <w:trHeight w:val="22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(Benefit from) provision for income taxes: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492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92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(3,750)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(3,848)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(2,061)</w:t>
            </w:r>
          </w:p>
        </w:tc>
      </w:tr>
      <w:tr>
        <w:trPr>
          <w:trHeight w:val="216"/>
        </w:trPr>
        <w:tc>
          <w:tcPr>
            <w:tcW w:w="4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r>
      <w:tr>
        <w:trPr>
          <w:trHeight w:val="21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(3,750)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(2,299)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(3,848)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(1,846)</w:t>
            </w: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six months ended June 30, 2020,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2016. We do not believe that it is reasonably possible that the total amount of unrecognized tax benefits will significantly change within 12 months of the reporting date of June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4,756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9,522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7,175</w:t>
            </w:r>
          </w:p>
        </w:tc>
      </w:tr>
      <w:tr>
        <w:trPr>
          <w:trHeight w:val="210"/>
        </w:trPr>
        <w:tc>
          <w:tcPr>
            <w:tcW w:w="494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9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2,373</w:t>
            </w:r>
          </w:p>
        </w:tc>
      </w:tr>
      <w:tr>
        <w:trPr>
          <w:trHeight w:val="215"/>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4,756</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5,710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9,522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9,548</w:t>
            </w:r>
          </w:p>
        </w:tc>
      </w:tr>
      <w:tr>
        <w:trPr>
          <w:trHeight w:val="20"/>
        </w:trPr>
        <w:tc>
          <w:tcPr>
            <w:tcW w:w="4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16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52" w:lineRule="exact"/>
        <w:rPr>
          <w:sz w:val="20"/>
          <w:szCs w:val="20"/>
          <w:color w:val="auto"/>
        </w:rPr>
      </w:pPr>
    </w:p>
    <w:p>
      <w:pPr>
        <w:jc w:val="right"/>
        <w:ind w:right="5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26035</wp:posOffset>
            </wp:positionV>
            <wp:extent cx="1962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49" w:lineRule="exact"/>
        <w:rPr>
          <w:sz w:val="20"/>
          <w:szCs w:val="20"/>
          <w:color w:val="auto"/>
        </w:rPr>
      </w:pPr>
    </w:p>
    <w:p>
      <w:pPr>
        <w:jc w:val="both"/>
        <w:ind w:left="5520"/>
        <w:spacing w:after="0"/>
        <w:tabs>
          <w:tab w:leader="none" w:pos="70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Classification in the Consolidated Statements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26035</wp:posOffset>
            </wp:positionV>
            <wp:extent cx="1971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 xml:space="preserve">2019 </w:t>
      </w:r>
      <w:r>
        <w:rPr>
          <w:rFonts w:ascii="Arial" w:cs="Arial" w:eastAsia="Arial" w:hAnsi="Arial"/>
          <w:sz w:val="16"/>
          <w:szCs w:val="16"/>
          <w:b w:val="1"/>
          <w:bCs w:val="1"/>
          <w:color w:val="auto"/>
          <w:vertAlign w:val="superscript"/>
        </w:rPr>
        <w:t>(1)</w:t>
      </w:r>
    </w:p>
    <w:p>
      <w:pPr>
        <w:spacing w:after="0" w:line="248" w:lineRule="exact"/>
        <w:rPr>
          <w:sz w:val="20"/>
          <w:szCs w:val="20"/>
          <w:color w:val="auto"/>
        </w:rPr>
      </w:pPr>
    </w:p>
    <w:p>
      <w:pPr>
        <w:sectPr>
          <w:pgSz w:w="11900" w:h="16838" w:orient="portrait"/>
          <w:cols w:equalWidth="0" w:num="2">
            <w:col w:w="8000" w:space="720"/>
            <w:col w:w="252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94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2,128</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3,019</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4,390</w:t>
            </w:r>
          </w:p>
        </w:tc>
        <w:tc>
          <w:tcPr>
            <w:tcW w:w="10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5,562</w:t>
            </w: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and transaction expenses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1,047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3,770</w:t>
            </w:r>
          </w:p>
        </w:tc>
      </w:tr>
      <w:tr>
        <w:trPr>
          <w:trHeight w:val="216"/>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2,651</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5,328</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5,437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9,332</w:t>
            </w:r>
          </w:p>
        </w:tc>
      </w:tr>
      <w:tr>
        <w:trPr>
          <w:trHeight w:val="20"/>
        </w:trPr>
        <w:tc>
          <w:tcPr>
            <w:tcW w:w="4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0" w:lineRule="auto"/>
        <w:tabs>
          <w:tab w:leader="none" w:pos="17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Due to the Aviation Restructuring (as defined in Note 17), during the three and six months ended June 30, 2019, $1,716 and $3,229, respectively, was restated from the Corporate and Other segment to the Aviation Leasing segment, of which $746 and $1,294, respectively, was reclassified from General and administrative to Operating expenses and $970 and $1,935, respectively, remained in Acquisition and transaction expenses. See Note 17 for additional details.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540" w:type="dxa"/>
            <w:vAlign w:val="bottom"/>
            <w:shd w:val="clear" w:color="auto" w:fill="CCEEFF"/>
          </w:tcPr>
          <w:p>
            <w:pPr>
              <w:jc w:val="right"/>
              <w:ind w:right="13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1,410</w:t>
            </w:r>
          </w:p>
        </w:tc>
      </w:tr>
      <w:tr>
        <w:trPr>
          <w:trHeight w:val="277"/>
        </w:trPr>
        <w:tc>
          <w:tcPr>
            <w:tcW w:w="6980" w:type="dxa"/>
            <w:vAlign w:val="bottom"/>
          </w:tcPr>
          <w:p>
            <w:pPr>
              <w:ind w:left="20"/>
              <w:spacing w:after="0"/>
              <w:rPr>
                <w:sz w:val="20"/>
                <w:szCs w:val="20"/>
                <w:color w:val="auto"/>
              </w:rPr>
            </w:pPr>
            <w:r>
              <w:rPr>
                <w:rFonts w:ascii="Arial" w:cs="Arial" w:eastAsia="Arial" w:hAnsi="Arial"/>
                <w:sz w:val="14"/>
                <w:szCs w:val="14"/>
                <w:color w:val="auto"/>
              </w:rPr>
              <w:t xml:space="preserve">Other payables </w:t>
            </w:r>
            <w:r>
              <w:rPr>
                <w:rFonts w:ascii="Arial" w:cs="Arial" w:eastAsia="Arial" w:hAnsi="Arial"/>
                <w:sz w:val="18"/>
                <w:szCs w:val="18"/>
                <w:color w:val="auto"/>
                <w:vertAlign w:val="superscript"/>
              </w:rPr>
              <w:t>(1)</w:t>
            </w:r>
          </w:p>
        </w:tc>
        <w:tc>
          <w:tcPr>
            <w:tcW w:w="1540" w:type="dxa"/>
            <w:vAlign w:val="bottom"/>
          </w:tcPr>
          <w:p>
            <w:pPr>
              <w:spacing w:after="0"/>
              <w:rPr>
                <w:sz w:val="24"/>
                <w:szCs w:val="2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rPr>
              <w:t>866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21,992</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$21.2 million related to incentive fees, as of December 31, 2019, which we paid during the six months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and December 31, 2019,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2020 and December 31, 2019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June 30, 2020 and December 31, 2019 was $25.0 million and $33.7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209"/>
        </w:trPr>
        <w:tc>
          <w:tcPr>
            <w:tcW w:w="49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8,681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7,855</w:t>
            </w:r>
          </w:p>
        </w:tc>
      </w:tr>
    </w:tbl>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 million, which are amortized as interest expense to the earlier of the redemption date or February 13, 2020.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amendment to the Jefferson Revolver,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the Fee and Support Agreement was terminated in connection with the Jefferson Refinancing.</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18 for details related to conversions during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three reportable segments which operate in the Equipment Leasing and Infrastructure businesses across several market sectors. Our reportable segments are (i) Aviation Leasing, (ii) Jefferson Terminal and (iii) Ports and Terminals.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and multiple industrial development opportunities, and an equity method investment in Long Ridge, which is a 1,660-acre multi-modal port located along the Ohio River with rail, dock, and multiple industrial development opportunities, including a power plant under construction.</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We determined that our retained investment of the railroad business no longer met the requirement as a reportable segment. Accordingly, we have presented this operating segment, along with Corporate results, within Corporate and Other effective in 2019. All prior periods have been restated for historical comparison across segments.</w:t>
      </w:r>
    </w:p>
    <w:p>
      <w:pPr>
        <w:spacing w:after="0" w:line="3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 of vessels and equipment that support offshore oil and gas drilling and production which are typically subject to long-term operating leases, (ii) an investment in an unconsolidated entity engaged in the acquisition and leasing of shipping containers and (iii) railroad assets retained after the December 2019 sale, which consist of equipment that support a railcar cleaning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Organizational Restructuring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recently completed an organizational restructuring of the Aviation Leasing segment. Previously, Aviation Leasing’s employees were employed by the Manager and compensation and related costs associated with these employees were reimbursed to the Manager, per the Management Agreement (see Note 16). These costs were reported within Corporate and Other.</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in the first quarter of 2020, Aviation Leasing’s employees are employed by one of our subsidiaries. Compensation and related costs incurred by this subsidiary will be reported within the Aviation Leasing segment. Prior periods have been restated for historical comparison.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adjustments for the three months ended June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Previously Reported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780" w:type="dxa"/>
            <w:vAlign w:val="bottom"/>
            <w:tcBorders>
              <w:bottom w:val="single" w:sz="8" w:color="auto"/>
            </w:tcBorders>
          </w:tcPr>
          <w:p>
            <w:pPr>
              <w:spacing w:after="0"/>
              <w:rPr>
                <w:sz w:val="17"/>
                <w:szCs w:val="17"/>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Aviation</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Corporate and</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Aviation</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Aviation</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Corporate and</w:t>
            </w:r>
          </w:p>
        </w:tc>
      </w:tr>
      <w:tr>
        <w:trPr>
          <w:trHeight w:val="196"/>
        </w:trPr>
        <w:tc>
          <w:tcPr>
            <w:tcW w:w="3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3,467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3,166</w:t>
            </w:r>
          </w:p>
        </w:tc>
      </w:tr>
      <w:tr>
        <w:trPr>
          <w:trHeight w:val="210"/>
        </w:trPr>
        <w:tc>
          <w:tcPr>
            <w:tcW w:w="38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4,297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3,551</w:t>
            </w:r>
          </w:p>
        </w:tc>
      </w:tr>
      <w:tr>
        <w:trPr>
          <w:trHeight w:val="22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1,338</w:t>
            </w: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adjustments for the six months ended June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Previously Reported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780" w:type="dxa"/>
            <w:vAlign w:val="bottom"/>
            <w:tcBorders>
              <w:bottom w:val="single" w:sz="8" w:color="auto"/>
            </w:tcBorders>
          </w:tcPr>
          <w:p>
            <w:pPr>
              <w:spacing w:after="0"/>
              <w:rPr>
                <w:sz w:val="17"/>
                <w:szCs w:val="17"/>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Aviation</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Corporate and</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Aviation</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Aviation</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Corporate and</w:t>
            </w:r>
          </w:p>
        </w:tc>
      </w:tr>
      <w:tr>
        <w:trPr>
          <w:trHeight w:val="196"/>
        </w:trPr>
        <w:tc>
          <w:tcPr>
            <w:tcW w:w="3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8,799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6,707</w:t>
            </w:r>
          </w:p>
        </w:tc>
      </w:tr>
      <w:tr>
        <w:trPr>
          <w:trHeight w:val="210"/>
        </w:trPr>
        <w:tc>
          <w:tcPr>
            <w:tcW w:w="38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9,029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(1,294)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7,735</w:t>
            </w:r>
          </w:p>
        </w:tc>
      </w:tr>
      <w:tr>
        <w:trPr>
          <w:trHeight w:val="22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1,834</w:t>
            </w:r>
          </w:p>
        </w:tc>
      </w:tr>
    </w:tbl>
    <w:p>
      <w:pPr>
        <w:spacing w:after="0" w:line="200" w:lineRule="exact"/>
        <w:rPr>
          <w:sz w:val="20"/>
          <w:szCs w:val="20"/>
          <w:color w:val="auto"/>
        </w:rPr>
      </w:pP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June 30,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Months Ended June 30, 2020</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75,259</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4,575</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79,834</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13,081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14,475</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75,259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13,081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5,969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94,309</w:t>
            </w:r>
          </w:p>
        </w:tc>
        <w:tc>
          <w:tcPr>
            <w:tcW w:w="0" w:type="dxa"/>
            <w:vAlign w:val="bottom"/>
          </w:tcPr>
          <w:p>
            <w:pPr>
              <w:spacing w:after="0"/>
              <w:rPr>
                <w:sz w:val="1"/>
                <w:szCs w:val="1"/>
                <w:color w:val="auto"/>
              </w:rPr>
            </w:pPr>
          </w:p>
        </w:tc>
      </w:tr>
      <w:tr>
        <w:trPr>
          <w:trHeight w:val="256"/>
        </w:trPr>
        <w:tc>
          <w:tcPr>
            <w:tcW w:w="33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24,572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4,388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4,388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3,661</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6"/>
                <w:szCs w:val="16"/>
                <w:color w:val="auto"/>
              </w:rPr>
            </w:pPr>
          </w:p>
        </w:tc>
        <w:tc>
          <w:tcPr>
            <w:tcW w:w="1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4,756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4,756</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32,203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41,720</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21,794</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49,317</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21,760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2,626</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37,664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111,367</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(3,209)</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775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768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(2,420)</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26,140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(8,687)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(5,208)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(31,723)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(19,478)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(3,427)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(3,750)</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29,567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(31,923)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(15,728)</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from continuing operations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 interests in</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(4,112)</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Dividends on preferred shares</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4,079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4,079</w:t>
            </w:r>
          </w:p>
        </w:tc>
        <w:tc>
          <w:tcPr>
            <w:tcW w:w="0" w:type="dxa"/>
            <w:vAlign w:val="bottom"/>
          </w:tcPr>
          <w:p>
            <w:pPr>
              <w:spacing w:after="0"/>
              <w:rPr>
                <w:sz w:val="1"/>
                <w:szCs w:val="1"/>
                <w:color w:val="auto"/>
              </w:rPr>
            </w:pPr>
          </w:p>
        </w:tc>
      </w:tr>
      <w:tr>
        <w:trPr>
          <w:trHeight w:val="16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29,567</w:t>
            </w: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(4,741)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(36,002)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(15,695)</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Months Ended June 30, 2020</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77,501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2,968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66,472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2,101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(3,209)</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(21,794)</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(48,341)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(10,476)</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(3,661)</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3,750</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(15,695)</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57"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Months Ended June 30, 2020</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Equipment Leasing</w:t>
            </w:r>
          </w:p>
        </w:tc>
        <w:tc>
          <w:tcPr>
            <w:tcW w:w="440" w:type="dxa"/>
            <w:vAlign w:val="bottom"/>
          </w:tcPr>
          <w:p>
            <w:pPr>
              <w:spacing w:after="0"/>
              <w:rPr>
                <w:sz w:val="18"/>
                <w:szCs w:val="18"/>
                <w:color w:val="auto"/>
              </w:rPr>
            </w:pPr>
          </w:p>
        </w:tc>
        <w:tc>
          <w:tcPr>
            <w:tcW w:w="214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Infrastructure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3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Ports and</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Terminals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1,319</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1,319</w:t>
            </w: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31,732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36,307</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31,287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31,287</w:t>
            </w: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13,081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24,406</w:t>
            </w: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990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990</w:t>
            </w:r>
          </w:p>
        </w:tc>
      </w:tr>
      <w:tr>
        <w:trPr>
          <w:trHeight w:val="23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75,259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13,081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94,309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Six Months Ended June 30,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2020</w:t>
            </w: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158,251</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8,032</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166,283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37,822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40,866</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158,251</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37,822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10,762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207,149</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34,233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58,016</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9,051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9,051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6,855</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6"/>
                <w:szCs w:val="16"/>
                <w:color w:val="auto"/>
              </w:rPr>
            </w:pPr>
          </w:p>
        </w:tc>
        <w:tc>
          <w:tcPr>
            <w:tcW w:w="1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9,522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9,522</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64,834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83,917</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44,655</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88,743</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54,357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6,177</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73,215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222,492</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(2,944)</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b w:val="1"/>
                <w:bCs w:val="1"/>
                <w:color w:val="auto"/>
              </w:rPr>
              <w:t>(1,044)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(1,051)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(4,724)</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(2,200)</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(4,677)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(1,676)</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(8,624)</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67,308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(21,212)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(62,524)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(23,967)</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(3,382)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(3,848)</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70,690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(62,727)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(20,119)</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4"/>
                <w:szCs w:val="14"/>
                <w:color w:val="auto"/>
              </w:rPr>
            </w:pPr>
          </w:p>
        </w:tc>
        <w:tc>
          <w:tcPr>
            <w:tcW w:w="1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(8,681)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(8,848)</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8,618</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70,690</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(12,740)</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(6,494)</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(71,345)</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(19,889)</w:t>
            </w: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 2020</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160,891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7,537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(27,760)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138,467</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5,451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(2,944)</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(44,655)</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(97,405)</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(10,476)</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(4,724)</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(6,855)</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(702)</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3,848</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(19,889)</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57"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60" w:type="dxa"/>
            <w:vAlign w:val="bottom"/>
            <w:gridSpan w:val="11"/>
            <w:vMerge w:val="restart"/>
          </w:tcPr>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8460" w:type="dxa"/>
            <w:vAlign w:val="bottom"/>
            <w:gridSpan w:val="11"/>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 2020</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8,473</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8,473</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58,277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66,309</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70,859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70,859</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18,069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58,935</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2,573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2,573</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158,251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207,149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7" w:name="page38"/>
    <w:bookmarkEnd w:id="37"/>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2019</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74,981</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4,219</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79,200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70,648</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74,981</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67,562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2,266</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5,039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149,848</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85,783</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5"/>
                <w:szCs w:val="15"/>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5,710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5,710</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42,052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4,524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20,522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25,394</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37,704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84,436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35,993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164,798</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22,622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4,937</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22,396</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5,060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27,630</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59,673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12,680</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(2,328)</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62,042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(30,970)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15,008</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5"/>
                <w:szCs w:val="15"/>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6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62,042</w:t>
            </w: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683</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(30,970)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19,588</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8" w:name="page39"/>
    <w:bookmarkEnd w:id="38"/>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Months Ended June 30, 2019</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102,864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(2,563)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92,696</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(25,394)</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(51,006)</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2,328</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Net income attributable to shareholders from</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19,588</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57"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Months Ended June 30, 2019</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2,208</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2,208</w:t>
            </w: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29,629</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35,413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35,413</w:t>
            </w: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80,252</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2,346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2,346</w:t>
            </w: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74,981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149,848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9" w:name="page40"/>
    <w:bookmarkEnd w:id="39"/>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Six Months Ended June 30,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145,392</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6,260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151,652</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103,516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113,090</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145,392</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103,516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7,980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7,854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264,742</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140,093</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7,735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7,735</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5"/>
                <w:szCs w:val="15"/>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9,548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9,548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80,915</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37,036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46,128</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75,313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132,757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13,856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66,275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288,201</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24,340</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23,939</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2,711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26,452</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94,018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96,207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(58,395)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5,054</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5"/>
                <w:szCs w:val="15"/>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(7,854)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16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96,207</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(21,739)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(58,395)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12,994</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0" w:name="page41"/>
    <w:bookmarkEnd w:id="40"/>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 2019</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176,526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157,451</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(46,128)</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(98,203)</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4"/>
                <w:szCs w:val="14"/>
                <w:color w:val="auto"/>
              </w:rPr>
              <w:t>Net income attributable to shareholders from</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12,994</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57"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60" w:type="dxa"/>
            <w:vAlign w:val="bottom"/>
            <w:gridSpan w:val="11"/>
            <w:vMerge w:val="restart"/>
          </w:tcPr>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8460" w:type="dxa"/>
            <w:vAlign w:val="bottom"/>
            <w:gridSpan w:val="11"/>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 2019</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5,685</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47,524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53,784</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67,298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67,298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133,520</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4,455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145,392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103,516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264,742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1" w:name="page42"/>
    <w:bookmarkEnd w:id="4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1,758,972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890,770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414,490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223,262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3,287,494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252,754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1,324,550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1,602,304</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271,548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363,894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49,749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1,350,812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2,036,003</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6"/>
                <w:szCs w:val="16"/>
                <w:color w:val="auto"/>
              </w:rPr>
            </w:pPr>
          </w:p>
        </w:tc>
        <w:tc>
          <w:tcPr>
            <w:tcW w:w="1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27,419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28,792</w:t>
            </w: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1,487,424</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526,876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364,741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(1,127,550)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1,251,491</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1,758,972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890,770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414,490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223,262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3,287,494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37,049</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37,049</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392,135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438,104</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849,642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849,642</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300,524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612,115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254,757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120,775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1,288,171</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5,962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5,962</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1,585,312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612,115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254,757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166,744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2,618,928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3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3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1,694,837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781,422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366,402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394,261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3,236,922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233,077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1,162,851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1,420,928</w:t>
            </w:r>
          </w:p>
        </w:tc>
      </w:tr>
      <w:tr>
        <w:trPr>
          <w:trHeight w:val="270"/>
        </w:trPr>
        <w:tc>
          <w:tcPr>
            <w:tcW w:w="33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285,099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324,509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63,930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1,224,527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1,898,065</w:t>
            </w:r>
          </w:p>
        </w:tc>
      </w:tr>
      <w:tr>
        <w:trPr>
          <w:trHeight w:val="256"/>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9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35,671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36,980</w:t>
            </w:r>
          </w:p>
        </w:tc>
      </w:tr>
      <w:tr>
        <w:trPr>
          <w:trHeight w:val="257"/>
        </w:trPr>
        <w:tc>
          <w:tcPr>
            <w:tcW w:w="3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1,409,738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456,913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302,472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(830,266)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1,338,857</w:t>
            </w:r>
          </w:p>
        </w:tc>
      </w:tr>
      <w:tr>
        <w:trPr>
          <w:trHeight w:val="243"/>
        </w:trPr>
        <w:tc>
          <w:tcPr>
            <w:tcW w:w="3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1,694,837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781,422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366,402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3,236,922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70"/>
        </w:trPr>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9"/>
        </w:trPr>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43,348</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43,348</w:t>
            </w: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487,913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525,461</w:t>
            </w: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647,029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647,029</w:t>
            </w: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311,185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560,059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1,194,630</w:t>
            </w:r>
          </w:p>
        </w:tc>
      </w:tr>
      <w:tr>
        <w:trPr>
          <w:trHeight w:val="21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28,700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28,700</w:t>
            </w: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1,518,175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560,059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200,319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160,615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2,439,168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3" w:name="page44"/>
    <w:bookmarkEnd w:id="4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7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income from continuing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5,054</w:t>
            </w:r>
          </w:p>
        </w:tc>
      </w:tr>
      <w:tr>
        <w:trPr>
          <w:trHeight w:val="210"/>
        </w:trPr>
        <w:tc>
          <w:tcPr>
            <w:tcW w:w="4960" w:type="dxa"/>
            <w:vAlign w:val="bottom"/>
          </w:tcPr>
          <w:p>
            <w:pPr>
              <w:ind w:left="120"/>
              <w:spacing w:after="0"/>
              <w:rPr>
                <w:sz w:val="20"/>
                <w:szCs w:val="20"/>
                <w:color w:val="auto"/>
              </w:rPr>
            </w:pPr>
            <w:r>
              <w:rPr>
                <w:rFonts w:ascii="Arial" w:cs="Arial" w:eastAsia="Arial" w:hAnsi="Arial"/>
                <w:sz w:val="14"/>
                <w:szCs w:val="14"/>
                <w:color w:val="auto"/>
              </w:rPr>
              <w:t>Net income from discontinued operations, net of income taxes</w:t>
            </w: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943</w:t>
            </w:r>
          </w:p>
        </w:tc>
      </w:tr>
      <w:tr>
        <w:trPr>
          <w:trHeight w:val="21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(15,728)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15,793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(18,788)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5,997</w:t>
            </w:r>
          </w:p>
        </w:tc>
      </w:tr>
      <w:tr>
        <w:trPr>
          <w:trHeight w:val="174"/>
        </w:trPr>
        <w:tc>
          <w:tcPr>
            <w:tcW w:w="496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interests in</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49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2"/>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r>
      <w:tr>
        <w:trPr>
          <w:trHeight w:val="210"/>
        </w:trPr>
        <w:tc>
          <w:tcPr>
            <w:tcW w:w="496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4960" w:type="dxa"/>
            <w:vAlign w:val="bottom"/>
          </w:tcPr>
          <w:p>
            <w:pPr>
              <w:ind w:left="20"/>
              <w:spacing w:after="0"/>
              <w:rPr>
                <w:sz w:val="20"/>
                <w:szCs w:val="20"/>
                <w:color w:val="auto"/>
              </w:rPr>
            </w:pPr>
            <w:r>
              <w:rPr>
                <w:rFonts w:ascii="Arial" w:cs="Arial" w:eastAsia="Arial" w:hAnsi="Arial"/>
                <w:sz w:val="14"/>
                <w:szCs w:val="14"/>
                <w:color w:val="auto"/>
              </w:rPr>
              <w:t>Net (loss) income attributable to shareholders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(15,695)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20,332</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(18,558)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13,952</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86,009,959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85,987,769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86,009,029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85,987,115</w:t>
            </w:r>
          </w:p>
        </w:tc>
      </w:tr>
      <w:tr>
        <w:trPr>
          <w:trHeight w:val="216"/>
        </w:trPr>
        <w:tc>
          <w:tcPr>
            <w:tcW w:w="4960" w:type="dxa"/>
            <w:vAlign w:val="bottom"/>
          </w:tcPr>
          <w:p>
            <w:pPr>
              <w:ind w:left="20"/>
              <w:spacing w:after="0"/>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32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86,009,959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85,989,029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86,009,029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85,987,115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496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(0.23)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0.15</w:t>
            </w:r>
          </w:p>
        </w:tc>
      </w:tr>
      <w:tr>
        <w:trPr>
          <w:trHeight w:val="222"/>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0.15</w:t>
            </w:r>
          </w:p>
        </w:tc>
      </w:tr>
      <w:tr>
        <w:trPr>
          <w:trHeight w:val="204"/>
        </w:trPr>
        <w:tc>
          <w:tcPr>
            <w:tcW w:w="496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0.01</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three and six months ended June 30, 2020 and 2019 includes participating securities which can be converted into a fixed amount of our shares.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the three months ended June 30, 2020 and 2019, 1,219,065 and 119,009 shares, respectively, and for the six months ended June 30, 2020 and 2019, 499,053 and 127,923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we issued 18,337 common shares to certain directors as compensation.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2020, certain holders of Class B Units (see Note 16) converted 911,448 Class B Units in exchange for 675,015 common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acquisition, whereby the non-controlling interest holder may receive additional payments contingent upon the achievement of certain conditions, not to exceed $15.0 million. We will account for such amounts when and if such conditions are achieved.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SUBSEQUENT EVENTS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July 30, 2020, our Board of Directors declared a cash dividend on our common shares and eligible participating securities of $0.33 per share for the quarter ended June 30, 2020, payable on August 31, 2020 to the holders of record on August 17, 2020.</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on July 30, 2020, our Board of Directors also declared a cash dividend on the Series A Preferred Shares and Series B Preferred Shares of $0.52 per share and $0.50 per share, respectively, payable on September 15, 2020 to the holders of record on September 1,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At the Market Program</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30, 2020, we entered into an At Market Issuance Sales Agreement with a third party to sell shares of our Series A Preferred Shares and Series B Preferred Shares (collectively, the “ATM Shares”), having an aggregate offering price of up to $100 million, from time to time, through an “at-the market” equity offering program (the “ATM Program”).</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July 2020, we sold 125,000 ATM Shares at an average price of $19.60 per share for net proceeds of $2.4 million. In connection with the shares sold under the ATM program, we granted options to the Manager relating to 17,265 shares of our common stock, the fair value of which was not material as of the grant date.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Senior Notes due 2027</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July 28, 2020, we issued $400 million aggregate principal amount of senior unsecured notes due 2027 (the “2027 Notes”). The 2027 Notes bear interest at a rate of 9.75% per annum, payable semi-annually in arrears on February 1 and August 1 of each year, commencing on February 1, 2021.</w:t>
      </w:r>
    </w:p>
    <w:p>
      <w:pPr>
        <w:spacing w:after="0" w:line="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used a portion of the proceeds to repay $220 million of outstanding borrowings under the Revolving Credit Facility, and intend to use the remaining proceeds for general corporate purposes, which may include the repurchase or redemption of outstanding 2022 Notes and the funding of future acquisitions and investments, including aviation investments.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June 30, 2020, we had total consolidated assets of $3.3 billion and total equity of $1.3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While the outbreak did not have a material impact on operating results on our Aviation Leasing business in the first half of 2020, and we have not yet seen a meaningful decline in the timing of lease payments, a number of our lessees are experiencing increased financial stress due to the significant decline in travel demand. A number of these lessees have been placed on non-accrual status as of June 30, 2020. However, we believe our overall portfolio exposure is limited by maintenance reserves and security deposits which are secured against lessee defaults. The value of these deposits was $224.1 million as of June 30, 2020. The extent of the impact of the COVID-19 pandemic on our operational and financial performance will depend on future developments, including the duration and spread of the pandemic and related restrictions put in place by the U.S. and international governments, all of which are uncertain and cannot be predicted. For additional detail, see Liquidity and Capital Resources and Item IA. Risk Factors—The current outbreak of the novel coronavirus (COVID-19) has severely disrupted the global economy and may have, and the emergence of other epidemic or pandemic crises could have, material adverse effects on our business, results of operations or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three reportable segments: (i) Aviation Leasing, which is within the Equipment Leasing Business, and (ii) Jefferson Terminal and (iii)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Ports and Terminals segment consists of Repauno, acquired in 2016, a 1,630-acre deep-water port located along the Delaware River with an underground storage cavern and multiple industrial development opportunities. Additionally, Ports and Terminals includes an equity method investment (“Long Ridge”), which is a 1,660-acre multi-modal port located along the Ohio River with rail, dock, and multiple industrial development opportunities, including a power plant under construction.</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We determined that our retained investment of the railroad business no longer met the requirement as a reportable segment. Accordingly, we have presented this operating segment, along with Corporate results, within Corporate and Other effective in 2019. All prior periods have been restated for historical comparison across segments.</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long-term operating leases, (ii) an investment in 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6" w:name="page47"/>
    <w:bookmarkEnd w:id="46"/>
    <w:p>
      <w:pPr>
        <w:jc w:val="both"/>
        <w:spacing w:after="0" w:line="260" w:lineRule="auto"/>
        <w:rPr>
          <w:sz w:val="20"/>
          <w:szCs w:val="20"/>
          <w:color w:val="auto"/>
        </w:rPr>
      </w:pPr>
      <w:r>
        <w:rPr>
          <w:rFonts w:ascii="Arial" w:cs="Arial" w:eastAsia="Arial" w:hAnsi="Arial"/>
          <w:sz w:val="16"/>
          <w:szCs w:val="16"/>
          <w:color w:val="auto"/>
        </w:rPr>
        <w:t>unconsolidated entity engaged in the leasing of shipping containers and (iii) railroad assets retained after the December 2019 sale, which consists of equipment that support a railcar cleaning business.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Organizational Restructuring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recently completed an organizational restructuring of the Aviation Leasing segment (“Aviation Restructuring”). Previously, Aviation Leasing’s employees were employed by the Manager and compensation and related costs associated with these employees were reimbursed to the Manager, per the Management Agreement. These costs were reported within Corporate and Other.</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Effective in the first quarter of 2020, Aviation Leasing’s employees are employed by one of our subsidiaries. Compensation and related costs incurred by this subsidiary will be reported within the Aviation Leasing segment. Prior periods have been restated for historical comparison. See Note 16 to the consolidated financial statements for additional details.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CODM utilizes Adjusted EBITDA as the key performance measure. This performance measure provides the CODM with the information necessary to assess operational performance, as well as make resource and allocation decisions.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Comparison of the three and six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20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44,634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(6,677)</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27,105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59,100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47,146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11,954</w:t>
            </w: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7,682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11,894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10,219</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79,834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79,200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166,283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151,652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14,631</w:t>
            </w: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12,794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8,565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29,205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13,955</w:t>
            </w: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Crude marketing revenues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(81,773)</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(3,064)</w:t>
            </w: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14,475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70,648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40,866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113,090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(72,224)</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94,309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149,848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207,149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264,742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(57,593)</w:t>
            </w:r>
          </w:p>
        </w:tc>
      </w:tr>
      <w:tr>
        <w:trPr>
          <w:trHeight w:val="243"/>
        </w:trPr>
        <w:tc>
          <w:tcPr>
            <w:tcW w:w="4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(82,077)</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4,388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9,051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1,316</w:t>
            </w: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3,661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4,756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9,522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83,917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3,002</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10,476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10,476</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21,794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25,394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44,655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111,367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164,798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222,492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288,201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(65,709)</w:t>
            </w:r>
          </w:p>
        </w:tc>
      </w:tr>
      <w:tr>
        <w:trPr>
          <w:trHeight w:val="242"/>
        </w:trPr>
        <w:tc>
          <w:tcPr>
            <w:tcW w:w="4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(2,391)</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768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(25,391)</w:t>
            </w: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(4,724)</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(2,302)</w:t>
            </w: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27,630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(35,076)</w:t>
            </w: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(19,478)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(26,960)</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(1,787)</w:t>
            </w:r>
          </w:p>
        </w:tc>
      </w:tr>
      <w:tr>
        <w:trPr>
          <w:trHeight w:val="215"/>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income from continued operations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(25,173)</w:t>
            </w:r>
          </w:p>
        </w:tc>
      </w:tr>
      <w:tr>
        <w:trPr>
          <w:trHeight w:val="210"/>
        </w:trPr>
        <w:tc>
          <w:tcPr>
            <w:tcW w:w="4380" w:type="dxa"/>
            <w:vAlign w:val="bottom"/>
          </w:tcPr>
          <w:p>
            <w:pPr>
              <w:ind w:left="120"/>
              <w:spacing w:after="0"/>
              <w:rPr>
                <w:sz w:val="20"/>
                <w:szCs w:val="20"/>
                <w:color w:val="auto"/>
              </w:rPr>
            </w:pPr>
            <w:r>
              <w:rPr>
                <w:rFonts w:ascii="Arial" w:cs="Arial" w:eastAsia="Arial" w:hAnsi="Arial"/>
                <w:sz w:val="14"/>
                <w:szCs w:val="14"/>
                <w:color w:val="auto"/>
              </w:rPr>
              <w:t>Net income from discontinued operations, net of income taxes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388</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(18,788)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r>
      <w:tr>
        <w:trPr>
          <w:trHeight w:val="174"/>
        </w:trPr>
        <w:tc>
          <w:tcPr>
            <w:tcW w:w="438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 in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438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2"/>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10"/>
        </w:trPr>
        <w:tc>
          <w:tcPr>
            <w:tcW w:w="438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4,079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8,618</w:t>
            </w:r>
          </w:p>
        </w:tc>
      </w:tr>
      <w:tr>
        <w:trPr>
          <w:trHeight w:val="215"/>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(15,695)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20,332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(36,027)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(18,558)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13,952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(32,510)</w:t>
            </w: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from continuing operations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 from continuing</w:t>
            </w: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19,588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(32,883)</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6,855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20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48,341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97,405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21,794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44,655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46,128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3,040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66,472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92,696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138,467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157,451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(18,984)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7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2020 and 2019: (i) depreciation and amortization expense of $41,720 and $42,052, (ii) lease intangible amortization of $931 and $2,202 and (iii) amortization for lease incentives of $5,690 and $6,752, respectively. Includes the following items for the six months ended June 30, 2020 and 2019: (i) depreciation and amortization expense of $83,917 and $80,915, (ii) lease intangible amortization of $2,063 and $4,664 and (iii) amortization for lease incentives of $11,425 and $12,624, respectively.</w:t>
      </w:r>
    </w:p>
    <w:p>
      <w:pPr>
        <w:spacing w:after="0" w:line="98" w:lineRule="exact"/>
        <w:rPr>
          <w:rFonts w:ascii="Arial" w:cs="Arial" w:eastAsia="Arial" w:hAnsi="Arial"/>
          <w:sz w:val="19"/>
          <w:szCs w:val="19"/>
          <w:color w:val="auto"/>
          <w:vertAlign w:val="superscript"/>
        </w:rPr>
      </w:pPr>
    </w:p>
    <w:p>
      <w:pPr>
        <w:jc w:val="both"/>
        <w:ind w:left="180" w:hanging="172"/>
        <w:spacing w:after="0" w:line="220"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2020 and 2019: (i) net loss of $(3,226) and $(276), (ii) interest expense of $446 and $34, (iii) depreciation and amortization expense of $1,446 and $266, (iv) acquisition and transaction expenses of $531 and $0 and (v) changes in fair value of non-hedge derivatives of $929 and $0, respectively. Includes the following items for the six months ended June 30, 2020 and 2019: (i) net loss of $(3,003) and $(696), (ii) interest expense of $481 and $70,</w:t>
      </w:r>
    </w:p>
    <w:p>
      <w:pPr>
        <w:spacing w:after="0" w:line="1" w:lineRule="exact"/>
        <w:rPr>
          <w:rFonts w:ascii="Arial" w:cs="Arial" w:eastAsia="Arial" w:hAnsi="Arial"/>
          <w:sz w:val="18"/>
          <w:szCs w:val="18"/>
          <w:color w:val="auto"/>
          <w:vertAlign w:val="superscript"/>
        </w:rPr>
      </w:pPr>
    </w:p>
    <w:p>
      <w:pPr>
        <w:ind w:left="180" w:right="20" w:hanging="10"/>
        <w:spacing w:after="0" w:line="258" w:lineRule="auto"/>
        <w:tabs>
          <w:tab w:leader="none" w:pos="438"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depreciation and amortization expense of $2,408 and $532, (iv) acquisition and transaction expenses of $612 and $0 and (v) changes in fair value of non-hedge derivatives of $(785) and $0, respectively.</w:t>
      </w:r>
    </w:p>
    <w:p>
      <w:pPr>
        <w:spacing w:after="0" w:line="40" w:lineRule="exact"/>
        <w:rPr>
          <w:rFonts w:ascii="Arial" w:cs="Arial" w:eastAsia="Arial" w:hAnsi="Arial"/>
          <w:sz w:val="14"/>
          <w:szCs w:val="14"/>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2020 and 2019: (i) equity-based compensation of $52 and $98, (ii) provision for income taxes of $15 and $8,</w:t>
      </w:r>
    </w:p>
    <w:p>
      <w:pPr>
        <w:jc w:val="both"/>
        <w:ind w:left="180" w:hanging="10"/>
        <w:spacing w:after="0" w:line="247" w:lineRule="auto"/>
        <w:tabs>
          <w:tab w:leader="none" w:pos="417" w:val="left"/>
        </w:tabs>
        <w:numPr>
          <w:ilvl w:val="1"/>
          <w:numId w:val="11"/>
        </w:numPr>
        <w:rPr>
          <w:rFonts w:ascii="Arial" w:cs="Arial" w:eastAsia="Arial" w:hAnsi="Arial"/>
          <w:sz w:val="14"/>
          <w:szCs w:val="14"/>
          <w:color w:val="auto"/>
        </w:rPr>
      </w:pPr>
      <w:r>
        <w:rPr>
          <w:rFonts w:ascii="Arial" w:cs="Arial" w:eastAsia="Arial" w:hAnsi="Arial"/>
          <w:sz w:val="14"/>
          <w:szCs w:val="14"/>
          <w:color w:val="auto"/>
        </w:rPr>
        <w:t>interest expense of $512 and $1,100, (iv) depreciation and amortization expense of $1,522 and $1,282 and (v) changes in fair value of non-hedge derivative instruments of $0 and $297, respectively. Includes the following items for the six months ended June 30, 2020 and 2019: (i) equity based compensation of $99 and $119, (ii) provision for income taxes of $43 and $26, (iii) interest expense of $1,231 and $1,945, (iv) depreciation and amortization expense of $3,048 and $2,372, (v) changes in fair value of non-hedge derivative instruments of $38 and $476 and (vi) loss on extinguishment of debt of $992 and $0,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$55.5 million primarily due to lower revenues in the Jefferson Terminal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Other revenue increased $6.6 million, which primarily reflects (i) an increase of $5.2 million in the Aviation Leasing segment due to an increase in end-of-lease redelivery compensation and (ii) an increase of $1.4 million in the offshore energy business primarily related to victualling income.</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Maintenance revenue increased $1.7 million primarily due to the recognition of maintenance deposits due to the early redelivery of six aircraft offset by lower aircraft and engine utilization as a result of the COVID-19 pandemic.</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Lease income decreased $7.3 million primarily due to a decrease in the number of engines on lease and an increase in the number of customers placed on non-accrual status offset by an increase in the number of aircraft on 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Crude marketing revenue decreased $59.2 million due to Jefferson Terminal exiting the crude marketing strategy in the fourth quarter of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16"/>
          <w:szCs w:val="16"/>
          <w:color w:val="auto"/>
        </w:rPr>
        <w:t>Terminal services revenue increased $4.2 million which primarily reflects (i) an increase of $5.3 million due to increased activity and storage capacity at Jefferson Terminal, partially offset by (ii) a decrease of $1.0 million at Long Ridge due to Long Ridge being accounted for as equity method investment starting in the fourth quarter of 2019 (“Long Ridge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2020 and 2019</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decreased $57.6 million primarily due to lower revenues in the Jefferson Terminal and Ports and Terminals segments, partially offset by higher revenues in the Aviation Leasing segment and Corporate and Other.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Maintenance revenue increased $12.0 million primarily due to the recognition of maintenance deposits due to the early redelivery of seven aircraft offset by lower aircraft and engine utilization as a result of the COVID-19 pandemic.</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increased $10.2 million, which primarily reflects (i) an increase of $8.4 million in the Aviation Leasing segment due to an increase in end-of-lease redelivery compensation and settlement of an engine loss and (ii) an increase of $1.9 million in the offshore energy business primarily related to victualling income.</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Lease income decreased $6.7 million primarily due to a decrease in the number of engines on lease and an increase in the number of customers placed on non-accrual status offset by an increase in the number of aircraft on 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Crude marketing revenue decreased $81.8 million due to Jefferson Terminal exiting the crude marketing strategy in the fourth quarter of 2019. Revenues in 2020 include contracts executed in 2019 but delivered in 2020.</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decreased $3.1 million, which reflects (i) a decrease of $3.1 million due to the Long Ridge Transaction, (ii) a decrease in butane sales of $1.1 million at Repauno, partially offset by (iii) an increase of $1.1 million due to higher volume in our railcar cleaning business.</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Terminal services revenue increased $14.0 million which primarily reflects (i) an increase of $16.8 million due to increased activity and storage capacity at Jefferson Terminal, partially offset by (ii) a decrease of $2.8 million due to the Long Ridge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$53.4 million, primarily due to (i) lower operating expenses, (ii) lower interest expense, partially offset by (iii) an asset impairment.</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Operating expenses decreased $61.2 million, primarily due to a decrease in cost of sales of $61.4 million primarily due to Jefferson Terminal exiting the crude marketing strategy in the fourth quarter of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$3.6 million, primarily due to:</w:t>
      </w:r>
    </w:p>
    <w:p>
      <w:pPr>
        <w:spacing w:after="0" w:line="11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of $2.2 million at Jefferson Terminal due to the Jefferson Refinancing; and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of $1.4 million in Corporate and Other primarily due to a decrease in interest expense related to the FTAI Pride Credit Agreement, which was repaid in full in March 2020.</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above decreases were partially offset by an asset impairment charge of $10.5 million in 2020 in the Aviation Leasing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2020 and 2019</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decreased $65.7 million, primarily due to lower (i) operating expenses and (ii) interest expense, partially offset by higher (iii) an asset impairment charge, (iv) depreciation and amortization and (v) acquisition and transaction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$82.1 million, primarily due to:</w:t>
      </w:r>
    </w:p>
    <w:p>
      <w:pPr>
        <w:spacing w:after="0" w:line="11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decrease in cost of sales of $81.9 million primarily due to Jefferson Terminal exiting the crude marketing strategy in the fourth quarter of 2019;</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decrease in bad debt of $1.2 million primarily in the Aviation Leasing segment, partially offset by</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compensation and benefits of $2.9 million primarily due to increased headcount in the Jefferson Terminal and Aviation Leasing segments.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$1.5 million, primarily due to:</w:t>
      </w:r>
    </w:p>
    <w:p>
      <w:pPr>
        <w:spacing w:after="0" w:line="11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decrease of $2.7 million at Jefferson Terminal due to the Jefferson Refinancing, partially offset by</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$1.1 million in Corporate and Other which reflects an increase in our average outstanding debt of approximately $64.0 million, which primarily consists of (i) an increase of $100.0 million for the 2025 Notes, (ii) an increase of $25.1 million for the 2022 Notes, (iii) a decrease of $26.7 million for the Revolving Credit Facility and (iv) a decrease of $34.4 million for the FTAI Pride Credit Agreement, which was repaid in March 2020.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above decreases were partially offset by an asset impairment charge of $10.5 million in 2020 in the Aviation Leasing segment.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Depreciation and amortization increased $3.0 million, which reflects (i) an increase of $3.7 million primarily due to assets placed into service at Jefferson Terminal, (ii) an increase of $1.6 million primarily due to additional assets acquired and placed into service in the Aviation Leasing segment, partially offset by (iii) a decrease of $2.8 million due to the Long Ridge Transaction.</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Acquisition and transaction expenses increased $3.1 million due to additional compensation and related costs associated with the acquisition of aviation leasing equipment.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expense increased $30.1 million during the three months ended June 30, 2020, which primarily reflects (i) a decrease of $21.9 million in gain on sale of assets, net as we had more asset sales in 2019 compared to 2020 and (ii) a decrease of $4.9 million in other income due to the Long Ridge Transaction.</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other expense increased $35.1 million during the six months ended June 30, 2020, which primarily reflects (i) a decrease of $25.4 million in gain on sale of assets, net as we had more asset sales in 2019 compared to 2020, (ii) a loss on extinguishment of debt of $4.7 million due to the Jefferson Refinancing, (iii) a decrease in other income of $2.3 million primarily due to the Long Ridge Transaction and (iv) an increase of $2.4 million in equity in losses of unconsolidated entities.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income from continuing operations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income from continuing operations decreased $30.7 million and $25.2 million during the three and six months ended June 30, 2020,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$26.2 million and $19.0 million during the three and six months ended June 30, 2020,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in our Aviation Leasing segment, we own and manage 272 aviation assets, consisting of 80 commercial aircraft and 192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June 30, 2020, 75 of our commercial aircraft and 88 of our engines were leased to operators or other third parties. Aviation assets currently off lease are either undergoing repair and/or maintenance, being prepared to go on lease or held in short term storage awaiting a future lease. Our aviation equipment was approximately 73% utilized during the three months ended June 30, 2020, based on the percent of days on-lease in the quarter weighted by the monthly average equity value of our aviation leasing equipment, excluding airframes. Our aircraft currently have a weighted average remaining lease term of 34 months, and our engines currently on-lease have an average remaining lease term of 20 months. The table below provides additional information on the assets in our Aviation Leasing segment: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gridSpan w:val="4"/>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20" w:type="dxa"/>
            <w:vAlign w:val="bottom"/>
            <w:shd w:val="clear" w:color="auto" w:fill="00497F"/>
          </w:tcPr>
          <w:p>
            <w:pPr>
              <w:ind w:left="72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164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52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2140" w:type="dxa"/>
            <w:vAlign w:val="bottom"/>
            <w:shd w:val="clear" w:color="auto" w:fill="00497F"/>
          </w:tcPr>
          <w:p>
            <w:pPr>
              <w:jc w:val="right"/>
              <w:ind w:right="828"/>
              <w:spacing w:after="0"/>
              <w:rPr>
                <w:sz w:val="20"/>
                <w:szCs w:val="20"/>
                <w:color w:val="auto"/>
              </w:rPr>
            </w:pPr>
            <w:r>
              <w:rPr>
                <w:rFonts w:ascii="Arial" w:cs="Arial" w:eastAsia="Arial" w:hAnsi="Arial"/>
                <w:sz w:val="14"/>
                <w:szCs w:val="14"/>
                <w:b w:val="1"/>
                <w:bCs w:val="1"/>
                <w:color w:val="FFFFFF"/>
              </w:rPr>
              <w:t>Total</w:t>
            </w:r>
          </w:p>
        </w:tc>
      </w:tr>
      <w:tr>
        <w:trPr>
          <w:trHeight w:val="176"/>
        </w:trPr>
        <w:tc>
          <w:tcPr>
            <w:tcW w:w="45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456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6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w:t>
            </w:r>
          </w:p>
        </w:tc>
      </w:tr>
      <w:tr>
        <w:trPr>
          <w:trHeight w:val="210"/>
        </w:trPr>
        <w:tc>
          <w:tcPr>
            <w:tcW w:w="20" w:type="dxa"/>
            <w:vAlign w:val="bottom"/>
          </w:tcPr>
          <w:p>
            <w:pPr>
              <w:spacing w:after="0"/>
              <w:rPr>
                <w:sz w:val="18"/>
                <w:szCs w:val="18"/>
                <w:color w:val="auto"/>
              </w:rPr>
            </w:pPr>
          </w:p>
        </w:tc>
        <w:tc>
          <w:tcPr>
            <w:tcW w:w="4540" w:type="dxa"/>
            <w:vAlign w:val="bottom"/>
            <w:gridSpan w:val="3"/>
          </w:tcPr>
          <w:p>
            <w:pPr>
              <w:ind w:left="180"/>
              <w:spacing w:after="0"/>
              <w:rPr>
                <w:sz w:val="20"/>
                <w:szCs w:val="20"/>
                <w:color w:val="auto"/>
              </w:rPr>
            </w:pPr>
            <w:r>
              <w:rPr>
                <w:rFonts w:ascii="Arial" w:cs="Arial" w:eastAsia="Arial" w:hAnsi="Arial"/>
                <w:sz w:val="14"/>
                <w:szCs w:val="14"/>
                <w:color w:val="auto"/>
              </w:rPr>
              <w:t>Purchases</w:t>
            </w:r>
          </w:p>
        </w:tc>
        <w:tc>
          <w:tcPr>
            <w:tcW w:w="162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2140" w:type="dxa"/>
            <w:vAlign w:val="bottom"/>
          </w:tcPr>
          <w:p>
            <w:pPr>
              <w:jc w:val="right"/>
              <w:ind w:right="68"/>
              <w:spacing w:after="0"/>
              <w:rPr>
                <w:sz w:val="20"/>
                <w:szCs w:val="20"/>
                <w:color w:val="auto"/>
              </w:rPr>
            </w:pPr>
            <w:r>
              <w:rPr>
                <w:rFonts w:ascii="Arial" w:cs="Arial" w:eastAsia="Arial" w:hAnsi="Arial"/>
                <w:sz w:val="14"/>
                <w:szCs w:val="14"/>
                <w:color w:val="auto"/>
              </w:rPr>
              <w:t>19</w:t>
            </w:r>
          </w:p>
        </w:tc>
      </w:tr>
      <w:tr>
        <w:trPr>
          <w:trHeight w:val="222"/>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16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jc w:val="right"/>
              <w:ind w:right="18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4540" w:type="dxa"/>
            <w:vAlign w:val="bottom"/>
            <w:gridSpan w:val="3"/>
          </w:tcPr>
          <w:p>
            <w:pPr>
              <w:ind w:left="180"/>
              <w:spacing w:after="0"/>
              <w:rPr>
                <w:sz w:val="20"/>
                <w:szCs w:val="20"/>
                <w:color w:val="auto"/>
              </w:rPr>
            </w:pPr>
            <w:r>
              <w:rPr>
                <w:rFonts w:ascii="Arial" w:cs="Arial" w:eastAsia="Arial" w:hAnsi="Arial"/>
                <w:sz w:val="14"/>
                <w:szCs w:val="14"/>
                <w:color w:val="auto"/>
              </w:rPr>
              <w:t>Transfers</w:t>
            </w:r>
          </w:p>
        </w:tc>
        <w:tc>
          <w:tcPr>
            <w:tcW w:w="1620" w:type="dxa"/>
            <w:vAlign w:val="bottom"/>
          </w:tcPr>
          <w:p>
            <w:pPr>
              <w:spacing w:after="0"/>
              <w:rPr>
                <w:sz w:val="18"/>
                <w:szCs w:val="18"/>
                <w:color w:val="auto"/>
              </w:rPr>
            </w:pPr>
          </w:p>
        </w:tc>
        <w:tc>
          <w:tcPr>
            <w:tcW w:w="2260" w:type="dxa"/>
            <w:vAlign w:val="bottom"/>
            <w:gridSpan w:val="3"/>
          </w:tcPr>
          <w:p>
            <w:pPr>
              <w:jc w:val="right"/>
              <w:ind w:right="18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214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09"/>
        </w:trPr>
        <w:tc>
          <w:tcPr>
            <w:tcW w:w="45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June 30, 2020</w:t>
            </w:r>
          </w:p>
        </w:tc>
        <w:tc>
          <w:tcPr>
            <w:tcW w:w="16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175"/>
        </w:trPr>
        <w:tc>
          <w:tcPr>
            <w:tcW w:w="456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5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62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8"/>
                <w:szCs w:val="18"/>
                <w:color w:val="auto"/>
              </w:rPr>
            </w:pPr>
          </w:p>
        </w:tc>
        <w:tc>
          <w:tcPr>
            <w:tcW w:w="2140" w:type="dxa"/>
            <w:vAlign w:val="bottom"/>
          </w:tcPr>
          <w:p>
            <w:pPr>
              <w:jc w:val="right"/>
              <w:ind w:right="68"/>
              <w:spacing w:after="0"/>
              <w:rPr>
                <w:sz w:val="20"/>
                <w:szCs w:val="20"/>
                <w:color w:val="auto"/>
              </w:rPr>
            </w:pPr>
            <w:r>
              <w:rPr>
                <w:rFonts w:ascii="Arial" w:cs="Arial" w:eastAsia="Arial" w:hAnsi="Arial"/>
                <w:sz w:val="14"/>
                <w:szCs w:val="14"/>
                <w:b w:val="1"/>
                <w:bCs w:val="1"/>
                <w:color w:val="auto"/>
              </w:rPr>
              <w:t>164</w:t>
            </w:r>
          </w:p>
        </w:tc>
      </w:tr>
      <w:tr>
        <w:trPr>
          <w:trHeight w:val="222"/>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r>
      <w:tr>
        <w:trPr>
          <w:trHeight w:val="210"/>
        </w:trPr>
        <w:tc>
          <w:tcPr>
            <w:tcW w:w="20" w:type="dxa"/>
            <w:vAlign w:val="bottom"/>
          </w:tcPr>
          <w:p>
            <w:pPr>
              <w:spacing w:after="0"/>
              <w:rPr>
                <w:sz w:val="18"/>
                <w:szCs w:val="18"/>
                <w:color w:val="auto"/>
              </w:rPr>
            </w:pPr>
          </w:p>
        </w:tc>
        <w:tc>
          <w:tcPr>
            <w:tcW w:w="4540" w:type="dxa"/>
            <w:vAlign w:val="bottom"/>
            <w:gridSpan w:val="3"/>
          </w:tcPr>
          <w:p>
            <w:pPr>
              <w:ind w:left="180"/>
              <w:spacing w:after="0"/>
              <w:rPr>
                <w:sz w:val="20"/>
                <w:szCs w:val="20"/>
                <w:color w:val="auto"/>
              </w:rPr>
            </w:pPr>
            <w:r>
              <w:rPr>
                <w:rFonts w:ascii="Arial" w:cs="Arial" w:eastAsia="Arial" w:hAnsi="Arial"/>
                <w:sz w:val="14"/>
                <w:szCs w:val="14"/>
                <w:color w:val="auto"/>
              </w:rPr>
              <w:t>Sales</w:t>
            </w:r>
          </w:p>
        </w:tc>
        <w:tc>
          <w:tcPr>
            <w:tcW w:w="162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1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16"/>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Transfers</w:t>
            </w:r>
          </w:p>
        </w:tc>
        <w:tc>
          <w:tcPr>
            <w:tcW w:w="162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1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r>
      <w:tr>
        <w:trPr>
          <w:trHeight w:val="210"/>
        </w:trPr>
        <w:tc>
          <w:tcPr>
            <w:tcW w:w="45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June 30, 2020</w:t>
            </w:r>
          </w:p>
        </w:tc>
        <w:tc>
          <w:tcPr>
            <w:tcW w:w="16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192</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42,505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(6,588)</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27,105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59,100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47,146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11,954</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5,236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8,358</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75,259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74,981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158,251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145,392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12,859</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4,577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32,203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33,267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64,834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63,272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49,317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37,704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11,613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88,743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75,313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13,430</w:t>
            </w: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(1,185)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(1,044)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(25,372)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22,396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(2,200)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(26,139)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26,140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59,673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(26,710)</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(3,382)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29,567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62,042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70,690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96,207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(25,517)</w:t>
            </w:r>
          </w:p>
        </w:tc>
        <w:tc>
          <w:tcPr>
            <w:tcW w:w="0" w:type="dxa"/>
            <w:vAlign w:val="bottom"/>
          </w:tcPr>
          <w:p>
            <w:pPr>
              <w:spacing w:after="0"/>
              <w:rPr>
                <w:sz w:val="1"/>
                <w:szCs w:val="1"/>
                <w:color w:val="auto"/>
              </w:rPr>
            </w:pPr>
          </w:p>
        </w:tc>
      </w:tr>
      <w:tr>
        <w:trPr>
          <w:trHeight w:val="174"/>
        </w:trPr>
        <w:tc>
          <w:tcPr>
            <w:tcW w:w="438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5"/>
                <w:szCs w:val="15"/>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8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96,207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29,567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62,042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(32,475)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70,690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96,207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(25,517)</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(3,382)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4,785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20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78,322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(1,185)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77,501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102,864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(25,363)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160,891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176,526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(15,635)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2020 and 2019: (i) depreciation expense of $32,203 and $33,267, (ii) lease intangible amortization of $931</w:t>
      </w:r>
    </w:p>
    <w:p>
      <w:pPr>
        <w:jc w:val="both"/>
        <w:ind w:left="180"/>
        <w:spacing w:after="0" w:line="249" w:lineRule="auto"/>
        <w:rPr>
          <w:rFonts w:ascii="Arial" w:cs="Arial" w:eastAsia="Arial" w:hAnsi="Arial"/>
          <w:sz w:val="16"/>
          <w:szCs w:val="16"/>
          <w:color w:val="auto"/>
          <w:vertAlign w:val="superscript"/>
        </w:rPr>
      </w:pPr>
      <w:r>
        <w:rPr>
          <w:rFonts w:ascii="Arial" w:cs="Arial" w:eastAsia="Arial" w:hAnsi="Arial"/>
          <w:sz w:val="14"/>
          <w:szCs w:val="14"/>
          <w:color w:val="auto"/>
        </w:rPr>
        <w:t>and $2,202 and (iii) amortization for lease incentives of $5,690 and $6,752, respectively. Includes the following items for the six months ended June 30, 2020 and 2019: (i) depreciation expense of $64,834 and $63,272, (ii) lease intangible amortization of $2,063 and $4,664 and (iii) amortization for lease incentives of $11,425 and $12,624, respectively.</w:t>
      </w:r>
    </w:p>
    <w:p>
      <w:pPr>
        <w:spacing w:after="0" w:line="92" w:lineRule="exact"/>
        <w:rPr>
          <w:rFonts w:ascii="Arial" w:cs="Arial" w:eastAsia="Arial" w:hAnsi="Arial"/>
          <w:sz w:val="16"/>
          <w:szCs w:val="16"/>
          <w:color w:val="auto"/>
          <w:vertAlign w:val="superscript"/>
        </w:rPr>
      </w:pPr>
    </w:p>
    <w:p>
      <w:pPr>
        <w:ind w:left="180" w:right="20" w:hanging="172"/>
        <w:spacing w:after="0" w:line="217" w:lineRule="auto"/>
        <w:tabs>
          <w:tab w:leader="none" w:pos="158"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$0.3 million driven by higher maintenance revenue and other revenue.</w:t>
      </w:r>
    </w:p>
    <w:p>
      <w:pPr>
        <w:spacing w:after="0" w:line="113" w:lineRule="exact"/>
        <w:rPr>
          <w:sz w:val="20"/>
          <w:szCs w:val="20"/>
          <w:color w:val="auto"/>
        </w:rPr>
      </w:pPr>
    </w:p>
    <w:p>
      <w:pPr>
        <w:ind w:left="660" w:right="2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revenue increased $1.7 million primarily due to the recognition of maintenance deposits due to the early redelivery of six aircraft offset by lower aircraft and engine utilization as a result of the COVID-19 pandemic.</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increased $5.2 million primarily due to the increase in end-of-lease redelivery compensation.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 income decreased $6.2 million primarily due to a decrease in the number of engines on lease and an increase in the number of customers placed on non-accrual status offset by an increase in the number of aircraft on 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$12.9 million driven by higher maintenance revenue and other revenue.</w:t>
      </w:r>
    </w:p>
    <w:p>
      <w:pPr>
        <w:spacing w:after="0" w:line="113" w:lineRule="exact"/>
        <w:rPr>
          <w:sz w:val="20"/>
          <w:szCs w:val="20"/>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revenue increased $12.0 million primarily due to the recognition of maintenance deposits due to the early redelivery of seven aircraft offset by lower aircraft and engine utilization as a result of the COVID-19 pandemic.</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revenue increased $8.4 million primarily due to the increase in end-of-lease redelivery compensation and settlement of an engine loss.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Lease income decreased $6.6 million primarily due to a decrease in the number of engines on lease and an increase in the number of customers placed on non-accrual status offset by an increase in the number of aircraft on 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2020 and 2019</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expenses increased $11.6 million primarily due to an increase in asset impairment, acquisition and transaction expenses and operating expenses partially offset by a decrease in depreciation and amortization expense.</w:t>
      </w:r>
    </w:p>
    <w:p>
      <w:pPr>
        <w:spacing w:after="0" w:line="87" w:lineRule="exact"/>
        <w:rPr>
          <w:sz w:val="20"/>
          <w:szCs w:val="20"/>
          <w:color w:val="auto"/>
        </w:rPr>
      </w:pPr>
    </w:p>
    <w:p>
      <w:pPr>
        <w:ind w:left="5540" w:right="40" w:hanging="5208"/>
        <w:spacing w:after="0" w:line="753" w:lineRule="auto"/>
        <w:tabs>
          <w:tab w:leader="none" w:pos="651"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impairment increased $10.5 million for the adjustment of the carrying value of leasing equipment to fair value, net of redelivery compensation.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 and transaction expense increased $1.1 million driven by additional compensation and related costs associated with the acquisition of aviation leasing equipment.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expenses increased $1.1 million primarily as a result of an increase in bad debt expense.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Depreciation and amortization expense decreased $1.1 million driven by a decrease in the number of engines on lease and an increase in the number of aircraft redelivered and parted out into our engine leasing pool, partially offset by additional aircraft owned and on 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2020 and 2019</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$13.4 million primarily due to an increase in asset impairment, depreciation and amortization expense and acquisition and transaction expenses partially offset by a decrease in operating expenses.</w:t>
      </w:r>
    </w:p>
    <w:p>
      <w:pPr>
        <w:spacing w:after="0" w:line="8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Asset impairment increased $10.5 million for the adjustment of the carrying value of leasing equipment to fair value, net of redelivery compensation.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Acquisition and transaction expense increased $2.8 million driven by additional compensation and related costs associated with the acquisition of aviation leasing equipment.</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Depreciation and amortization expense increased $1.6 million driven by additional aircraft owned and on lease, partially offset by a decrease in the number of engines on lease and additional aircraft redelivered and parted out into our engine leasing pool.</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decreased $1.4 million primarily as a result of a decrease in bad debt expense.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decreased $22.2 million during the three months ended June 30, 2020, primarily due to a decrease of $21.8 million in gain on the sale of leasing equipment in 2020, partially offset by an increase of $0.4 million in Aviation Leasing’s proportionate share of the unconsolidated entities’ net loss.</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income decreased $26.1 million during the six months ended June 30, 2020, primarily due to a decrease of $25.4 million in gain on the sale of leasing equipment in 2020, partially offset by an increase of $0.7 million in Aviation Leasing’s proportionate share of the unconsolidated entities’ net loss.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decreased $25.4 million and $15.6 million during the three and six months ended June 30, 2020,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287</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407</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16,801</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59,204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89,983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(81,773)</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13,081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67,562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37,822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(65,694)</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12,290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74,393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34,233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113,634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(79,401)</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2,310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5,738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21,760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84,436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54,357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132,757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(78,400)</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(4,724)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(4,449)</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(21,212)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8,257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(21,421)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(7,854)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(12,740)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8,999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(4,741)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(12,740)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8,999</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3,711</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2,310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5,738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8,448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54"/>
        </w:trPr>
        <w:tc>
          <w:tcPr>
            <w:tcW w:w="4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5,531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7,537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11,390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2020 and 2019: (i) net income of $0 and $19 and (ii) depreciation and amortization expense of $0 and $266,</w:t>
      </w:r>
    </w:p>
    <w:p>
      <w:pPr>
        <w:ind w:left="18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respectively. Includes the following items for the six months ended June 30, 2020 and 2019: (i) net loss of $0 and $(201) and (ii) depreciation and amortization expense of $0 and $532, respectively.</w:t>
      </w:r>
    </w:p>
    <w:p>
      <w:pPr>
        <w:spacing w:after="0" w:line="85" w:lineRule="exact"/>
        <w:rPr>
          <w:rFonts w:ascii="Arial" w:cs="Arial" w:eastAsia="Arial" w:hAnsi="Arial"/>
          <w:sz w:val="16"/>
          <w:szCs w:val="16"/>
          <w:color w:val="auto"/>
          <w:vertAlign w:val="superscript"/>
        </w:rPr>
      </w:pPr>
    </w:p>
    <w:p>
      <w:pPr>
        <w:jc w:val="both"/>
        <w:ind w:left="180" w:hanging="172"/>
        <w:spacing w:after="0" w:line="228" w:lineRule="auto"/>
        <w:tabs>
          <w:tab w:leader="none" w:pos="173"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2020 and 2019: (i) equity-based compensation of $45 and $96, (ii) provision for income taxes of $15 and $8, (iii) interest expense of $485 and $983, (iv) changes in fair value of non-hedge derivative instruments of $0 and $297 and (v) depreciation and amortization expense of $1,504 and $1,159, respectively. Includes the following items for the six months ended June 30, 2020 and 2019: (i) equity-based compensation of $90 and $115, (ii) provision for income taxes of $43 and $26, (iii) interest expense of $1,205 and $1,774, (iv) changes in fair value of non-hedge derivative instruments of $38 and $476, (v) depreciation and amortization expense of $3,022 and $2,242 and (vi) loss on extinguishment of debt of $992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$54.5 million during the three months ended June 30, 2020, primarily due to (i) a decrease in crude marketing revenue of $59.2 million due to Jefferson Terminal exiting the crude marketing strategy in the fourth quarter of 2019, partially offset by (ii) an increase in terminal services of $5.3 million due to increased activity and storage capacity.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$65.7 million during the six months ended June 30, 2020, primarily due to (i) a decrease in crude marketing revenue of $81.8 million due to Jefferson Terminal exiting the crude marketing strategy in the fourth quarter of 2019, partially offset by (ii) an increase in terminal services of $16.8 million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Total expenses decreased $62.7 million during the three months ended June 30, 2020, which reflects (i) a decrease in operating expenses of $62.1 million primarily due to Jefferson Terminal exiting the crude marketing strategy in the fourth quarter of 2019, (ii) a decrease in interest expense of $2.2 million due to the Jefferson Refinancing, partially offset by (iii) an increase in depreciation and amortization of $1.6 million due to additional assets being placed into service.</w:t>
      </w:r>
    </w:p>
    <w:p>
      <w:pPr>
        <w:spacing w:after="0" w:line="28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Total expenses decreased $78.4 million during the six months ended June 30, 2020, which reflects (i) a decrease in operating expenses of $79.4 million primarily due to Jefferson Terminal exiting the crude marketing strategy in the fourth quarter of 2019, (ii) a decrease in interest expense of $2.7 million due to the Jefferson Refinancing, partially offset by (iii) an increase in depreciation and amortization of $3.7 million due to additional assets being placed into service.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expense increased $4.4 million during the six months ended June 30, 2020, which primarily reflects a loss on extinguishment of debt of $4.7 million due to the Jefferson Refinancing.</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$5.5 million and $11.4 million during the three and six months ended June 30, 2020,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(7,666)</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1,875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3,875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(5,784)</w:t>
            </w:r>
          </w:p>
        </w:tc>
        <w:tc>
          <w:tcPr>
            <w:tcW w:w="0" w:type="dxa"/>
            <w:vAlign w:val="bottom"/>
          </w:tcPr>
          <w:p>
            <w:pPr>
              <w:spacing w:after="0"/>
              <w:rPr>
                <w:sz w:val="1"/>
                <w:szCs w:val="1"/>
                <w:color w:val="auto"/>
              </w:rPr>
            </w:pP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2,626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6,177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(7,679)</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(2,582)</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5,060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(7,642)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2,711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(4,374)</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4"/>
                <w:szCs w:val="14"/>
                <w:color w:val="auto"/>
              </w:rPr>
              <w:t>Benefit from income taxes</w:t>
            </w:r>
          </w:p>
        </w:tc>
        <w:tc>
          <w:tcPr>
            <w:tcW w:w="2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(878)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(4,611)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(6,661)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174"/>
        </w:trPr>
        <w:tc>
          <w:tcPr>
            <w:tcW w:w="440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(6,494)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(3,415)</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(878)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0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747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1,676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(885)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81"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2020 and 2019: (i) net loss of $(2,570) and $0, (ii) interest expense of $417 and $0, (iii) depreciation and amortization expense of $1,446 and $0, (iv) acquisition and transaction expenses of $531 and $0 and (v) changes in fair value of non-hedge derivative instruments of $929 and $0, respectively. Includes the following items for the six months ended June 30, 2020 and 2019: (i) net loss of $(1,676) and $0, (ii) interest expense of $422 and $0, (iii) depreciation and amortization expense of $2,408 and $0, (iv) acquisition and transaction expenses of $612 and $0 and (v) changes in fair value of non-hedge derivative instruments of $(785) and $0, respectively.</w:t>
      </w:r>
    </w:p>
    <w:p>
      <w:pPr>
        <w:spacing w:after="0" w:line="42"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2020 and 2019: (i) equity-based compensation of $7 and $2, (ii) interest expense of $27 and $58 and (iii)</w:t>
      </w:r>
    </w:p>
    <w:p>
      <w:pPr>
        <w:ind w:left="180"/>
        <w:spacing w:after="0" w:line="258" w:lineRule="auto"/>
        <w:rPr>
          <w:rFonts w:ascii="Arial" w:cs="Arial" w:eastAsia="Arial" w:hAnsi="Arial"/>
          <w:sz w:val="19"/>
          <w:szCs w:val="19"/>
          <w:color w:val="auto"/>
          <w:vertAlign w:val="superscript"/>
        </w:rPr>
      </w:pPr>
      <w:r>
        <w:rPr>
          <w:rFonts w:ascii="Arial" w:cs="Arial" w:eastAsia="Arial" w:hAnsi="Arial"/>
          <w:sz w:val="14"/>
          <w:szCs w:val="14"/>
          <w:color w:val="auto"/>
        </w:rPr>
        <w:t>depreciation and amortization expense of $18 and $8, respectively. Includes the following items for the six months ended June 30, 2020 and 2019: (i) equity-based compensation of $9 and $4, (ii) interest expense of $26 and $112 and (iii) depreciation and amortization expense of $26 and $15,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$2.3 million during the three months ended June 30, 2020, primarily due to the Long Ridge Transaction.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decreased $7.7 million during the six months ended June 30, 2020, primarily due to (i) the Long Ridge Transaction and (ii) a decrease of $1.2 million in butane sales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decreased $4.0 million during the three months ended June 30, 2020, primarily due to lower operating expenses of $2.9 million and depreciation and amortization of $1.2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operating expenses and depreciation and amortization is primarily due to the Long Ridge Transaction.</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decreased $7.7 million during the six months ended June 30, 2020, primarily due to lower operating expenses of $5.8 million and depreciation and amortization of $2.8 million. This was offset by an increase in acquisition and transaction expenses relating to the Long Ridge joint venture of $0.8 million.</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operating expenses and depreciation and amortization is primarily due to the Long Ridge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$7.6 million during the three months ended June 30, 2020, primarily due to an equity method loss of $2.6 million from Long Ridge and a decrease of $4.9 million in unrealized gain on power swap derivatives that was deconsolidated after the Long Ridge Transaction.</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$4.4 million during the six months ended June 30, 2020, respectively, primarily due to an equity method loss of $1.7 million from Long Ridge and a decrease of $2.5 million in unrealized gain on power swap derivatives that was deconsolidated after the Long Ridge Transaction.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$1.4 million and decreased $0.9 million during the three and six months ended June 30, 2020,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2,446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8,032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5,969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10,762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5,830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11,260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4,553</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1,979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3,943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19,130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38,170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37,036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37,664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73,215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66,275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(31,723)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(30,967)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(62,524)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(4,133)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(31,923)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(62,727)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(4,332)</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Dividends on preferred shares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4,079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8,618</w:t>
            </w:r>
          </w:p>
        </w:tc>
        <w:tc>
          <w:tcPr>
            <w:tcW w:w="0" w:type="dxa"/>
            <w:vAlign w:val="bottom"/>
          </w:tcPr>
          <w:p>
            <w:pPr>
              <w:spacing w:after="0"/>
              <w:rPr>
                <w:sz w:val="1"/>
                <w:szCs w:val="1"/>
                <w:color w:val="auto"/>
              </w:rPr>
            </w:pPr>
          </w:p>
        </w:tc>
      </w:tr>
      <w:tr>
        <w:trPr>
          <w:trHeight w:val="240"/>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(12,950)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(36,002)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(71,345)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(12,950)</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0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20,522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38,170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(13,112)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(27,760)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(13,907)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(13,853)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2020 and 2019: (i) net loss of $(62) and $(53) and (ii) interest expense of $29 and $34, respectively. Includes</w:t>
      </w:r>
    </w:p>
    <w:p>
      <w:pPr>
        <w:ind w:left="180"/>
        <w:spacing w:after="0"/>
        <w:rPr>
          <w:rFonts w:ascii="Arial" w:cs="Arial" w:eastAsia="Arial" w:hAnsi="Arial"/>
          <w:sz w:val="16"/>
          <w:szCs w:val="16"/>
          <w:color w:val="auto"/>
          <w:vertAlign w:val="superscript"/>
        </w:rPr>
      </w:pPr>
      <w:r>
        <w:rPr>
          <w:rFonts w:ascii="Arial" w:cs="Arial" w:eastAsia="Arial" w:hAnsi="Arial"/>
          <w:sz w:val="14"/>
          <w:szCs w:val="14"/>
          <w:color w:val="auto"/>
        </w:rPr>
        <w:t>the following items for the six months ended June 30, 2020 and 2019: (i) net loss of $(142) and $(52) and (ii) interest expense of $59 and $70, respectively.</w:t>
      </w:r>
    </w:p>
    <w:p>
      <w:pPr>
        <w:spacing w:after="0" w:line="97"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and six months ended June 30, 2019: (i) interest expense of $59 and (ii) depreciation and amortization expense of $115.</w:t>
      </w:r>
    </w:p>
    <w:p>
      <w:pPr>
        <w:spacing w:after="0" w:line="74"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revenues increased $0.9 million during the three months ended June 30, 2020, which primarily reflects (i) an increase of $1.4 million in other revenue in the offshore energy business primarily related to victualling income, (ii) an increase of $0.6 million due to higher volume in our railcar cleaning business, partially offset by (iii) a decrease of $1.0 million in lease income as one of our vessels was off-hire in the second quarter of 2020 while it was on-hire in the second quarter of 2019.</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$2.9 million during the six months ended June 30, 2020, which primarily reflects (i) an increase of $1.9 million in other revenue in the offshore energy business primarily related to victualling income and (ii) an increase of $1.1 million due to higher volume in our railcar cleaning business.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2020 and 2019</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increased $1.7 million primarily due to higher (i) operating expenses and (ii) general and administrative expenses, partially offset by lower (iii) interest expense and (iv) management fees and incentive allocation to affiliate.</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operating expenses increased $2.7 million which primarily reflects higher (i) vessel operating and general and administrative expenses of approximately $1.1 million in the offshore energy business and (ii) repairs and maintenance of $1.1 million in the offshore energy business.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general and administrative expense increased $0.8 million which primarily reflects higher professional fees related to audit and legal services.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interest expense decreased $1.4 million primarily due to a decrease in interest expense related to the FTAI Pride Credit Agreement which was repaid in full in March 2020.</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management fees and incentive allocation to affiliate decreased $1.0 million due to (i) a decrease of $2.2 million in incentive fees due to lower gains on sale in 2020 compared to 2019, partially offset by (ii) an increase of $1.3 million in base management fees as our equity offerings in 2019 increased our average total equity.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$6.9 million primarily due to higher (i) operating expenses, (ii) interest expense and (iii) general and administrative expense.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6"/>
          <w:szCs w:val="16"/>
          <w:color w:val="auto"/>
        </w:rPr>
        <w:t>Total operating expenses increased $4.6 million which primarily reflects higher (i) project costs of $1.9 million in our offshore energy business, (ii) repairs and maintenance of $1.1 million in our offshore energy business and (iii) compensation and benefits of approximately $0.4 million related to our railcar cleaning business.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interest expense increased $1.1 million which reflects an increase in our average outstanding debt of approximately $64.0 million, which primarily consists of (i) an increase of $100.0 million for the 2025 Notes, (ii) an increase of $25.1 million for the 2022 Notes, (iii) a decrease of $26.7 million for the Revolving Credit Facility and (iv) a decrease of $34.4 million for the FTAI Pride Credit Agreement, which was repaid in March 2020.</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general and administrative expense increased $1.3 million primarily due to higher (i) professional fees related to audit and legal services, (ii) regulatory filing expenses and (iii) market data and other services.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$7.7 million and $13.9 million during the three and six months ended June 30, 2020, respectively, primarily due to the changes noted above.</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July 28, 2020, we issued $400 million aggregate principal amount of senior unsecured notes due 2027 (see Note 20 to the consolidated financial statements). We used a portion of the proceeds to repay $220 million of outstanding borrowings under the Revolving Credit Facility, and intend to use the remaining proceeds for general corporate purposes, which may include the repurchase or redemption of outstanding 2022 Notes and the funding of future acquisitions and investments, including aviation investments. Following the repayment, we have additional borrowing capacity of $250 million under the Revolving Credit Facility.</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on June 30, 2020, we entered into an At Market Issuance Sales Agreement with a third party to sell shares of our Series A Preferred Shares and Series B Preferred Shares (collectively, the “ATM Shares”), having an aggregate offering price of up to $100 million, from time to time, through an “at-the market” equity offering program. During July 2020, we sold 125,000 ATM Shares for net proceeds of approximately $2.4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$341.5 million and $401.4 million during the six months ended June 30,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$65.4 million and $56.8 million during the six months ended June 30,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$66.5 million and $90.0 million during the six months ended June 30, 2020 and 2019, respectively.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six months ended June 30, 2020, additional borrowings were obtained in connection with the (i) Series 2020 Bonds of $264.0 million and</w:t>
      </w:r>
    </w:p>
    <w:p>
      <w:pPr>
        <w:spacing w:after="0" w:line="5" w:lineRule="exact"/>
        <w:rPr>
          <w:rFonts w:ascii="Arial" w:cs="Arial" w:eastAsia="Arial" w:hAnsi="Arial"/>
          <w:sz w:val="16"/>
          <w:szCs w:val="16"/>
          <w:color w:val="auto"/>
        </w:rPr>
      </w:pPr>
    </w:p>
    <w:p>
      <w:pPr>
        <w:jc w:val="both"/>
        <w:ind w:left="660" w:hanging="4"/>
        <w:spacing w:after="0" w:line="250" w:lineRule="auto"/>
        <w:tabs>
          <w:tab w:leader="none" w:pos="889"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Revolving Credit Facility of $195.0 million. We made total principal repayments of $276.0 million relating to the Series 2016 Bonds, Series 2012 Bonds, Jefferson Revolver and FTAI Pride Credit Agreement. During the six months ended June 30, 2019, additional borrowings were obtained in connection with the (i) 2025 Notes of $148.7 million, (ii) 2022 Notes of $147.8 million, (iii) Revolving Credit Facility of $105.0 million, (iv) LREG Credit Agreement of $71.5 million, (v) Jefferson Revolver of $23.2 million, (vi) DRP Revolver of $21.6 million and (vii) CMQR Credit Agreement of $11.7 million. We made total principal repayments of $128.8 million, primarily relating to the Revolving Credit Facility and CMQR Credit Agreement.</w:t>
      </w:r>
    </w:p>
    <w:p>
      <w:pPr>
        <w:spacing w:after="0" w:line="94"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Proceeds from the sale of assets were $37.7 million and $71.5 million during the six months ended June 30, 2020 and 2019,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if or when any such transaction will be consummated or the terms of any such transaction.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six months ended June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six months ended June 30, 2020 and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44,652</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58,112</w:t>
            </w:r>
          </w:p>
        </w:tc>
      </w:tr>
      <w:tr>
        <w:trPr>
          <w:trHeight w:val="22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(298,122)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(325,657)</w:t>
            </w:r>
          </w:p>
        </w:tc>
      </w:tr>
      <w:tr>
        <w:trPr>
          <w:trHeight w:val="204"/>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111,001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321,084</w:t>
            </w:r>
          </w:p>
        </w:tc>
      </w:tr>
    </w:tbl>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operating activities decreased $13.5 million, which primarily reflects (i) changes in accounts payable, management fees payable, other assets, other liabilities and accounts receivable of $31.4 million, primarily due to the timing of payments and (ii) a decrease in net income of $24.8 million. These decreases were partially offset by changes in (iii) gain on sale of assets, net of $25.4 million and (iv) asset impairment of $10.5 million.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used in investing activities decreased $27.5 million primarily due to (i) a decrease in acquisitions of property, plant and equipment of $29.2 million, (ii) a decrease in purchase deposits for acquisitions of $29.0 million, partially offset by (iii) lower proceeds from the sale of leasing equipment of $33.8 million.</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financing activities decreased $210.1 million primarily due to (i) an increase in repayments of debt of $147.2 million and (ii) a decrease in proceeds from debt of $70.5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Provided by Operating Activities to FAD: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44,652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58,112</w:t>
            </w: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6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3,320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2,996</w:t>
            </w:r>
          </w:p>
        </w:tc>
      </w:tr>
      <w:tr>
        <w:trPr>
          <w:trHeight w:val="22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37,687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71,504</w:t>
            </w: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1,280</w:t>
            </w:r>
          </w:p>
        </w:tc>
      </w:tr>
      <w:tr>
        <w:trPr>
          <w:trHeight w:val="22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57,687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26,310</w:t>
            </w:r>
          </w:p>
        </w:tc>
      </w:tr>
      <w:tr>
        <w:trPr>
          <w:trHeight w:val="215"/>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143,346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157,077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0" w:lineRule="auto"/>
        <w:tabs>
          <w:tab w:leader="none" w:pos="172"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Required payments on debt obligations for the six months ended June 30, 2020 exclude repayments of $144,200 for the Series 2016 Bonds, $50,262 for the Jefferson Revolver, $45,520 for the Series 2012 Bonds and $36,009 for the FTAI Pride Credit Agreement and for the six months ended June 30, 2019 exclude repayments of $115,000 for the Revolving Credit Facility and $10,710 for the CMQR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2" w:name="page63"/>
    <w:bookmarkEnd w:id="62"/>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9 of the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June 30, 2020, under our various contractual obligations and commitments. We had no off-balance sheet arrangements as of June 30,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263,980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263,980</w:t>
            </w:r>
          </w:p>
        </w:tc>
      </w:tr>
      <w:tr>
        <w:trPr>
          <w:trHeight w:val="210"/>
        </w:trPr>
        <w:tc>
          <w:tcPr>
            <w:tcW w:w="294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195,000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195,000</w:t>
            </w: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r>
      <w:tr>
        <w:trPr>
          <w:trHeight w:val="210"/>
        </w:trPr>
        <w:tc>
          <w:tcPr>
            <w:tcW w:w="294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700,000</w:t>
            </w: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450,000</w:t>
            </w:r>
          </w:p>
        </w:tc>
      </w:tr>
      <w:tr>
        <w:trPr>
          <w:trHeight w:val="174"/>
        </w:trPr>
        <w:tc>
          <w:tcPr>
            <w:tcW w:w="2940" w:type="dxa"/>
            <w:vAlign w:val="bottom"/>
          </w:tcPr>
          <w:p>
            <w:pPr>
              <w:ind w:left="20"/>
              <w:spacing w:after="0"/>
              <w:rPr>
                <w:sz w:val="20"/>
                <w:szCs w:val="20"/>
                <w:color w:val="auto"/>
              </w:rPr>
            </w:pPr>
            <w:r>
              <w:rPr>
                <w:rFonts w:ascii="Arial" w:cs="Arial" w:eastAsia="Arial" w:hAnsi="Arial"/>
                <w:sz w:val="14"/>
                <w:szCs w:val="14"/>
                <w:color w:val="auto"/>
              </w:rPr>
              <w:t>Total principal payments on loans and bonds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78"/>
        </w:trPr>
        <w:tc>
          <w:tcPr>
            <w:tcW w:w="2940" w:type="dxa"/>
            <w:vAlign w:val="bottom"/>
          </w:tcPr>
          <w:p>
            <w:pPr>
              <w:ind w:left="20"/>
              <w:spacing w:after="0"/>
              <w:rPr>
                <w:sz w:val="20"/>
                <w:szCs w:val="20"/>
                <w:color w:val="auto"/>
              </w:rPr>
            </w:pPr>
            <w:r>
              <w:rPr>
                <w:rFonts w:ascii="Arial" w:cs="Arial" w:eastAsia="Arial" w:hAnsi="Arial"/>
                <w:sz w:val="14"/>
                <w:szCs w:val="14"/>
                <w:color w:val="auto"/>
              </w:rPr>
              <w:t>payable</w:t>
            </w:r>
          </w:p>
        </w:tc>
        <w:tc>
          <w:tcPr>
            <w:tcW w:w="24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895,000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713,980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1,633,980</w:t>
            </w:r>
          </w:p>
        </w:tc>
      </w:tr>
      <w:tr>
        <w:trPr>
          <w:trHeight w:val="256"/>
        </w:trPr>
        <w:tc>
          <w:tcPr>
            <w:tcW w:w="29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45,361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93,296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51,580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41,190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41,190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136,917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409,534</w:t>
            </w:r>
          </w:p>
        </w:tc>
      </w:tr>
      <w:tr>
        <w:trPr>
          <w:trHeight w:val="210"/>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149,992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170,691</w:t>
            </w:r>
          </w:p>
        </w:tc>
      </w:tr>
      <w:tr>
        <w:trPr>
          <w:trHeight w:val="210"/>
        </w:trPr>
        <w:tc>
          <w:tcPr>
            <w:tcW w:w="2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47,739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98,046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56,212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45,775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45,544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286,909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580,225</w:t>
            </w: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47,739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123,046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951,212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45,775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45,544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1,000,889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2,214,205</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June 30, 2020.</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$122.7 million and $122.6 million as of June 30, 2020 and December 31, 2019, respectively.</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2019.</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2020 subject to obtaining rail capacity for crude, permits for pipeline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effects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year to two years will affect our forecasted growth and therefore our estimated fair value. We continue to expect the Jefferson Terminal segment to generate positive Adjusted EBITDA during 2020.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with a strengthening macroeconomic demand for storage and the increasing spread between Western Canadian Crude and Western Texas Intermediate,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2019, there was no impairment of goodwill.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and it appears likely that LIBOR will be phased out or the methodology for determining LIBOR will be modified by 2021.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 In addition, the following discussion does not take into account our Series A preferred shares, on which distributions currently accrue interest at a fixed rate but will accrue interest at a floating rate based on three-month LIBOR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2020, assuming we do not hedge our exposure to interest rate fluctuations related to our outstanding floating rate debt, a hypothetical 100-basis point increase/decrease in our variable interest rate on our borrowings would result in an increase of approximately $2.2 million and/or a decrease of approximately $0.5 million in interest expense over the next 12 months before the impact of interest rate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5" w:name="page66"/>
    <w:bookmarkEnd w:id="65"/>
    <w:p>
      <w:pPr>
        <w:jc w:val="both"/>
        <w:spacing w:after="0" w:line="260" w:lineRule="auto"/>
        <w:rPr>
          <w:sz w:val="20"/>
          <w:szCs w:val="20"/>
          <w:color w:val="auto"/>
        </w:rPr>
      </w:pPr>
      <w:r>
        <w:rPr>
          <w:rFonts w:ascii="Arial" w:cs="Arial" w:eastAsia="Arial" w:hAnsi="Arial"/>
          <w:sz w:val="16"/>
          <w:szCs w:val="16"/>
          <w:color w:val="auto"/>
        </w:rPr>
        <w:t>unpredictability of these types of proceedings, however, it is possible that future adverse outcomes could have a material adverse effect on our financial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current outbreak of the novel coronavirus (COVID-19) has severely disrupted the global economy and may have, and the emergence of other epidemic or pandemic crises could have, material adverse effects on our business, results of operations or financial condition.</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COVID-19 outbreak, which has been declared a global pandemic, has led to severe disruptions in the market and the global, U.S. and regional economies that may continue for a prolonged duration and trigger a recession or a period of economic slowdown. In response, various governmental bodies and private enterprises have implemented numerous measures to contain the outbreak, such as travel bans and restrictions, quarantines, shelter-in-place orders and shutdowns. The COVID-19 outbreak is dynamic and expanding, and its ultimate scope, duration and effects are uncertain.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include, or may include, among others:</w:t>
      </w:r>
    </w:p>
    <w:p>
      <w:pPr>
        <w:spacing w:after="0" w:line="33" w:lineRule="exact"/>
        <w:rPr>
          <w:sz w:val="20"/>
          <w:szCs w:val="20"/>
          <w:color w:val="auto"/>
        </w:rPr>
      </w:pPr>
    </w:p>
    <w:p>
      <w:pPr>
        <w:jc w:val="both"/>
        <w:ind w:left="660" w:hanging="328"/>
        <w:spacing w:after="0" w:line="257"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further reduce or prolong the recent significant declines in energy prices, or adversely affect global demand for crude oil and petroleum products, demand for our services, and time charter and spot rates;</w:t>
      </w:r>
    </w:p>
    <w:p>
      <w:pPr>
        <w:spacing w:after="0" w:line="226"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on our employees and crew, and on the workforces of our customers and business partners;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quarantines, worker health or regulations, which in turn could disrupt our operations and result in a reduction of revenue;</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reduced access to capital, including the ability to refinance any existing obligations, as a result of any credit tightening generally or due to continued declines in global financial markets, including to the prices of publicly-traded securities of us, our peers and of listed companies generally;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disruption and effects from the COVID-19 pandemic may be temporary, given the dynamic nature of these circumstances, the duration of any business disruption and the related financial impact to us is uncertain at this time and could materially affect our business, results of operations and financial condition. The ongoing impact of COVID-19 also heightens many of the other risks described in this report, including those relating to our target returns, liquidity and asset values.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16"/>
          <w:szCs w:val="16"/>
          <w:color w:val="auto"/>
        </w:rPr>
        <w:t>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7" w:name="page68"/>
    <w:bookmarkEnd w:id="67"/>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86"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1" w:name="page72"/>
    <w:bookmarkEnd w:id="71"/>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3" w:name="page74"/>
    <w:bookmarkEnd w:id="73"/>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4" w:name="page75"/>
    <w:bookmarkEnd w:id="74"/>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a limited operating history, our historical financial and operating data may not be representative of our future results.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2020, we had $220.0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and Florida East Coast Industries, LLC (“FECI”)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Although we have the same Manager, we may compete with entities affiliated with our Manager or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jc w:val="both"/>
        <w:spacing w:after="0" w:line="248" w:lineRule="auto"/>
        <w:rPr>
          <w:sz w:val="20"/>
          <w:szCs w:val="20"/>
          <w:color w:val="auto"/>
        </w:rPr>
      </w:pPr>
      <w:r>
        <w:rPr>
          <w:rFonts w:ascii="Arial" w:cs="Arial" w:eastAsia="Arial" w:hAnsi="Arial"/>
          <w:sz w:val="16"/>
          <w:szCs w:val="16"/>
          <w:color w:val="auto"/>
        </w:rPr>
        <w:t>Fortress, including Seacastle Inc. and FECI,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and FECI,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16"/>
          <w:szCs w:val="16"/>
          <w:color w:val="auto"/>
        </w:rPr>
        <w:t>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0" w:name="page81"/>
    <w:bookmarkEnd w:id="80"/>
    <w:p>
      <w:pPr>
        <w:jc w:val="both"/>
        <w:spacing w:after="0" w:line="248"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still uncertainty around the scope and application of the TCJA that may be addressed in future guidance issued by the U.S. Department of Treasury and the IRS. Some of the changes could adversely affect our business and financial condition and the value of our shares. The Coronavirus Aid, Relief, and Economic Security Act (the “CARES Act”), which was enacted on March 27, 2020, temporarily modifies some provisions of the TCJA.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jc w:val="both"/>
        <w:ind w:right="20"/>
        <w:spacing w:after="0" w:line="260" w:lineRule="auto"/>
        <w:rPr>
          <w:sz w:val="20"/>
          <w:szCs w:val="20"/>
          <w:color w:val="auto"/>
        </w:rPr>
      </w:pPr>
      <w:r>
        <w:rPr>
          <w:rFonts w:ascii="Arial" w:cs="Arial" w:eastAsia="Arial" w:hAnsi="Arial"/>
          <w:sz w:val="16"/>
          <w:szCs w:val="16"/>
          <w:color w:val="auto"/>
        </w:rPr>
        <w:t>cause an ownership change in one or more of our corporate subsidiaries. Sales of our shares by our shareholders, as well as future issuances of our shares, could contribute to a potential ownership change in our corporate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4" w:name="page85"/>
    <w:bookmarkEnd w:id="84"/>
    <w:p>
      <w:pPr>
        <w:jc w:val="both"/>
        <w:spacing w:after="0" w:line="260" w:lineRule="auto"/>
        <w:rPr>
          <w:sz w:val="20"/>
          <w:szCs w:val="20"/>
          <w:color w:val="auto"/>
        </w:rPr>
      </w:pPr>
      <w:r>
        <w:rPr>
          <w:rFonts w:ascii="Arial" w:cs="Arial" w:eastAsia="Arial" w:hAnsi="Arial"/>
          <w:sz w:val="16"/>
          <w:szCs w:val="16"/>
          <w:color w:val="auto"/>
        </w:rPr>
        <w:t>shareholder has in its common shares and would offset any gain (or increase the amount of loss) realized by such shareholder on a subsequent disposition of its common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for the fiscal years ended December 31, 2019 and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2,088,704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June 30, 2020, rights relating to 2,113,704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jc w:val="both"/>
        <w:spacing w:after="0" w:line="247" w:lineRule="auto"/>
        <w:rPr>
          <w:sz w:val="20"/>
          <w:szCs w:val="20"/>
          <w:color w:val="auto"/>
        </w:rPr>
      </w:pPr>
      <w:r>
        <w:rPr>
          <w:rFonts w:ascii="Arial" w:cs="Arial" w:eastAsia="Arial" w:hAnsi="Arial"/>
          <w:sz w:val="16"/>
          <w:szCs w:val="16"/>
          <w:color w:val="auto"/>
        </w:rPr>
        <w:t>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6. Exhibits</w:t>
      </w:r>
    </w:p>
    <w:p>
      <w:pPr>
        <w:sectPr>
          <w:pgSz w:w="11900" w:h="16838" w:orient="portrait"/>
          <w:cols w:equalWidth="0" w:num="1">
            <w:col w:w="11180"/>
          </w:cols>
          <w:pgMar w:left="320" w:top="1035" w:right="399" w:bottom="1440" w:gutter="0" w:footer="0" w:header="0"/>
        </w:sectPr>
      </w:pPr>
    </w:p>
    <w:p>
      <w:pPr>
        <w:spacing w:after="0" w:line="18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 No.</w:t>
      </w:r>
    </w:p>
    <w:p>
      <w:pPr>
        <w:spacing w:after="0" w:line="73" w:lineRule="exact"/>
        <w:rPr>
          <w:sz w:val="20"/>
          <w:szCs w:val="20"/>
          <w:color w:val="auto"/>
        </w:rPr>
      </w:pPr>
    </w:p>
    <w:p>
      <w:pPr>
        <w:ind w:left="1180"/>
        <w:spacing w:after="0"/>
        <w:rPr>
          <w:rFonts w:ascii="Arial" w:cs="Arial" w:eastAsia="Arial" w:hAnsi="Arial"/>
          <w:sz w:val="14"/>
          <w:szCs w:val="14"/>
          <w:u w:val="single" w:color="auto"/>
          <w:color w:val="0000FF"/>
        </w:rPr>
      </w:pPr>
      <w:hyperlink r:id="rId103">
        <w:r>
          <w:rPr>
            <w:rFonts w:ascii="Arial" w:cs="Arial" w:eastAsia="Arial" w:hAnsi="Arial"/>
            <w:sz w:val="14"/>
            <w:szCs w:val="14"/>
            <w:u w:val="single" w:color="auto"/>
            <w:color w:val="0000FF"/>
          </w:rPr>
          <w:t>2.1</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04">
        <w:r>
          <w:rPr>
            <w:rFonts w:ascii="Arial" w:cs="Arial" w:eastAsia="Arial" w:hAnsi="Arial"/>
            <w:sz w:val="14"/>
            <w:szCs w:val="14"/>
            <w:u w:val="single" w:color="auto"/>
            <w:color w:val="0000FF"/>
          </w:rPr>
          <w:t>3.1</w:t>
        </w:r>
      </w:hyperlink>
    </w:p>
    <w:p>
      <w:pPr>
        <w:spacing w:after="0" w:line="217" w:lineRule="exact"/>
        <w:rPr>
          <w:sz w:val="20"/>
          <w:szCs w:val="20"/>
          <w:color w:val="auto"/>
        </w:rPr>
      </w:pPr>
    </w:p>
    <w:p>
      <w:pPr>
        <w:ind w:left="1180"/>
        <w:spacing w:after="0"/>
        <w:rPr>
          <w:rFonts w:ascii="Arial" w:cs="Arial" w:eastAsia="Arial" w:hAnsi="Arial"/>
          <w:sz w:val="14"/>
          <w:szCs w:val="14"/>
          <w:u w:val="single" w:color="auto"/>
          <w:color w:val="0000FF"/>
        </w:rPr>
      </w:pPr>
      <w:hyperlink r:id="rId105">
        <w:r>
          <w:rPr>
            <w:rFonts w:ascii="Arial" w:cs="Arial" w:eastAsia="Arial" w:hAnsi="Arial"/>
            <w:sz w:val="14"/>
            <w:szCs w:val="14"/>
            <w:u w:val="single" w:color="auto"/>
            <w:color w:val="0000FF"/>
          </w:rPr>
          <w:t>3.2</w:t>
        </w:r>
      </w:hyperlink>
    </w:p>
    <w:p>
      <w:pPr>
        <w:spacing w:after="0" w:line="217" w:lineRule="exact"/>
        <w:rPr>
          <w:sz w:val="20"/>
          <w:szCs w:val="20"/>
          <w:color w:val="auto"/>
        </w:rPr>
      </w:pPr>
    </w:p>
    <w:p>
      <w:pPr>
        <w:ind w:left="1180"/>
        <w:spacing w:after="0"/>
        <w:rPr>
          <w:rFonts w:ascii="Arial" w:cs="Arial" w:eastAsia="Arial" w:hAnsi="Arial"/>
          <w:sz w:val="14"/>
          <w:szCs w:val="14"/>
          <w:u w:val="single" w:color="auto"/>
          <w:color w:val="0000FF"/>
        </w:rPr>
      </w:pPr>
      <w:hyperlink r:id="rId106">
        <w:r>
          <w:rPr>
            <w:rFonts w:ascii="Arial" w:cs="Arial" w:eastAsia="Arial" w:hAnsi="Arial"/>
            <w:sz w:val="14"/>
            <w:szCs w:val="14"/>
            <w:u w:val="single" w:color="auto"/>
            <w:color w:val="0000FF"/>
          </w:rPr>
          <w:t>3.3</w:t>
        </w:r>
      </w:hyperlink>
    </w:p>
    <w:p>
      <w:pPr>
        <w:spacing w:after="0" w:line="217" w:lineRule="exact"/>
        <w:rPr>
          <w:sz w:val="20"/>
          <w:szCs w:val="20"/>
          <w:color w:val="auto"/>
        </w:rPr>
      </w:pPr>
    </w:p>
    <w:p>
      <w:pPr>
        <w:ind w:left="1180"/>
        <w:spacing w:after="0"/>
        <w:rPr>
          <w:rFonts w:ascii="Arial" w:cs="Arial" w:eastAsia="Arial" w:hAnsi="Arial"/>
          <w:sz w:val="14"/>
          <w:szCs w:val="14"/>
          <w:u w:val="single" w:color="auto"/>
          <w:color w:val="0000FF"/>
        </w:rPr>
      </w:pPr>
      <w:hyperlink r:id="rId105">
        <w:r>
          <w:rPr>
            <w:rFonts w:ascii="Arial" w:cs="Arial" w:eastAsia="Arial" w:hAnsi="Arial"/>
            <w:sz w:val="14"/>
            <w:szCs w:val="14"/>
            <w:u w:val="single" w:color="auto"/>
            <w:color w:val="0000FF"/>
          </w:rPr>
          <w:t>3.4</w:t>
        </w:r>
      </w:hyperlink>
    </w:p>
    <w:p>
      <w:pPr>
        <w:spacing w:after="0" w:line="217" w:lineRule="exact"/>
        <w:rPr>
          <w:sz w:val="20"/>
          <w:szCs w:val="20"/>
          <w:color w:val="auto"/>
        </w:rPr>
      </w:pPr>
    </w:p>
    <w:p>
      <w:pPr>
        <w:ind w:left="1180"/>
        <w:spacing w:after="0"/>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4.1</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4.2</w:t>
        </w:r>
      </w:hyperlink>
    </w:p>
    <w:p>
      <w:pPr>
        <w:spacing w:after="0" w:line="55" w:lineRule="exact"/>
        <w:rPr>
          <w:sz w:val="20"/>
          <w:szCs w:val="20"/>
          <w:color w:val="auto"/>
        </w:rPr>
      </w:pPr>
    </w:p>
    <w:p>
      <w:pPr>
        <w:ind w:left="1180"/>
        <w:spacing w:after="0"/>
        <w:rPr>
          <w:rFonts w:ascii="Arial" w:cs="Arial" w:eastAsia="Arial" w:hAnsi="Arial"/>
          <w:sz w:val="14"/>
          <w:szCs w:val="14"/>
          <w:u w:val="single" w:color="auto"/>
          <w:color w:val="0000FF"/>
        </w:rPr>
      </w:pPr>
      <w:hyperlink r:id="rId108">
        <w:r>
          <w:rPr>
            <w:rFonts w:ascii="Arial" w:cs="Arial" w:eastAsia="Arial" w:hAnsi="Arial"/>
            <w:sz w:val="14"/>
            <w:szCs w:val="14"/>
            <w:u w:val="single" w:color="auto"/>
            <w:color w:val="0000FF"/>
          </w:rPr>
          <w:t>4.3</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09">
        <w:r>
          <w:rPr>
            <w:rFonts w:ascii="Arial" w:cs="Arial" w:eastAsia="Arial" w:hAnsi="Arial"/>
            <w:sz w:val="14"/>
            <w:szCs w:val="14"/>
            <w:u w:val="single" w:color="auto"/>
            <w:color w:val="0000FF"/>
          </w:rPr>
          <w:t>4.4</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10">
        <w:r>
          <w:rPr>
            <w:rFonts w:ascii="Arial" w:cs="Arial" w:eastAsia="Arial" w:hAnsi="Arial"/>
            <w:sz w:val="14"/>
            <w:szCs w:val="14"/>
            <w:u w:val="single" w:color="auto"/>
            <w:color w:val="0000FF"/>
          </w:rPr>
          <w:t>4.5</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11">
        <w:r>
          <w:rPr>
            <w:rFonts w:ascii="Arial" w:cs="Arial" w:eastAsia="Arial" w:hAnsi="Arial"/>
            <w:sz w:val="14"/>
            <w:szCs w:val="14"/>
            <w:u w:val="single" w:color="auto"/>
            <w:color w:val="0000FF"/>
          </w:rPr>
          <w:t>4.6</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12">
        <w:r>
          <w:rPr>
            <w:rFonts w:ascii="Arial" w:cs="Arial" w:eastAsia="Arial" w:hAnsi="Arial"/>
            <w:sz w:val="14"/>
            <w:szCs w:val="14"/>
            <w:u w:val="single" w:color="auto"/>
            <w:color w:val="0000FF"/>
          </w:rPr>
          <w:t>4.7</w:t>
        </w:r>
      </w:hyperlink>
    </w:p>
    <w:p>
      <w:pPr>
        <w:spacing w:after="0" w:line="379" w:lineRule="exact"/>
        <w:rPr>
          <w:sz w:val="20"/>
          <w:szCs w:val="20"/>
          <w:color w:val="auto"/>
        </w:rPr>
      </w:pPr>
    </w:p>
    <w:p>
      <w:pPr>
        <w:ind w:left="1180"/>
        <w:spacing w:after="0"/>
        <w:rPr>
          <w:rFonts w:ascii="Arial" w:cs="Arial" w:eastAsia="Arial" w:hAnsi="Arial"/>
          <w:sz w:val="14"/>
          <w:szCs w:val="14"/>
          <w:u w:val="single" w:color="auto"/>
          <w:color w:val="0000FF"/>
        </w:rPr>
      </w:pPr>
      <w:hyperlink r:id="rId113">
        <w:r>
          <w:rPr>
            <w:rFonts w:ascii="Arial" w:cs="Arial" w:eastAsia="Arial" w:hAnsi="Arial"/>
            <w:sz w:val="14"/>
            <w:szCs w:val="14"/>
            <w:u w:val="single" w:color="auto"/>
            <w:color w:val="0000FF"/>
          </w:rPr>
          <w:t>4.8</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13">
        <w:r>
          <w:rPr>
            <w:rFonts w:ascii="Arial" w:cs="Arial" w:eastAsia="Arial" w:hAnsi="Arial"/>
            <w:sz w:val="14"/>
            <w:szCs w:val="14"/>
            <w:u w:val="single" w:color="auto"/>
            <w:color w:val="0000FF"/>
          </w:rPr>
          <w:t>4.9</w:t>
        </w:r>
      </w:hyperlink>
    </w:p>
    <w:p>
      <w:pPr>
        <w:spacing w:after="0" w:line="55" w:lineRule="exact"/>
        <w:rPr>
          <w:sz w:val="20"/>
          <w:szCs w:val="20"/>
          <w:color w:val="auto"/>
        </w:rPr>
      </w:pPr>
    </w:p>
    <w:p>
      <w:pPr>
        <w:jc w:val="right"/>
        <w:spacing w:after="0"/>
        <w:rPr>
          <w:rFonts w:ascii="Arial" w:cs="Arial" w:eastAsia="Arial" w:hAnsi="Arial"/>
          <w:sz w:val="14"/>
          <w:szCs w:val="14"/>
          <w:u w:val="single" w:color="auto"/>
          <w:color w:val="0000FF"/>
        </w:rPr>
      </w:pPr>
      <w:hyperlink r:id="rId114">
        <w:r>
          <w:rPr>
            <w:rFonts w:ascii="Arial" w:cs="Arial" w:eastAsia="Arial" w:hAnsi="Arial"/>
            <w:sz w:val="14"/>
            <w:szCs w:val="14"/>
            <w:u w:val="single" w:color="auto"/>
            <w:color w:val="0000FF"/>
          </w:rPr>
          <w:t>4.10</w:t>
        </w:r>
      </w:hyperlink>
    </w:p>
    <w:p>
      <w:pPr>
        <w:spacing w:after="0" w:line="379" w:lineRule="exact"/>
        <w:rPr>
          <w:sz w:val="20"/>
          <w:szCs w:val="20"/>
          <w:color w:val="auto"/>
        </w:rPr>
      </w:pPr>
    </w:p>
    <w:p>
      <w:pPr>
        <w:jc w:val="right"/>
        <w:spacing w:after="0"/>
        <w:rPr>
          <w:rFonts w:ascii="Arial" w:cs="Arial" w:eastAsia="Arial" w:hAnsi="Arial"/>
          <w:sz w:val="14"/>
          <w:szCs w:val="14"/>
          <w:u w:val="single" w:color="auto"/>
          <w:color w:val="0000FF"/>
        </w:rPr>
      </w:pPr>
      <w:hyperlink r:id="rId115">
        <w:r>
          <w:rPr>
            <w:rFonts w:ascii="Arial" w:cs="Arial" w:eastAsia="Arial" w:hAnsi="Arial"/>
            <w:sz w:val="14"/>
            <w:szCs w:val="14"/>
            <w:u w:val="single" w:color="auto"/>
            <w:color w:val="0000FF"/>
          </w:rPr>
          <w:t>4.11</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05">
        <w:r>
          <w:rPr>
            <w:rFonts w:ascii="Arial" w:cs="Arial" w:eastAsia="Arial" w:hAnsi="Arial"/>
            <w:sz w:val="14"/>
            <w:szCs w:val="14"/>
            <w:u w:val="single" w:color="auto"/>
            <w:color w:val="0000FF"/>
          </w:rPr>
          <w:t>4.12</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16">
        <w:r>
          <w:rPr>
            <w:rFonts w:ascii="Arial" w:cs="Arial" w:eastAsia="Arial" w:hAnsi="Arial"/>
            <w:sz w:val="14"/>
            <w:szCs w:val="14"/>
            <w:u w:val="single" w:color="auto"/>
            <w:color w:val="0000FF"/>
          </w:rPr>
          <w:t>4.13</w:t>
        </w:r>
      </w:hyperlink>
    </w:p>
    <w:p>
      <w:pPr>
        <w:spacing w:after="0" w:line="217" w:lineRule="exact"/>
        <w:rPr>
          <w:sz w:val="20"/>
          <w:szCs w:val="20"/>
          <w:color w:val="auto"/>
        </w:rPr>
      </w:pPr>
    </w:p>
    <w:p>
      <w:pPr>
        <w:jc w:val="right"/>
        <w:spacing w:after="0"/>
        <w:rPr>
          <w:rFonts w:ascii="Arial" w:cs="Arial" w:eastAsia="Arial" w:hAnsi="Arial"/>
          <w:sz w:val="14"/>
          <w:szCs w:val="14"/>
          <w:u w:val="single" w:color="auto"/>
          <w:color w:val="0000FF"/>
        </w:rPr>
      </w:pPr>
      <w:hyperlink r:id="rId117">
        <w:r>
          <w:rPr>
            <w:rFonts w:ascii="Arial" w:cs="Arial" w:eastAsia="Arial" w:hAnsi="Arial"/>
            <w:sz w:val="14"/>
            <w:szCs w:val="14"/>
            <w:u w:val="single" w:color="auto"/>
            <w:color w:val="0000FF"/>
          </w:rPr>
          <w:t>10.1</w:t>
        </w:r>
      </w:hyperlink>
    </w:p>
    <w:p>
      <w:pPr>
        <w:spacing w:after="0" w:line="217" w:lineRule="exact"/>
        <w:rPr>
          <w:sz w:val="20"/>
          <w:szCs w:val="20"/>
          <w:color w:val="auto"/>
        </w:rPr>
      </w:pPr>
    </w:p>
    <w:p>
      <w:pPr>
        <w:ind w:left="1100" w:hanging="1027"/>
        <w:spacing w:after="0"/>
        <w:tabs>
          <w:tab w:leader="none" w:pos="1100" w:val="left"/>
        </w:tabs>
        <w:numPr>
          <w:ilvl w:val="0"/>
          <w:numId w:val="39"/>
        </w:numPr>
        <w:rPr>
          <w:rFonts w:ascii="Arial" w:cs="Arial" w:eastAsia="Arial" w:hAnsi="Arial"/>
          <w:sz w:val="14"/>
          <w:szCs w:val="14"/>
          <w:u w:val="single" w:color="auto"/>
          <w:color w:val="0000FF"/>
        </w:rPr>
      </w:pPr>
      <w:hyperlink r:id="rId118">
        <w:r>
          <w:rPr>
            <w:rFonts w:ascii="Arial" w:cs="Arial" w:eastAsia="Arial" w:hAnsi="Arial"/>
            <w:sz w:val="14"/>
            <w:szCs w:val="14"/>
            <w:u w:val="single" w:color="auto"/>
            <w:color w:val="0000FF"/>
          </w:rPr>
          <w:t>10.2</w:t>
        </w:r>
      </w:hyperlink>
    </w:p>
    <w:p>
      <w:pPr>
        <w:spacing w:after="0" w:line="217" w:lineRule="exact"/>
        <w:rPr>
          <w:rFonts w:ascii="Arial" w:cs="Arial" w:eastAsia="Arial" w:hAnsi="Arial"/>
          <w:sz w:val="14"/>
          <w:szCs w:val="14"/>
          <w:u w:val="single" w:color="auto"/>
          <w:color w:val="0000FF"/>
        </w:rPr>
      </w:pPr>
    </w:p>
    <w:p>
      <w:pPr>
        <w:ind w:left="1100" w:hanging="1027"/>
        <w:spacing w:after="0"/>
        <w:tabs>
          <w:tab w:leader="none" w:pos="1100" w:val="left"/>
        </w:tabs>
        <w:numPr>
          <w:ilvl w:val="0"/>
          <w:numId w:val="39"/>
        </w:numPr>
        <w:rPr>
          <w:rFonts w:ascii="Arial" w:cs="Arial" w:eastAsia="Arial" w:hAnsi="Arial"/>
          <w:sz w:val="14"/>
          <w:szCs w:val="14"/>
          <w:u w:val="single" w:color="auto"/>
          <w:color w:val="0000FF"/>
        </w:rPr>
      </w:pPr>
      <w:hyperlink r:id="rId119">
        <w:r>
          <w:rPr>
            <w:rFonts w:ascii="Arial" w:cs="Arial" w:eastAsia="Arial" w:hAnsi="Arial"/>
            <w:sz w:val="14"/>
            <w:szCs w:val="14"/>
            <w:u w:val="single" w:color="auto"/>
            <w:color w:val="0000FF"/>
          </w:rPr>
          <w:t>10.3</w:t>
        </w:r>
      </w:hyperlink>
    </w:p>
    <w:p>
      <w:pPr>
        <w:spacing w:after="0" w:line="379" w:lineRule="exact"/>
        <w:rPr>
          <w:rFonts w:ascii="Arial" w:cs="Arial" w:eastAsia="Arial" w:hAnsi="Arial"/>
          <w:sz w:val="14"/>
          <w:szCs w:val="14"/>
          <w:u w:val="single" w:color="auto"/>
          <w:color w:val="0000FF"/>
        </w:rPr>
      </w:pPr>
    </w:p>
    <w:p>
      <w:pPr>
        <w:ind w:left="1100" w:hanging="1027"/>
        <w:spacing w:after="0"/>
        <w:tabs>
          <w:tab w:leader="none" w:pos="1100" w:val="left"/>
        </w:tabs>
        <w:numPr>
          <w:ilvl w:val="0"/>
          <w:numId w:val="39"/>
        </w:numPr>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10.4</w:t>
        </w:r>
      </w:hyperlink>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61"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26035</wp:posOffset>
            </wp:positionV>
            <wp:extent cx="7071995" cy="351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071995" cy="351790"/>
                    </a:xfrm>
                    <a:prstGeom prst="rect">
                      <a:avLst/>
                    </a:prstGeom>
                    <a:noFill/>
                  </pic:spPr>
                </pic:pic>
              </a:graphicData>
            </a:graphic>
          </wp:anchor>
        </w:drawing>
      </w:r>
    </w:p>
    <w:p>
      <w:pPr>
        <w:spacing w:after="0" w:line="67" w:lineRule="exact"/>
        <w:rPr>
          <w:rFonts w:ascii="Arial" w:cs="Arial" w:eastAsia="Arial" w:hAnsi="Arial"/>
          <w:sz w:val="14"/>
          <w:szCs w:val="14"/>
          <w:color w:val="auto"/>
        </w:rPr>
      </w:pPr>
    </w:p>
    <w:p>
      <w:pPr>
        <w:jc w:val="both"/>
        <w:spacing w:after="0" w:line="249" w:lineRule="auto"/>
        <w:rPr>
          <w:sz w:val="20"/>
          <w:szCs w:val="20"/>
          <w:color w:val="auto"/>
        </w:rPr>
      </w:pPr>
      <w:r>
        <w:rPr>
          <w:rFonts w:ascii="Arial" w:cs="Arial" w:eastAsia="Arial" w:hAnsi="Arial"/>
          <w:sz w:val="14"/>
          <w:szCs w:val="14"/>
          <w:color w:val="auto"/>
        </w:rPr>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39" w:lineRule="exact"/>
        <w:rPr>
          <w:rFonts w:ascii="Arial" w:cs="Arial" w:eastAsia="Arial" w:hAnsi="Arial"/>
          <w:sz w:val="14"/>
          <w:szCs w:val="14"/>
          <w:color w:val="auto"/>
        </w:rPr>
      </w:pPr>
    </w:p>
    <w:p>
      <w:pPr>
        <w:ind w:right="160"/>
        <w:spacing w:after="0" w:line="258" w:lineRule="auto"/>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0</wp:posOffset>
            </wp:positionV>
            <wp:extent cx="707199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right="80"/>
        <w:spacing w:after="0" w:line="258" w:lineRule="auto"/>
        <w:rPr>
          <w:sz w:val="20"/>
          <w:szCs w:val="20"/>
          <w:color w:val="auto"/>
        </w:rPr>
      </w:pPr>
      <w:r>
        <w:rPr>
          <w:rFonts w:ascii="Arial" w:cs="Arial" w:eastAsia="Arial" w:hAnsi="Arial"/>
          <w:sz w:val="14"/>
          <w:szCs w:val="14"/>
          <w:color w:val="auto"/>
        </w:rPr>
        <w:t>Third Amended and Restated Limited Liability Company Agreement of Fortress Transportation and Infrastructure Investors LLC, dated as of November 27, 2019 (incorporated by reference to Exhibit 3.2 of the Company’s Form 8-A, filed November 27, 2019).</w:t>
      </w:r>
    </w:p>
    <w:p>
      <w:pPr>
        <w:spacing w:after="0" w:line="32" w:lineRule="exact"/>
        <w:rPr>
          <w:rFonts w:ascii="Arial" w:cs="Arial" w:eastAsia="Arial" w:hAnsi="Arial"/>
          <w:sz w:val="14"/>
          <w:szCs w:val="14"/>
          <w:color w:val="auto"/>
        </w:rPr>
      </w:pPr>
    </w:p>
    <w:p>
      <w:pPr>
        <w:ind w:right="180"/>
        <w:spacing w:after="0" w:line="258" w:lineRule="auto"/>
        <w:rPr>
          <w:sz w:val="20"/>
          <w:szCs w:val="20"/>
          <w:color w:val="auto"/>
        </w:rPr>
      </w:pPr>
      <w:r>
        <w:rPr>
          <w:rFonts w:ascii="Arial" w:cs="Arial" w:eastAsia="Arial" w:hAnsi="Arial"/>
          <w:sz w:val="14"/>
          <w:szCs w:val="14"/>
          <w:color w:val="auto"/>
        </w:rPr>
        <w:t>Share Designation with respect to the 8.25% Fixed-to-Floating Series A Cumulative Perpetual Redeemable Preferred Shares, dated as of September 12, 2019 (included as part of Exhibit 3.2).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0</wp:posOffset>
            </wp:positionV>
            <wp:extent cx="707199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right="220"/>
        <w:spacing w:after="0" w:line="258" w:lineRule="auto"/>
        <w:rPr>
          <w:sz w:val="20"/>
          <w:szCs w:val="20"/>
          <w:color w:val="auto"/>
        </w:rPr>
      </w:pPr>
      <w:r>
        <w:rPr>
          <w:rFonts w:ascii="Arial" w:cs="Arial" w:eastAsia="Arial" w:hAnsi="Arial"/>
          <w:sz w:val="14"/>
          <w:szCs w:val="14"/>
          <w:color w:val="auto"/>
        </w:rPr>
        <w:t>Share Designation with respect to the 8.00% Fixed-to-Floating Series B Cumulative Perpetual Redeemable Preferred Shares, dated as of November 27, 2019 (included as part of Exhibit 3.2).</w:t>
      </w:r>
    </w:p>
    <w:p>
      <w:pPr>
        <w:spacing w:after="0" w:line="32" w:lineRule="exact"/>
        <w:rPr>
          <w:rFonts w:ascii="Arial" w:cs="Arial" w:eastAsia="Arial" w:hAnsi="Arial"/>
          <w:sz w:val="14"/>
          <w:szCs w:val="14"/>
          <w:color w:val="auto"/>
        </w:rPr>
      </w:pPr>
    </w:p>
    <w:p>
      <w:pPr>
        <w:ind w:right="80"/>
        <w:spacing w:after="0" w:line="249" w:lineRule="auto"/>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4445</wp:posOffset>
            </wp:positionV>
            <wp:extent cx="707199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p>
      <w:pPr>
        <w:spacing w:after="0" w:line="55" w:lineRule="exact"/>
        <w:rPr>
          <w:rFonts w:ascii="Arial" w:cs="Arial" w:eastAsia="Arial" w:hAnsi="Arial"/>
          <w:sz w:val="14"/>
          <w:szCs w:val="14"/>
          <w:color w:val="auto"/>
        </w:rPr>
      </w:pPr>
    </w:p>
    <w:p>
      <w:pPr>
        <w:ind w:right="120"/>
        <w:spacing w:after="0" w:line="249" w:lineRule="auto"/>
        <w:rPr>
          <w:sz w:val="20"/>
          <w:szCs w:val="20"/>
          <w:color w:val="auto"/>
        </w:rPr>
      </w:pPr>
      <w:r>
        <w:rPr>
          <w:rFonts w:ascii="Arial" w:cs="Arial" w:eastAsia="Arial" w:hAnsi="Arial"/>
          <w:sz w:val="14"/>
          <w:szCs w:val="14"/>
          <w:color w:val="auto"/>
        </w:rPr>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4445</wp:posOffset>
            </wp:positionV>
            <wp:extent cx="7071995"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right="120"/>
        <w:spacing w:after="0" w:line="249" w:lineRule="auto"/>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39" w:lineRule="exact"/>
        <w:rPr>
          <w:rFonts w:ascii="Arial" w:cs="Arial" w:eastAsia="Arial" w:hAnsi="Arial"/>
          <w:sz w:val="14"/>
          <w:szCs w:val="14"/>
          <w:color w:val="auto"/>
        </w:rPr>
      </w:pPr>
    </w:p>
    <w:p>
      <w:pPr>
        <w:ind w:right="40"/>
        <w:spacing w:after="0" w:line="249" w:lineRule="auto"/>
        <w:rPr>
          <w:sz w:val="20"/>
          <w:szCs w:val="20"/>
          <w:color w:val="auto"/>
        </w:rPr>
      </w:pPr>
      <w:r>
        <w:rPr>
          <w:rFonts w:ascii="Arial" w:cs="Arial" w:eastAsia="Arial" w:hAnsi="Arial"/>
          <w:sz w:val="14"/>
          <w:szCs w:val="14"/>
          <w:color w:val="auto"/>
        </w:rPr>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4445</wp:posOffset>
            </wp:positionV>
            <wp:extent cx="7071995"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right="120"/>
        <w:spacing w:after="0" w:line="249" w:lineRule="auto"/>
        <w:rPr>
          <w:sz w:val="20"/>
          <w:szCs w:val="20"/>
          <w:color w:val="auto"/>
        </w:rPr>
      </w:pPr>
      <w:r>
        <w:rPr>
          <w:rFonts w:ascii="Arial" w:cs="Arial" w:eastAsia="Arial" w:hAnsi="Arial"/>
          <w:sz w:val="14"/>
          <w:szCs w:val="14"/>
          <w:color w:val="auto"/>
        </w:rPr>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39" w:lineRule="exact"/>
        <w:rPr>
          <w:rFonts w:ascii="Arial" w:cs="Arial" w:eastAsia="Arial" w:hAnsi="Arial"/>
          <w:sz w:val="14"/>
          <w:szCs w:val="14"/>
          <w:color w:val="auto"/>
        </w:rPr>
      </w:pPr>
    </w:p>
    <w:p>
      <w:pPr>
        <w:ind w:right="120"/>
        <w:spacing w:after="0" w:line="249" w:lineRule="auto"/>
        <w:rPr>
          <w:sz w:val="20"/>
          <w:szCs w:val="20"/>
          <w:color w:val="auto"/>
        </w:rPr>
      </w:pPr>
      <w:r>
        <w:rPr>
          <w:rFonts w:ascii="Arial" w:cs="Arial" w:eastAsia="Arial" w:hAnsi="Arial"/>
          <w:sz w:val="14"/>
          <w:szCs w:val="14"/>
          <w:color w:val="auto"/>
        </w:rPr>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4445</wp:posOffset>
            </wp:positionV>
            <wp:extent cx="7071995" cy="342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right="140"/>
        <w:spacing w:after="0" w:line="249" w:lineRule="auto"/>
        <w:rPr>
          <w:sz w:val="20"/>
          <w:szCs w:val="20"/>
          <w:color w:val="auto"/>
        </w:rPr>
      </w:pPr>
      <w:r>
        <w:rPr>
          <w:rFonts w:ascii="Arial" w:cs="Arial" w:eastAsia="Arial" w:hAnsi="Arial"/>
          <w:sz w:val="14"/>
          <w:szCs w:val="14"/>
          <w:color w:val="auto"/>
        </w:rPr>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3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color w:val="auto"/>
        </w:rPr>
        <w:t>Form of global note representing the Company’s 6.50% senior unsecured notes due 2025 (included in Exhibit 4.8).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14605</wp:posOffset>
            </wp:positionV>
            <wp:extent cx="7071995"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35" w:lineRule="exact"/>
        <w:rPr>
          <w:rFonts w:ascii="Arial" w:cs="Arial" w:eastAsia="Arial" w:hAnsi="Arial"/>
          <w:sz w:val="14"/>
          <w:szCs w:val="14"/>
          <w:color w:val="auto"/>
        </w:rPr>
      </w:pPr>
    </w:p>
    <w:p>
      <w:pPr>
        <w:ind w:right="120"/>
        <w:spacing w:after="0" w:line="249" w:lineRule="auto"/>
        <w:rPr>
          <w:sz w:val="20"/>
          <w:szCs w:val="20"/>
          <w:color w:val="auto"/>
        </w:rPr>
      </w:pPr>
      <w:r>
        <w:rPr>
          <w:rFonts w:ascii="Arial" w:cs="Arial" w:eastAsia="Arial" w:hAnsi="Arial"/>
          <w:sz w:val="14"/>
          <w:szCs w:val="14"/>
          <w:color w:val="auto"/>
        </w:rPr>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39" w:lineRule="exact"/>
        <w:rPr>
          <w:rFonts w:ascii="Arial" w:cs="Arial" w:eastAsia="Arial" w:hAnsi="Arial"/>
          <w:sz w:val="14"/>
          <w:szCs w:val="14"/>
          <w:color w:val="auto"/>
        </w:rPr>
      </w:pPr>
    </w:p>
    <w:p>
      <w:pPr>
        <w:ind w:right="480"/>
        <w:spacing w:after="0" w:line="258" w:lineRule="auto"/>
        <w:rPr>
          <w:sz w:val="20"/>
          <w:szCs w:val="20"/>
          <w:color w:val="auto"/>
        </w:rPr>
      </w:pPr>
      <w:r>
        <w:rPr>
          <w:rFonts w:ascii="Arial" w:cs="Arial" w:eastAsia="Arial" w:hAnsi="Arial"/>
          <w:sz w:val="14"/>
          <w:szCs w:val="14"/>
          <w:color w:val="auto"/>
        </w:rPr>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0</wp:posOffset>
            </wp:positionV>
            <wp:extent cx="7071995"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right="520"/>
        <w:spacing w:after="0" w:line="258" w:lineRule="auto"/>
        <w:rPr>
          <w:sz w:val="20"/>
          <w:szCs w:val="20"/>
          <w:color w:val="auto"/>
        </w:rPr>
      </w:pPr>
      <w:r>
        <w:rPr>
          <w:rFonts w:ascii="Arial" w:cs="Arial" w:eastAsia="Arial" w:hAnsi="Arial"/>
          <w:sz w:val="14"/>
          <w:szCs w:val="14"/>
          <w:color w:val="auto"/>
        </w:rPr>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32" w:lineRule="exact"/>
        <w:rPr>
          <w:rFonts w:ascii="Arial" w:cs="Arial" w:eastAsia="Arial" w:hAnsi="Arial"/>
          <w:sz w:val="14"/>
          <w:szCs w:val="14"/>
          <w:color w:val="auto"/>
        </w:rPr>
      </w:pPr>
    </w:p>
    <w:p>
      <w:pPr>
        <w:ind w:right="20"/>
        <w:spacing w:after="0" w:line="258" w:lineRule="auto"/>
        <w:rPr>
          <w:sz w:val="20"/>
          <w:szCs w:val="20"/>
          <w:color w:val="auto"/>
        </w:rPr>
      </w:pPr>
      <w:r>
        <w:rPr>
          <w:rFonts w:ascii="Arial" w:cs="Arial" w:eastAsia="Arial" w:hAnsi="Arial"/>
          <w:sz w:val="14"/>
          <w:szCs w:val="14"/>
          <w:color w:val="auto"/>
        </w:rPr>
        <w:t>Description of Securities Registered under Section 12 of the Exchange Act (incorporated by reference to Exhibit 4.13 to the Company’s Form 10-K, filed February 28,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0</wp:posOffset>
            </wp:positionV>
            <wp:extent cx="7071995"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right="200"/>
        <w:spacing w:after="0" w:line="258" w:lineRule="auto"/>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 reference to Exhibit 10.1 of the Company's Current Report on Form 8-K, filed on May 21, 2015).</w:t>
      </w:r>
    </w:p>
    <w:p>
      <w:pPr>
        <w:spacing w:after="0" w:line="32" w:lineRule="exact"/>
        <w:rPr>
          <w:rFonts w:ascii="Arial" w:cs="Arial" w:eastAsia="Arial" w:hAnsi="Arial"/>
          <w:sz w:val="14"/>
          <w:szCs w:val="14"/>
          <w:color w:val="auto"/>
        </w:rPr>
      </w:pPr>
    </w:p>
    <w:p>
      <w:pPr>
        <w:ind w:right="400"/>
        <w:spacing w:after="0" w:line="258" w:lineRule="auto"/>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 (incorporated by reference to Exhibit 10.2 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-925195</wp:posOffset>
            </wp:positionH>
            <wp:positionV relativeFrom="paragraph">
              <wp:posOffset>0</wp:posOffset>
            </wp:positionV>
            <wp:extent cx="7071995"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right="20"/>
        <w:spacing w:after="0" w:line="249" w:lineRule="auto"/>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 Transportation and Infrastructure Master GP LLC (incorporated by reference to Exhibit 10.3 of the Company's Current Report on Form 8-K, filed on May 21, 2015).</w:t>
      </w:r>
    </w:p>
    <w:p>
      <w:pPr>
        <w:spacing w:after="0" w:line="39" w:lineRule="exact"/>
        <w:rPr>
          <w:rFonts w:ascii="Arial" w:cs="Arial" w:eastAsia="Arial" w:hAnsi="Arial"/>
          <w:sz w:val="14"/>
          <w:szCs w:val="14"/>
          <w:color w:val="auto"/>
        </w:rPr>
      </w:pPr>
    </w:p>
    <w:p>
      <w:pPr>
        <w:ind w:right="20"/>
        <w:spacing w:after="0" w:line="258" w:lineRule="auto"/>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 the Company's Current Report on Form 8-K, filed on May 21, 2015).</w:t>
      </w:r>
    </w:p>
    <w:p>
      <w:pPr>
        <w:spacing w:after="0" w:line="200" w:lineRule="exact"/>
        <w:rPr>
          <w:rFonts w:ascii="Arial" w:cs="Arial" w:eastAsia="Arial" w:hAnsi="Arial"/>
          <w:sz w:val="14"/>
          <w:szCs w:val="14"/>
          <w:color w:val="auto"/>
        </w:rPr>
      </w:pPr>
    </w:p>
    <w:p>
      <w:pPr>
        <w:sectPr>
          <w:pgSz w:w="11900" w:h="16838" w:orient="portrait"/>
          <w:cols w:equalWidth="0" w:num="2">
            <w:col w:w="1380" w:space="140"/>
            <w:col w:w="9660"/>
          </w:cols>
          <w:pgMar w:left="320" w:top="1035" w:right="399" w:bottom="1440" w:gutter="0" w:footer="0" w:header="0"/>
          <w:type w:val="continuous"/>
        </w:sectPr>
      </w:pPr>
    </w:p>
    <w:p>
      <w:pPr>
        <w:spacing w:after="0" w:line="288" w:lineRule="exact"/>
        <w:rPr>
          <w:rFonts w:ascii="Arial" w:cs="Arial" w:eastAsia="Arial" w:hAnsi="Arial"/>
          <w:sz w:val="14"/>
          <w:szCs w:val="14"/>
          <w:color w:val="auto"/>
        </w:rPr>
      </w:pPr>
    </w:p>
    <w:p>
      <w:pPr>
        <w:jc w:val="center"/>
        <w:ind w:right="-79"/>
        <w:spacing w:after="0"/>
        <w:rPr>
          <w:sz w:val="20"/>
          <w:szCs w:val="20"/>
          <w:color w:val="auto"/>
        </w:rPr>
      </w:pPr>
      <w:r>
        <w:rPr>
          <w:rFonts w:ascii="Arial" w:cs="Arial" w:eastAsia="Arial" w:hAnsi="Arial"/>
          <w:sz w:val="16"/>
          <w:szCs w:val="16"/>
          <w:color w:val="auto"/>
        </w:rPr>
        <w:t>87</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type w:val="continuous"/>
        </w:sectPr>
      </w:pPr>
    </w:p>
    <w:bookmarkStart w:id="88" w:name="page89"/>
    <w:bookmarkEnd w:id="88"/>
    <w:p>
      <w:pPr>
        <w:ind w:left="227"/>
        <w:spacing w:after="0"/>
        <w:tabs>
          <w:tab w:leader="none" w:pos="5866"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07199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40" w:lineRule="exact"/>
        <w:rPr>
          <w:sz w:val="20"/>
          <w:szCs w:val="20"/>
          <w:color w:val="auto"/>
        </w:rPr>
      </w:pPr>
    </w:p>
    <w:p>
      <w:pPr>
        <w:ind w:left="1027"/>
        <w:spacing w:after="0"/>
        <w:tabs>
          <w:tab w:leader="none" w:pos="1426" w:val="left"/>
        </w:tabs>
        <w:rPr>
          <w:rFonts w:ascii="Arial" w:cs="Arial" w:eastAsia="Arial" w:hAnsi="Arial"/>
          <w:sz w:val="14"/>
          <w:szCs w:val="14"/>
          <w:color w:val="0000FF"/>
        </w:rPr>
      </w:pPr>
      <w:hyperlink r:id="rId134">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spacing w:after="0" w:line="15" w:lineRule="exact"/>
        <w:rPr>
          <w:sz w:val="20"/>
          <w:szCs w:val="20"/>
          <w:color w:val="auto"/>
        </w:rPr>
      </w:pPr>
    </w:p>
    <w:p>
      <w:pPr>
        <w:ind w:left="1447"/>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42" w:lineRule="exact"/>
        <w:rPr>
          <w:sz w:val="20"/>
          <w:szCs w:val="20"/>
          <w:color w:val="auto"/>
        </w:rPr>
      </w:pPr>
    </w:p>
    <w:p>
      <w:pPr>
        <w:jc w:val="both"/>
        <w:ind w:left="1447" w:right="100" w:hanging="423"/>
        <w:spacing w:after="0" w:line="249" w:lineRule="auto"/>
        <w:tabs>
          <w:tab w:leader="none" w:pos="1426" w:val="left"/>
        </w:tabs>
        <w:rPr>
          <w:rFonts w:ascii="Arial" w:cs="Arial" w:eastAsia="Arial" w:hAnsi="Arial"/>
          <w:sz w:val="14"/>
          <w:szCs w:val="14"/>
          <w:color w:val="0000FF"/>
        </w:rPr>
      </w:pPr>
      <w:hyperlink r:id="rId135">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071995" cy="445770"/>
                    </a:xfrm>
                    <a:prstGeom prst="rect">
                      <a:avLst/>
                    </a:prstGeom>
                    <a:noFill/>
                  </pic:spPr>
                </pic:pic>
              </a:graphicData>
            </a:graphic>
          </wp:anchor>
        </w:drawing>
      </w:r>
    </w:p>
    <w:p>
      <w:pPr>
        <w:spacing w:after="0" w:line="19" w:lineRule="exact"/>
        <w:rPr>
          <w:sz w:val="20"/>
          <w:szCs w:val="20"/>
          <w:color w:val="auto"/>
        </w:rPr>
      </w:pPr>
    </w:p>
    <w:p>
      <w:pPr>
        <w:ind w:left="1447" w:hanging="423"/>
        <w:spacing w:after="0" w:line="247" w:lineRule="auto"/>
        <w:tabs>
          <w:tab w:leader="none" w:pos="1426" w:val="left"/>
        </w:tabs>
        <w:rPr>
          <w:rFonts w:ascii="Arial" w:cs="Arial" w:eastAsia="Arial" w:hAnsi="Arial"/>
          <w:sz w:val="14"/>
          <w:szCs w:val="14"/>
          <w:color w:val="0000FF"/>
        </w:rPr>
      </w:pPr>
      <w:hyperlink r:id="rId137">
        <w:r>
          <w:rPr>
            <w:rFonts w:ascii="Arial" w:cs="Arial" w:eastAsia="Arial" w:hAnsi="Arial"/>
            <w:sz w:val="14"/>
            <w:szCs w:val="14"/>
            <w:u w:val="single" w:color="auto"/>
            <w:color w:val="0000FF"/>
          </w:rPr>
          <w:t>10.7</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205" w:lineRule="exact"/>
        <w:rPr>
          <w:sz w:val="20"/>
          <w:szCs w:val="20"/>
          <w:color w:val="auto"/>
        </w:rPr>
      </w:pPr>
    </w:p>
    <w:p>
      <w:pPr>
        <w:ind w:left="1447" w:right="120" w:hanging="423"/>
        <w:spacing w:after="0" w:line="247" w:lineRule="auto"/>
        <w:tabs>
          <w:tab w:leader="none" w:pos="1426"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10.8</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071995" cy="445770"/>
                    </a:xfrm>
                    <a:prstGeom prst="rect">
                      <a:avLst/>
                    </a:prstGeom>
                    <a:noFill/>
                  </pic:spPr>
                </pic:pic>
              </a:graphicData>
            </a:graphic>
          </wp:anchor>
        </w:drawing>
      </w:r>
    </w:p>
    <w:p>
      <w:pPr>
        <w:spacing w:after="0" w:line="19" w:lineRule="exact"/>
        <w:rPr>
          <w:sz w:val="20"/>
          <w:szCs w:val="20"/>
          <w:color w:val="auto"/>
        </w:rPr>
      </w:pPr>
    </w:p>
    <w:p>
      <w:pPr>
        <w:ind w:left="1447" w:right="120" w:hanging="423"/>
        <w:spacing w:after="0" w:line="247" w:lineRule="auto"/>
        <w:tabs>
          <w:tab w:leader="none" w:pos="1426" w:val="left"/>
        </w:tabs>
        <w:rPr>
          <w:rFonts w:ascii="Arial" w:cs="Arial" w:eastAsia="Arial" w:hAnsi="Arial"/>
          <w:sz w:val="14"/>
          <w:szCs w:val="14"/>
          <w:color w:val="0000FF"/>
        </w:rPr>
      </w:pPr>
      <w:hyperlink r:id="rId140">
        <w:r>
          <w:rPr>
            <w:rFonts w:ascii="Arial" w:cs="Arial" w:eastAsia="Arial" w:hAnsi="Arial"/>
            <w:sz w:val="14"/>
            <w:szCs w:val="14"/>
            <w:u w:val="single" w:color="auto"/>
            <w:color w:val="0000FF"/>
          </w:rPr>
          <w:t>10.9</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39" w:lineRule="exact"/>
        <w:rPr>
          <w:sz w:val="20"/>
          <w:szCs w:val="20"/>
          <w:color w:val="auto"/>
        </w:rPr>
      </w:pPr>
    </w:p>
    <w:p>
      <w:pPr>
        <w:ind w:left="1447" w:right="20" w:hanging="503"/>
        <w:spacing w:after="0" w:line="249" w:lineRule="auto"/>
        <w:tabs>
          <w:tab w:leader="none" w:pos="1426" w:val="left"/>
        </w:tabs>
        <w:rPr>
          <w:rFonts w:ascii="Arial" w:cs="Arial" w:eastAsia="Arial" w:hAnsi="Arial"/>
          <w:sz w:val="14"/>
          <w:szCs w:val="14"/>
          <w:color w:val="0000FF"/>
        </w:rPr>
      </w:pPr>
      <w:hyperlink w:anchor="page91">
        <w:r>
          <w:rPr>
            <w:rFonts w:ascii="Arial" w:cs="Arial" w:eastAsia="Arial" w:hAnsi="Arial"/>
            <w:sz w:val="14"/>
            <w:szCs w:val="14"/>
            <w:u w:val="single" w:color="auto"/>
            <w:color w:val="0000FF"/>
          </w:rPr>
          <w:t>10.10</w:t>
        </w:r>
      </w:hyperlink>
      <w:r>
        <w:rPr>
          <w:rFonts w:ascii="Arial" w:cs="Arial" w:eastAsia="Arial" w:hAnsi="Arial"/>
          <w:sz w:val="14"/>
          <w:szCs w:val="14"/>
          <w:color w:val="0000FF"/>
        </w:rPr>
        <w:tab/>
        <w:t>Credit Agreement Amendment No. 4 dated as of May 11, 2020,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9" w:lineRule="exact"/>
        <w:rPr>
          <w:sz w:val="20"/>
          <w:szCs w:val="20"/>
          <w:color w:val="auto"/>
        </w:rPr>
      </w:pPr>
    </w:p>
    <w:p>
      <w:pPr>
        <w:ind w:left="1447" w:right="200" w:hanging="1447"/>
        <w:spacing w:after="0" w:line="278" w:lineRule="auto"/>
        <w:tabs>
          <w:tab w:leader="none" w:pos="943" w:val="left"/>
        </w:tabs>
        <w:numPr>
          <w:ilvl w:val="0"/>
          <w:numId w:val="40"/>
        </w:numPr>
        <w:rPr>
          <w:rFonts w:ascii="Arial" w:cs="Arial" w:eastAsia="Arial" w:hAnsi="Arial"/>
          <w:sz w:val="14"/>
          <w:szCs w:val="14"/>
          <w:color w:val="0000FF"/>
        </w:rPr>
      </w:pPr>
      <w:hyperlink r:id="rId142">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5" w:lineRule="exact"/>
        <w:rPr>
          <w:rFonts w:ascii="Arial" w:cs="Arial" w:eastAsia="Arial" w:hAnsi="Arial"/>
          <w:sz w:val="14"/>
          <w:szCs w:val="14"/>
          <w:color w:val="0000FF"/>
        </w:rPr>
      </w:pPr>
    </w:p>
    <w:p>
      <w:pPr>
        <w:ind w:left="1447" w:right="80" w:hanging="1447"/>
        <w:spacing w:after="0" w:line="259" w:lineRule="auto"/>
        <w:tabs>
          <w:tab w:leader="none" w:pos="943" w:val="left"/>
        </w:tabs>
        <w:numPr>
          <w:ilvl w:val="0"/>
          <w:numId w:val="40"/>
        </w:numPr>
        <w:rPr>
          <w:rFonts w:ascii="Arial" w:cs="Arial" w:eastAsia="Arial" w:hAnsi="Arial"/>
          <w:sz w:val="14"/>
          <w:szCs w:val="14"/>
          <w:color w:val="0000FF"/>
        </w:rPr>
      </w:pPr>
      <w:hyperlink r:id="rId143">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7071995"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447" w:right="60" w:hanging="503"/>
        <w:spacing w:after="0" w:line="249" w:lineRule="auto"/>
        <w:tabs>
          <w:tab w:leader="none" w:pos="1426" w:val="left"/>
        </w:tabs>
        <w:rPr>
          <w:rFonts w:ascii="Arial" w:cs="Arial" w:eastAsia="Arial" w:hAnsi="Arial"/>
          <w:sz w:val="14"/>
          <w:szCs w:val="14"/>
          <w:color w:val="0000FF"/>
        </w:rPr>
      </w:pPr>
      <w:hyperlink r:id="rId145">
        <w:r>
          <w:rPr>
            <w:rFonts w:ascii="Arial" w:cs="Arial" w:eastAsia="Arial" w:hAnsi="Arial"/>
            <w:sz w:val="14"/>
            <w:szCs w:val="14"/>
            <w:u w:val="single" w:color="auto"/>
            <w:color w:val="0000FF"/>
          </w:rPr>
          <w:t>10.13</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39" w:lineRule="exact"/>
        <w:rPr>
          <w:rFonts w:ascii="Arial" w:cs="Arial" w:eastAsia="Arial" w:hAnsi="Arial"/>
          <w:sz w:val="14"/>
          <w:szCs w:val="14"/>
          <w:color w:val="auto"/>
        </w:rPr>
      </w:pPr>
    </w:p>
    <w:p>
      <w:pPr>
        <w:ind w:left="1447" w:right="200" w:hanging="503"/>
        <w:spacing w:after="0" w:line="249" w:lineRule="auto"/>
        <w:tabs>
          <w:tab w:leader="none" w:pos="1426" w:val="left"/>
        </w:tabs>
        <w:rPr>
          <w:rFonts w:ascii="Arial" w:cs="Arial" w:eastAsia="Arial" w:hAnsi="Arial"/>
          <w:sz w:val="14"/>
          <w:szCs w:val="14"/>
          <w:color w:val="0000FF"/>
        </w:rPr>
      </w:pPr>
      <w:hyperlink r:id="rId146">
        <w:r>
          <w:rPr>
            <w:rFonts w:ascii="Arial" w:cs="Arial" w:eastAsia="Arial" w:hAnsi="Arial"/>
            <w:sz w:val="14"/>
            <w:szCs w:val="14"/>
            <w:u w:val="single" w:color="auto"/>
            <w:color w:val="0000FF"/>
          </w:rPr>
          <w:t>10.14</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47" w:right="580" w:hanging="1447"/>
        <w:spacing w:after="0" w:line="278" w:lineRule="auto"/>
        <w:tabs>
          <w:tab w:leader="none" w:pos="943" w:val="left"/>
        </w:tabs>
        <w:numPr>
          <w:ilvl w:val="0"/>
          <w:numId w:val="41"/>
        </w:numPr>
        <w:rPr>
          <w:rFonts w:ascii="Arial" w:cs="Arial" w:eastAsia="Arial" w:hAnsi="Arial"/>
          <w:sz w:val="14"/>
          <w:szCs w:val="14"/>
          <w:color w:val="0000FF"/>
        </w:rPr>
      </w:pPr>
      <w:hyperlink r:id="rId148">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5" w:lineRule="exact"/>
        <w:rPr>
          <w:rFonts w:ascii="Arial" w:cs="Arial" w:eastAsia="Arial" w:hAnsi="Arial"/>
          <w:sz w:val="14"/>
          <w:szCs w:val="14"/>
          <w:color w:val="auto"/>
        </w:rPr>
      </w:pPr>
    </w:p>
    <w:p>
      <w:pPr>
        <w:ind w:left="1447" w:hanging="503"/>
        <w:spacing w:after="0" w:line="249" w:lineRule="auto"/>
        <w:tabs>
          <w:tab w:leader="none" w:pos="1426" w:val="left"/>
        </w:tabs>
        <w:rPr>
          <w:rFonts w:ascii="Arial" w:cs="Arial" w:eastAsia="Arial" w:hAnsi="Arial"/>
          <w:sz w:val="14"/>
          <w:szCs w:val="14"/>
          <w:color w:val="0000FF"/>
        </w:rPr>
      </w:pPr>
      <w:hyperlink r:id="rId149">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47" w:right="20" w:hanging="503"/>
        <w:spacing w:after="0" w:line="249" w:lineRule="auto"/>
        <w:tabs>
          <w:tab w:leader="none" w:pos="1426" w:val="left"/>
        </w:tabs>
        <w:rPr>
          <w:rFonts w:ascii="Arial" w:cs="Arial" w:eastAsia="Arial" w:hAnsi="Arial"/>
          <w:sz w:val="14"/>
          <w:szCs w:val="14"/>
          <w:color w:val="0000FF"/>
        </w:rPr>
      </w:pPr>
      <w:hyperlink r:id="rId151">
        <w:r>
          <w:rPr>
            <w:rFonts w:ascii="Arial" w:cs="Arial" w:eastAsia="Arial" w:hAnsi="Arial"/>
            <w:sz w:val="14"/>
            <w:szCs w:val="14"/>
            <w:u w:val="single" w:color="auto"/>
            <w:color w:val="0000FF"/>
          </w:rPr>
          <w:t>10.17</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39" w:lineRule="exact"/>
        <w:rPr>
          <w:rFonts w:ascii="Arial" w:cs="Arial" w:eastAsia="Arial" w:hAnsi="Arial"/>
          <w:sz w:val="14"/>
          <w:szCs w:val="14"/>
          <w:color w:val="auto"/>
        </w:rPr>
      </w:pPr>
    </w:p>
    <w:p>
      <w:pPr>
        <w:ind w:left="1447" w:right="40" w:hanging="503"/>
        <w:spacing w:after="0" w:line="249" w:lineRule="auto"/>
        <w:tabs>
          <w:tab w:leader="none" w:pos="1426"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10.18</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342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47" w:right="100" w:hanging="503"/>
        <w:spacing w:after="0" w:line="249" w:lineRule="auto"/>
        <w:tabs>
          <w:tab w:leader="none" w:pos="1426" w:val="left"/>
        </w:tabs>
        <w:rPr>
          <w:rFonts w:ascii="Arial" w:cs="Arial" w:eastAsia="Arial" w:hAnsi="Arial"/>
          <w:sz w:val="14"/>
          <w:szCs w:val="14"/>
          <w:color w:val="0000FF"/>
        </w:rPr>
      </w:pPr>
      <w:hyperlink r:id="rId154">
        <w:r>
          <w:rPr>
            <w:rFonts w:ascii="Arial" w:cs="Arial" w:eastAsia="Arial" w:hAnsi="Arial"/>
            <w:sz w:val="14"/>
            <w:szCs w:val="14"/>
            <w:u w:val="single" w:color="auto"/>
            <w:color w:val="0000FF"/>
          </w:rPr>
          <w:t>10.19</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39" w:lineRule="exact"/>
        <w:rPr>
          <w:rFonts w:ascii="Arial" w:cs="Arial" w:eastAsia="Arial" w:hAnsi="Arial"/>
          <w:sz w:val="14"/>
          <w:szCs w:val="14"/>
          <w:color w:val="auto"/>
        </w:rPr>
      </w:pPr>
    </w:p>
    <w:p>
      <w:pPr>
        <w:ind w:left="1027"/>
        <w:spacing w:after="0"/>
        <w:tabs>
          <w:tab w:leader="none" w:pos="1426" w:val="left"/>
        </w:tabs>
        <w:rPr>
          <w:rFonts w:ascii="Arial" w:cs="Arial" w:eastAsia="Arial" w:hAnsi="Arial"/>
          <w:sz w:val="14"/>
          <w:szCs w:val="14"/>
          <w:color w:val="0000FF"/>
        </w:rPr>
      </w:pPr>
      <w:hyperlink w:anchor="page157">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707199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35" w:lineRule="exact"/>
        <w:rPr>
          <w:rFonts w:ascii="Arial" w:cs="Arial" w:eastAsia="Arial" w:hAnsi="Arial"/>
          <w:sz w:val="14"/>
          <w:szCs w:val="14"/>
          <w:color w:val="auto"/>
        </w:rPr>
      </w:pPr>
    </w:p>
    <w:p>
      <w:pPr>
        <w:ind w:left="1027"/>
        <w:spacing w:after="0"/>
        <w:tabs>
          <w:tab w:leader="none" w:pos="1426" w:val="left"/>
        </w:tabs>
        <w:rPr>
          <w:rFonts w:ascii="Arial" w:cs="Arial" w:eastAsia="Arial" w:hAnsi="Arial"/>
          <w:sz w:val="14"/>
          <w:szCs w:val="14"/>
          <w:color w:val="0000FF"/>
        </w:rPr>
      </w:pPr>
      <w:hyperlink w:anchor="page158">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55" w:lineRule="exact"/>
        <w:rPr>
          <w:rFonts w:ascii="Arial" w:cs="Arial" w:eastAsia="Arial" w:hAnsi="Arial"/>
          <w:sz w:val="14"/>
          <w:szCs w:val="14"/>
          <w:color w:val="auto"/>
        </w:rPr>
      </w:pPr>
    </w:p>
    <w:p>
      <w:pPr>
        <w:ind w:left="1027"/>
        <w:spacing w:after="0"/>
        <w:tabs>
          <w:tab w:leader="none" w:pos="1426" w:val="left"/>
        </w:tabs>
        <w:rPr>
          <w:rFonts w:ascii="Arial" w:cs="Arial" w:eastAsia="Arial" w:hAnsi="Arial"/>
          <w:sz w:val="14"/>
          <w:szCs w:val="14"/>
          <w:color w:val="0000FF"/>
        </w:rPr>
      </w:pPr>
      <w:hyperlink w:anchor="page159">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707199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35" w:lineRule="exact"/>
        <w:rPr>
          <w:rFonts w:ascii="Arial" w:cs="Arial" w:eastAsia="Arial" w:hAnsi="Arial"/>
          <w:sz w:val="14"/>
          <w:szCs w:val="14"/>
          <w:color w:val="auto"/>
        </w:rPr>
      </w:pPr>
    </w:p>
    <w:p>
      <w:pPr>
        <w:ind w:left="1027"/>
        <w:spacing w:after="0"/>
        <w:tabs>
          <w:tab w:leader="none" w:pos="1426" w:val="left"/>
        </w:tabs>
        <w:rPr>
          <w:rFonts w:ascii="Arial" w:cs="Arial" w:eastAsia="Arial" w:hAnsi="Arial"/>
          <w:sz w:val="14"/>
          <w:szCs w:val="14"/>
          <w:color w:val="0000FF"/>
        </w:rPr>
      </w:pPr>
      <w:hyperlink w:anchor="page160">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69" w:lineRule="exact"/>
        <w:rPr>
          <w:rFonts w:ascii="Arial" w:cs="Arial" w:eastAsia="Arial" w:hAnsi="Arial"/>
          <w:sz w:val="14"/>
          <w:szCs w:val="14"/>
          <w:color w:val="auto"/>
        </w:rPr>
      </w:pPr>
    </w:p>
    <w:p>
      <w:pPr>
        <w:ind w:left="1447" w:right="20" w:hanging="516"/>
        <w:spacing w:after="0" w:line="247" w:lineRule="auto"/>
        <w:tabs>
          <w:tab w:leader="none" w:pos="14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March 31, 2020,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707199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47" w:hanging="516"/>
        <w:spacing w:after="0"/>
        <w:tabs>
          <w:tab w:leader="none" w:pos="1447" w:val="left"/>
        </w:tabs>
        <w:numPr>
          <w:ilvl w:val="1"/>
          <w:numId w:val="4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1" w:lineRule="exact"/>
        <w:rPr>
          <w:rFonts w:ascii="Arial" w:cs="Arial" w:eastAsia="Arial" w:hAnsi="Arial"/>
          <w:sz w:val="14"/>
          <w:szCs w:val="14"/>
          <w:color w:val="auto"/>
        </w:rPr>
      </w:pPr>
    </w:p>
    <w:p>
      <w:pPr>
        <w:ind w:left="227" w:hanging="227"/>
        <w:spacing w:after="0"/>
        <w:tabs>
          <w:tab w:leader="none" w:pos="227"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707199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35" w:lineRule="exact"/>
        <w:rPr>
          <w:rFonts w:ascii="Arial" w:cs="Arial" w:eastAsia="Arial" w:hAnsi="Arial"/>
          <w:sz w:val="14"/>
          <w:szCs w:val="14"/>
          <w:color w:val="auto"/>
        </w:rPr>
      </w:pPr>
    </w:p>
    <w:p>
      <w:pPr>
        <w:ind w:left="227" w:hanging="227"/>
        <w:spacing w:after="0"/>
        <w:tabs>
          <w:tab w:leader="none" w:pos="227"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8" w:lineRule="exact"/>
        <w:rPr>
          <w:rFonts w:ascii="Arial" w:cs="Arial" w:eastAsia="Arial" w:hAnsi="Arial"/>
          <w:sz w:val="14"/>
          <w:szCs w:val="14"/>
          <w:color w:val="auto"/>
        </w:rPr>
      </w:pPr>
    </w:p>
    <w:p>
      <w:pPr>
        <w:jc w:val="center"/>
        <w:ind w:right="-46"/>
        <w:spacing w:after="0"/>
        <w:rPr>
          <w:sz w:val="20"/>
          <w:szCs w:val="20"/>
          <w:color w:val="auto"/>
        </w:rPr>
      </w:pPr>
      <w:r>
        <w:rPr>
          <w:rFonts w:ascii="Arial" w:cs="Arial" w:eastAsia="Arial" w:hAnsi="Arial"/>
          <w:sz w:val="16"/>
          <w:szCs w:val="16"/>
          <w:color w:val="auto"/>
        </w:rPr>
        <w:t>88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-40640</wp:posOffset>
            </wp:positionH>
            <wp:positionV relativeFrom="paragraph">
              <wp:posOffset>224790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7"/>
          </w:cols>
          <w:pgMar w:left="393" w:top="1098" w:right="4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18"/>
                <w:szCs w:val="18"/>
                <w:color w:val="auto"/>
              </w:rPr>
            </w:pPr>
          </w:p>
        </w:tc>
        <w:tc>
          <w:tcPr>
            <w:tcW w:w="3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Joseph P. Adams, Jr.</w:t>
            </w:r>
          </w:p>
        </w:tc>
        <w:tc>
          <w:tcPr>
            <w:tcW w:w="4480" w:type="dxa"/>
            <w:vAlign w:val="bottom"/>
          </w:tcPr>
          <w:p>
            <w:pPr>
              <w:ind w:left="3820"/>
              <w:spacing w:after="0"/>
              <w:rPr>
                <w:sz w:val="20"/>
                <w:szCs w:val="20"/>
                <w:color w:val="auto"/>
              </w:rPr>
            </w:pPr>
            <w:r>
              <w:rPr>
                <w:rFonts w:ascii="Arial" w:cs="Arial" w:eastAsia="Arial" w:hAnsi="Arial"/>
                <w:sz w:val="16"/>
                <w:szCs w:val="16"/>
                <w:color w:val="auto"/>
              </w:rPr>
              <w:t>Date:</w:t>
            </w:r>
          </w:p>
        </w:tc>
        <w:tc>
          <w:tcPr>
            <w:tcW w:w="1260" w:type="dxa"/>
            <w:vAlign w:val="bottom"/>
          </w:tcPr>
          <w:p>
            <w:pPr>
              <w:ind w:left="300"/>
              <w:spacing w:after="0"/>
              <w:rPr>
                <w:sz w:val="20"/>
                <w:szCs w:val="20"/>
                <w:color w:val="auto"/>
              </w:rPr>
            </w:pPr>
            <w:r>
              <w:rPr>
                <w:rFonts w:ascii="Arial" w:cs="Arial" w:eastAsia="Arial" w:hAnsi="Arial"/>
                <w:sz w:val="16"/>
                <w:szCs w:val="16"/>
                <w:color w:val="auto"/>
                <w:w w:val="98"/>
              </w:rPr>
              <w:t>July 31, 2020</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Joseph P. Adams, Jr.</w:t>
            </w:r>
          </w:p>
        </w:tc>
        <w:tc>
          <w:tcPr>
            <w:tcW w:w="4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Chairman and Chief Executive Officer</w:t>
            </w:r>
          </w:p>
        </w:tc>
        <w:tc>
          <w:tcPr>
            <w:tcW w:w="44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742"/>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Scott Christopher</w:t>
            </w:r>
          </w:p>
        </w:tc>
        <w:tc>
          <w:tcPr>
            <w:tcW w:w="60" w:type="dxa"/>
            <w:vAlign w:val="bottom"/>
          </w:tcPr>
          <w:p>
            <w:pPr>
              <w:spacing w:after="0"/>
              <w:rPr>
                <w:sz w:val="24"/>
                <w:szCs w:val="24"/>
                <w:color w:val="auto"/>
              </w:rPr>
            </w:pPr>
          </w:p>
        </w:tc>
        <w:tc>
          <w:tcPr>
            <w:tcW w:w="4480" w:type="dxa"/>
            <w:vAlign w:val="bottom"/>
          </w:tcPr>
          <w:p>
            <w:pPr>
              <w:ind w:left="3760"/>
              <w:spacing w:after="0"/>
              <w:rPr>
                <w:sz w:val="20"/>
                <w:szCs w:val="20"/>
                <w:color w:val="auto"/>
              </w:rPr>
            </w:pPr>
            <w:r>
              <w:rPr>
                <w:rFonts w:ascii="Arial" w:cs="Arial" w:eastAsia="Arial" w:hAnsi="Arial"/>
                <w:sz w:val="16"/>
                <w:szCs w:val="16"/>
                <w:color w:val="auto"/>
              </w:rPr>
              <w:t>Date:</w:t>
            </w:r>
          </w:p>
        </w:tc>
        <w:tc>
          <w:tcPr>
            <w:tcW w:w="1260" w:type="dxa"/>
            <w:vAlign w:val="bottom"/>
          </w:tcPr>
          <w:p>
            <w:pPr>
              <w:ind w:left="260"/>
              <w:spacing w:after="0"/>
              <w:rPr>
                <w:sz w:val="20"/>
                <w:szCs w:val="20"/>
                <w:color w:val="auto"/>
              </w:rPr>
            </w:pPr>
            <w:r>
              <w:rPr>
                <w:rFonts w:ascii="Arial" w:cs="Arial" w:eastAsia="Arial" w:hAnsi="Arial"/>
                <w:sz w:val="16"/>
                <w:szCs w:val="16"/>
                <w:color w:val="auto"/>
              </w:rPr>
              <w:t>July 31, 2020</w:t>
            </w:r>
          </w:p>
        </w:tc>
      </w:tr>
      <w:tr>
        <w:trPr>
          <w:trHeight w:val="223"/>
        </w:trPr>
        <w:tc>
          <w:tcPr>
            <w:tcW w:w="520" w:type="dxa"/>
            <w:vAlign w:val="bottom"/>
          </w:tcPr>
          <w:p>
            <w:pPr>
              <w:spacing w:after="0"/>
              <w:rPr>
                <w:sz w:val="19"/>
                <w:szCs w:val="19"/>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Scott Christopher</w:t>
            </w:r>
          </w:p>
        </w:tc>
        <w:tc>
          <w:tcPr>
            <w:tcW w:w="4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20" w:type="dxa"/>
            <w:vAlign w:val="bottom"/>
          </w:tcPr>
          <w:p>
            <w:pPr>
              <w:spacing w:after="0"/>
              <w:rPr>
                <w:sz w:val="21"/>
                <w:szCs w:val="21"/>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Chief Financial Officer</w:t>
            </w:r>
          </w:p>
        </w:tc>
        <w:tc>
          <w:tcPr>
            <w:tcW w:w="44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742"/>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Eun Nam</w:t>
            </w:r>
          </w:p>
        </w:tc>
        <w:tc>
          <w:tcPr>
            <w:tcW w:w="60" w:type="dxa"/>
            <w:vAlign w:val="bottom"/>
          </w:tcPr>
          <w:p>
            <w:pPr>
              <w:spacing w:after="0"/>
              <w:rPr>
                <w:sz w:val="24"/>
                <w:szCs w:val="24"/>
                <w:color w:val="auto"/>
              </w:rPr>
            </w:pPr>
          </w:p>
        </w:tc>
        <w:tc>
          <w:tcPr>
            <w:tcW w:w="4480" w:type="dxa"/>
            <w:vAlign w:val="bottom"/>
          </w:tcPr>
          <w:p>
            <w:pPr>
              <w:ind w:left="3760"/>
              <w:spacing w:after="0"/>
              <w:rPr>
                <w:sz w:val="20"/>
                <w:szCs w:val="20"/>
                <w:color w:val="auto"/>
              </w:rPr>
            </w:pPr>
            <w:r>
              <w:rPr>
                <w:rFonts w:ascii="Arial" w:cs="Arial" w:eastAsia="Arial" w:hAnsi="Arial"/>
                <w:sz w:val="16"/>
                <w:szCs w:val="16"/>
                <w:color w:val="auto"/>
              </w:rPr>
              <w:t>Date:</w:t>
            </w:r>
          </w:p>
        </w:tc>
        <w:tc>
          <w:tcPr>
            <w:tcW w:w="1260" w:type="dxa"/>
            <w:vAlign w:val="bottom"/>
          </w:tcPr>
          <w:p>
            <w:pPr>
              <w:ind w:left="260"/>
              <w:spacing w:after="0"/>
              <w:rPr>
                <w:sz w:val="20"/>
                <w:szCs w:val="20"/>
                <w:color w:val="auto"/>
              </w:rPr>
            </w:pPr>
            <w:r>
              <w:rPr>
                <w:rFonts w:ascii="Arial" w:cs="Arial" w:eastAsia="Arial" w:hAnsi="Arial"/>
                <w:sz w:val="16"/>
                <w:szCs w:val="16"/>
                <w:color w:val="auto"/>
              </w:rPr>
              <w:t>July 31, 2020</w:t>
            </w:r>
          </w:p>
        </w:tc>
      </w:tr>
      <w:tr>
        <w:trPr>
          <w:trHeight w:val="224"/>
        </w:trPr>
        <w:tc>
          <w:tcPr>
            <w:tcW w:w="520" w:type="dxa"/>
            <w:vAlign w:val="bottom"/>
          </w:tcPr>
          <w:p>
            <w:pPr>
              <w:spacing w:after="0"/>
              <w:rPr>
                <w:sz w:val="19"/>
                <w:szCs w:val="19"/>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Eun Nam</w:t>
            </w:r>
          </w:p>
        </w:tc>
        <w:tc>
          <w:tcPr>
            <w:tcW w:w="4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20" w:type="dxa"/>
            <w:vAlign w:val="bottom"/>
          </w:tcPr>
          <w:p>
            <w:pPr>
              <w:spacing w:after="0"/>
              <w:rPr>
                <w:sz w:val="21"/>
                <w:szCs w:val="21"/>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Chief Accounting Officer</w:t>
            </w:r>
          </w:p>
        </w:tc>
        <w:tc>
          <w:tcPr>
            <w:tcW w:w="44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945"/>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tcPr>
          <w:p>
            <w:pPr>
              <w:jc w:val="right"/>
              <w:ind w:right="2879"/>
              <w:spacing w:after="0"/>
              <w:rPr>
                <w:sz w:val="20"/>
                <w:szCs w:val="20"/>
                <w:color w:val="auto"/>
              </w:rPr>
            </w:pPr>
            <w:r>
              <w:rPr>
                <w:rFonts w:ascii="Arial" w:cs="Arial" w:eastAsia="Arial" w:hAnsi="Arial"/>
                <w:sz w:val="16"/>
                <w:szCs w:val="16"/>
                <w:color w:val="auto"/>
              </w:rPr>
              <w:t>89</w:t>
            </w:r>
          </w:p>
        </w:tc>
        <w:tc>
          <w:tcPr>
            <w:tcW w:w="126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10.10</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384" w:lineRule="exact"/>
        <w:rPr>
          <w:sz w:val="20"/>
          <w:szCs w:val="20"/>
          <w:color w:val="auto"/>
        </w:rPr>
      </w:pPr>
    </w:p>
    <w:p>
      <w:pPr>
        <w:jc w:val="both"/>
        <w:ind w:left="1960" w:firstLine="648"/>
        <w:spacing w:after="0" w:line="211" w:lineRule="auto"/>
        <w:rPr>
          <w:sz w:val="20"/>
          <w:szCs w:val="20"/>
          <w:color w:val="auto"/>
        </w:rPr>
      </w:pPr>
      <w:r>
        <w:rPr>
          <w:rFonts w:ascii="Arial" w:cs="Arial" w:eastAsia="Arial" w:hAnsi="Arial"/>
          <w:sz w:val="22"/>
          <w:szCs w:val="22"/>
          <w:color w:val="auto"/>
        </w:rPr>
        <w:t>AMENDMENT NO. 4 dated as of May 11, 2020 (this “</w:t>
      </w:r>
      <w:r>
        <w:rPr>
          <w:rFonts w:ascii="Arial" w:cs="Arial" w:eastAsia="Arial" w:hAnsi="Arial"/>
          <w:sz w:val="22"/>
          <w:szCs w:val="22"/>
          <w:u w:val="single" w:color="auto"/>
          <w:color w:val="auto"/>
        </w:rPr>
        <w:t>Amendment</w:t>
      </w:r>
      <w:r>
        <w:rPr>
          <w:rFonts w:ascii="Arial" w:cs="Arial" w:eastAsia="Arial" w:hAnsi="Arial"/>
          <w:sz w:val="22"/>
          <w:szCs w:val="22"/>
          <w:color w:val="auto"/>
        </w:rPr>
        <w:t>”), to the CREDIT AGREEMENT dated as of June 16, 2017 (as amended by Amendment No. 1, dated as of August 2, 2018, as further amended by Amendment No. 2, dated as of February 8, 2019, as further amended by Amendment No. 3, dated as of August 6, 2019, and as further amended, supplemented or otherwise modified prior to the date hereof,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FORTRESS TRANSPORTATION AND INFRASTRUCTURE INVESTORS LLC, a Delaware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each lender from time to time party thereto (each individually referred to therein as a “</w:t>
      </w:r>
      <w:r>
        <w:rPr>
          <w:rFonts w:ascii="Arial" w:cs="Arial" w:eastAsia="Arial" w:hAnsi="Arial"/>
          <w:sz w:val="22"/>
          <w:szCs w:val="22"/>
          <w:u w:val="single" w:color="auto"/>
          <w:color w:val="auto"/>
        </w:rPr>
        <w:t>Lender</w:t>
      </w:r>
      <w:r>
        <w:rPr>
          <w:rFonts w:ascii="Arial" w:cs="Arial" w:eastAsia="Arial" w:hAnsi="Arial"/>
          <w:sz w:val="22"/>
          <w:szCs w:val="22"/>
          <w:color w:val="auto"/>
        </w:rPr>
        <w:t>” and collectively as “</w:t>
      </w:r>
      <w:r>
        <w:rPr>
          <w:rFonts w:ascii="Arial" w:cs="Arial" w:eastAsia="Arial" w:hAnsi="Arial"/>
          <w:sz w:val="22"/>
          <w:szCs w:val="22"/>
          <w:u w:val="single" w:color="auto"/>
          <w:color w:val="auto"/>
        </w:rPr>
        <w:t>Lenders</w:t>
      </w:r>
      <w:r>
        <w:rPr>
          <w:rFonts w:ascii="Arial" w:cs="Arial" w:eastAsia="Arial" w:hAnsi="Arial"/>
          <w:sz w:val="22"/>
          <w:szCs w:val="22"/>
          <w:color w:val="auto"/>
        </w:rPr>
        <w:t>”) and JPMORGAN CHASE BANK, N.A.,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29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1"/>
          <w:szCs w:val="21"/>
          <w:color w:val="auto"/>
        </w:rPr>
        <w:t>A. The Borrower, through one of its indirect, wholly-owned Subsidiaries, desires to purchase the Specified Assets (as defined below) pursuant to a sale-leaseback transaction, and in connection therewith, enter into the Specified Acquisition Financing Documents (as defined below) and consummate the transactions contemplated thereby.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 In connection with the foregoing, the Borrower has requested that the Credit Agreement be amended as set forth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02" w:lineRule="exact"/>
        <w:rPr>
          <w:sz w:val="20"/>
          <w:szCs w:val="20"/>
          <w:color w:val="auto"/>
        </w:rPr>
      </w:pPr>
    </w:p>
    <w:p>
      <w:pPr>
        <w:jc w:val="both"/>
        <w:ind w:firstLine="564"/>
        <w:spacing w:after="0" w:line="263" w:lineRule="auto"/>
        <w:rPr>
          <w:sz w:val="20"/>
          <w:szCs w:val="20"/>
          <w:color w:val="auto"/>
        </w:rPr>
      </w:pPr>
      <w:r>
        <w:rPr>
          <w:rFonts w:ascii="Arial" w:cs="Arial" w:eastAsia="Arial" w:hAnsi="Arial"/>
          <w:sz w:val="22"/>
          <w:szCs w:val="22"/>
          <w:color w:val="auto"/>
        </w:rPr>
        <w:t>C. The Lenders party hereto are willing to so amend the Credit Agreement, in each case on the terms and subject to the conditions set forth herein.</w:t>
      </w:r>
    </w:p>
    <w:p>
      <w:pPr>
        <w:spacing w:after="0" w:line="14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Accordingly, in consideration of the mutual agreements herein contained and other good and valuable consideration, the sufficiency and receipt of which are hereby acknowledged, the parties hereto agree as follows:</w:t>
      </w:r>
    </w:p>
    <w:p>
      <w:pPr>
        <w:spacing w:after="0" w:line="294"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SECTION 1. Defined Terms.</w:t>
      </w:r>
      <w:r>
        <w:rPr>
          <w:rFonts w:ascii="Arial" w:cs="Arial" w:eastAsia="Arial" w:hAnsi="Arial"/>
          <w:sz w:val="22"/>
          <w:szCs w:val="22"/>
          <w:color w:val="auto"/>
        </w:rPr>
        <w:t xml:space="preserve"> Capitalized terms used and not defined herein shall have the meanings assigned to such terms in the Credit Agreement. The rules of interpretation set forth in Section 1.2 of the Credit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2. Amendments</w:t>
      </w:r>
      <w:r>
        <w:rPr>
          <w:rFonts w:ascii="Arial" w:cs="Arial" w:eastAsia="Arial" w:hAnsi="Arial"/>
          <w:sz w:val="22"/>
          <w:szCs w:val="22"/>
          <w:color w:val="auto"/>
        </w:rPr>
        <w:t>. Effective as of the Fourth Amendment Effective Date:</w:t>
      </w:r>
    </w:p>
    <w:p>
      <w:pPr>
        <w:spacing w:after="0" w:line="220" w:lineRule="exact"/>
        <w:rPr>
          <w:sz w:val="20"/>
          <w:szCs w:val="20"/>
          <w:color w:val="auto"/>
        </w:rPr>
      </w:pPr>
    </w:p>
    <w:p>
      <w:pPr>
        <w:ind w:left="1940" w:hanging="636"/>
        <w:spacing w:after="0"/>
        <w:tabs>
          <w:tab w:leader="none" w:pos="19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Section 1.01 of the Credit Agreement is hereby by adding the following definitions in the appropriate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alphabetical order:</w:t>
      </w:r>
    </w:p>
    <w:p>
      <w:pPr>
        <w:spacing w:after="0" w:line="202"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Revolver Aviation Collateral</w:t>
      </w:r>
      <w:r>
        <w:rPr>
          <w:rFonts w:ascii="Arial" w:cs="Arial" w:eastAsia="Arial" w:hAnsi="Arial"/>
          <w:sz w:val="22"/>
          <w:szCs w:val="22"/>
          <w:color w:val="auto"/>
        </w:rPr>
        <w:t>”: such specific assets as may be specified in the Aircraft Mortgage and Security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Specified Assets</w:t>
      </w:r>
      <w:r>
        <w:rPr>
          <w:rFonts w:ascii="Arial" w:cs="Arial" w:eastAsia="Arial" w:hAnsi="Arial"/>
          <w:sz w:val="22"/>
          <w:szCs w:val="22"/>
          <w:color w:val="auto"/>
        </w:rPr>
        <w:t>”: each aircraft listed on Schedule I to Amendment No. 4.</w:t>
      </w:r>
    </w:p>
    <w:p>
      <w:pPr>
        <w:sectPr>
          <w:pgSz w:w="11900" w:h="16838" w:orient="portrait"/>
          <w:cols w:equalWidth="0" w:num="1">
            <w:col w:w="11240"/>
          </w:cols>
          <w:pgMar w:left="320" w:top="98" w:right="339" w:bottom="1440" w:gutter="0" w:footer="0" w:header="0"/>
        </w:sectPr>
      </w:pPr>
    </w:p>
    <w:bookmarkStart w:id="91" w:name="page92"/>
    <w:bookmarkEnd w:id="91"/>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(a) any EEA Financial Institution or (b) any UK Financial Institution.”</w:t>
      </w:r>
    </w:p>
    <w:p>
      <w:pPr>
        <w:spacing w:after="0" w:line="247"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Aircraft Mortgage and Security Agreement</w:t>
      </w:r>
      <w:r>
        <w:rPr>
          <w:rFonts w:ascii="Arial" w:cs="Arial" w:eastAsia="Arial" w:hAnsi="Arial"/>
          <w:sz w:val="22"/>
          <w:szCs w:val="22"/>
          <w:color w:val="auto"/>
        </w:rPr>
        <w:t>”: the Aircraft Mortgage and Security Agreement substantially in the form of Annex A to Amendment No. 4 (as further amended, restated, supplemented, modified, extended, renewed or restated from time to time).”</w:t>
      </w:r>
    </w:p>
    <w:p>
      <w:pPr>
        <w:spacing w:after="0" w:line="212"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4</w:t>
      </w:r>
      <w:r>
        <w:rPr>
          <w:rFonts w:ascii="Arial" w:cs="Arial" w:eastAsia="Arial" w:hAnsi="Arial"/>
          <w:sz w:val="22"/>
          <w:szCs w:val="22"/>
          <w:color w:val="auto"/>
        </w:rPr>
        <w:t>”: Amendment No. 4, dated as of May 11, 2020, among the Borrower, the Lenders party thereto and the Administrative Agent.”</w:t>
      </w:r>
    </w:p>
    <w:p>
      <w:pPr>
        <w:spacing w:after="0" w:line="175" w:lineRule="exact"/>
        <w:rPr>
          <w:sz w:val="20"/>
          <w:szCs w:val="20"/>
          <w:color w:val="auto"/>
        </w:rPr>
      </w:pPr>
    </w:p>
    <w:p>
      <w:pPr>
        <w:jc w:val="both"/>
        <w:ind w:left="18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Appraised Value</w:t>
      </w:r>
      <w:r>
        <w:rPr>
          <w:rFonts w:ascii="Arial" w:cs="Arial" w:eastAsia="Arial" w:hAnsi="Arial"/>
          <w:sz w:val="19"/>
          <w:szCs w:val="19"/>
          <w:color w:val="auto"/>
        </w:rPr>
        <w:t>”: with respect to any aircraft as of any date of determination, the current market value (as defined by the International Society of Transport Aircraft Trading) of such aircraft as of such date, calculated pursuant to a “desk-top” appraisal conducted with respect to such aircraft by a Qualified Appraiser and delivered to the Administrative Agent on or within 60 days prior to such aircraft being a Mortgaged Aviation Asset.”</w:t>
      </w:r>
    </w:p>
    <w:p>
      <w:pPr>
        <w:spacing w:after="0" w:line="142" w:lineRule="exact"/>
        <w:rPr>
          <w:sz w:val="20"/>
          <w:szCs w:val="20"/>
          <w:color w:val="auto"/>
        </w:rPr>
      </w:pPr>
    </w:p>
    <w:p>
      <w:pPr>
        <w:jc w:val="both"/>
        <w:ind w:left="18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Associated Collateral</w:t>
      </w:r>
      <w:r>
        <w:rPr>
          <w:rFonts w:ascii="Arial" w:cs="Arial" w:eastAsia="Arial" w:hAnsi="Arial"/>
          <w:sz w:val="19"/>
          <w:szCs w:val="19"/>
          <w:color w:val="auto"/>
        </w:rPr>
        <w:t>”: with respect to each Specified Asset and Additional Specified Asset, (a) all appliances, parts, components, instruments, appurtenances, accessories, furnishings, seats and other equipment of whatever nature with respect thereto, (b) all technical data, manuals and log books, and all inspection, modification and overhaul records and other service, repair, maintenance and technical records that are required pursuant to applicable law to be maintained with respect thereto, and all additions, renewals, revisions and replacements of any such materials from time to time made, or required to be made, pursuant to applicable law, and in each case in whatever form and by whatever means or medium (including, without limitation, microfiche, microfilm, paper or computer disk) such materials may be maintained or retained by the relevant lessee, (c) each bill of sale or any contract of sale with respect thereto, (d) all proceeds of insurance with respect to the Specified Assets and Additional Specified Assets and (e) all security assignments, cash deposit agreements and other security agreements executed in favor of the Subsidiary owning such asset in respect thereof and all property of whatever nature, in each case pledged, assigned or transferred to such Subsidiary or mortgaged or charged in its favor pursuant to any such assignment or agreement.”</w:t>
      </w:r>
    </w:p>
    <w:p>
      <w:pPr>
        <w:spacing w:after="0" w:line="166"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the sum of: (a) the alternate benchmark rate (which may include SOFR-Based Rate) that has been selected by the Administrative Agent and the Borrower giving due consideration to (i) any selection or recommendation of a replacement rate or the mechanism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1428" w:right="339" w:bottom="1440" w:gutter="0" w:footer="0" w:header="0"/>
        </w:sectPr>
      </w:pPr>
    </w:p>
    <w:bookmarkStart w:id="92" w:name="page93"/>
    <w:bookmarkEnd w:id="92"/>
    <w:p>
      <w:pPr>
        <w:jc w:val="both"/>
        <w:ind w:left="180"/>
        <w:spacing w:after="0" w:line="248" w:lineRule="auto"/>
        <w:rPr>
          <w:sz w:val="20"/>
          <w:szCs w:val="20"/>
          <w:color w:val="auto"/>
        </w:rPr>
      </w:pPr>
      <w:r>
        <w:rPr>
          <w:rFonts w:ascii="Arial" w:cs="Arial" w:eastAsia="Arial" w:hAnsi="Arial"/>
          <w:sz w:val="22"/>
          <w:szCs w:val="22"/>
          <w:color w:val="auto"/>
        </w:rPr>
        <w:t xml:space="preserve">determining such a rate by the Relevant Governmental Body or (ii) any evolving or then-prevailing market convention for determining a rate of interest as a replacement to the LIBO Rate for U.S. dollar-denominated syndicated credit facilities and (b) the Benchmark Replacement Adjustment;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Benchmark Replacement as so determined would be less than zero, the Benchmark Replacement will be deemed to be zero for the purposes of this Agreement.”</w:t>
      </w:r>
    </w:p>
    <w:p>
      <w:pPr>
        <w:spacing w:after="0" w:line="192" w:lineRule="exact"/>
        <w:rPr>
          <w:sz w:val="20"/>
          <w:szCs w:val="20"/>
          <w:color w:val="auto"/>
        </w:rPr>
      </w:pPr>
    </w:p>
    <w:p>
      <w:pPr>
        <w:jc w:val="both"/>
        <w:ind w:left="18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with respect to any replacement of the LIBO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or (ii) any evolving or then-prevailing market convention for determining a spread adjustment, or method for calculating or determining such spread adjustment, for the replacement of the LIBO Rate with the applicable Unadjusted Benchmark Replacement for U.S. dollar-denominated syndicated credit facilities at such time.”</w:t>
      </w:r>
    </w:p>
    <w:p>
      <w:pPr>
        <w:spacing w:after="0" w:line="157" w:lineRule="exact"/>
        <w:rPr>
          <w:sz w:val="20"/>
          <w:szCs w:val="20"/>
          <w:color w:val="auto"/>
        </w:rPr>
      </w:pPr>
    </w:p>
    <w:p>
      <w:pPr>
        <w:jc w:val="both"/>
        <w:ind w:left="18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the earlier to occur of the following events with respect to the LIBO Rate:</w:t>
      </w:r>
    </w:p>
    <w:p>
      <w:pPr>
        <w:spacing w:after="0" w:line="231" w:lineRule="exact"/>
        <w:rPr>
          <w:sz w:val="20"/>
          <w:szCs w:val="20"/>
          <w:color w:val="auto"/>
        </w:rPr>
      </w:pPr>
    </w:p>
    <w:p>
      <w:pPr>
        <w:ind w:left="500" w:hanging="316"/>
        <w:spacing w:after="0"/>
        <w:tabs>
          <w:tab w:leader="none" w:pos="500" w:val="left"/>
        </w:tabs>
        <w:numPr>
          <w:ilvl w:val="0"/>
          <w:numId w:val="46"/>
        </w:numPr>
        <w:rPr>
          <w:rFonts w:ascii="Arial" w:cs="Arial" w:eastAsia="Arial" w:hAnsi="Arial"/>
          <w:sz w:val="20"/>
          <w:szCs w:val="20"/>
          <w:color w:val="auto"/>
        </w:rPr>
      </w:pPr>
      <w:r>
        <w:rPr>
          <w:rFonts w:ascii="Arial" w:cs="Arial" w:eastAsia="Arial" w:hAnsi="Arial"/>
          <w:sz w:val="22"/>
          <w:szCs w:val="22"/>
          <w:color w:val="auto"/>
        </w:rPr>
        <w:t>in the case of clause (1) or (2) of the definition of “Benchmark Transition Event,” the later of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9" w:lineRule="exact"/>
        <w:rPr>
          <w:rFonts w:ascii="Arial" w:cs="Arial" w:eastAsia="Arial" w:hAnsi="Arial"/>
          <w:sz w:val="20"/>
          <w:szCs w:val="20"/>
          <w:color w:val="auto"/>
        </w:rPr>
      </w:pPr>
    </w:p>
    <w:p>
      <w:pPr>
        <w:ind w:left="4460"/>
        <w:spacing w:after="0"/>
        <w:rPr>
          <w:rFonts w:ascii="Arial" w:cs="Arial" w:eastAsia="Arial" w:hAnsi="Arial"/>
          <w:sz w:val="20"/>
          <w:szCs w:val="20"/>
          <w:color w:val="auto"/>
        </w:rPr>
      </w:pPr>
      <w:r>
        <w:rPr>
          <w:rFonts w:ascii="Arial" w:cs="Arial" w:eastAsia="Arial" w:hAnsi="Arial"/>
          <w:sz w:val="22"/>
          <w:szCs w:val="22"/>
          <w:color w:val="auto"/>
        </w:rPr>
        <w:t>3</w:t>
      </w:r>
    </w:p>
    <w:p>
      <w:pPr>
        <w:sectPr>
          <w:pgSz w:w="11900" w:h="16838" w:orient="portrait"/>
          <w:cols w:equalWidth="0" w:num="1">
            <w:col w:w="10120"/>
          </w:cols>
          <w:pgMar w:left="1440" w:top="1428" w:right="339" w:bottom="1440" w:gutter="0" w:footer="0" w:header="0"/>
        </w:sectPr>
      </w:pPr>
    </w:p>
    <w:bookmarkStart w:id="93" w:name="page94"/>
    <w:bookmarkEnd w:id="93"/>
    <w:p>
      <w:pPr>
        <w:ind w:left="760" w:hanging="277"/>
        <w:spacing w:after="0" w:line="343" w:lineRule="auto"/>
        <w:tabs>
          <w:tab w:leader="none" w:pos="752" w:val="left"/>
        </w:tabs>
        <w:numPr>
          <w:ilvl w:val="1"/>
          <w:numId w:val="47"/>
        </w:numPr>
        <w:rPr>
          <w:rFonts w:ascii="Arial" w:cs="Arial" w:eastAsia="Arial" w:hAnsi="Arial"/>
          <w:sz w:val="18"/>
          <w:szCs w:val="18"/>
          <w:color w:val="auto"/>
        </w:rPr>
      </w:pPr>
      <w:r>
        <w:rPr>
          <w:rFonts w:ascii="Arial" w:cs="Arial" w:eastAsia="Arial" w:hAnsi="Arial"/>
          <w:sz w:val="19"/>
          <w:szCs w:val="19"/>
          <w:color w:val="auto"/>
        </w:rPr>
        <w:t>the date of the public statement or publication of information referenced therein and (b) the date on which the administrator of the LIBO Rate permanently or indefinitely ceases to provide the LIBO Rate; or</w:t>
      </w:r>
    </w:p>
    <w:p>
      <w:pPr>
        <w:spacing w:after="0" w:line="104" w:lineRule="exact"/>
        <w:rPr>
          <w:rFonts w:ascii="Arial" w:cs="Arial" w:eastAsia="Arial" w:hAnsi="Arial"/>
          <w:sz w:val="18"/>
          <w:szCs w:val="18"/>
          <w:color w:val="auto"/>
        </w:rPr>
      </w:pPr>
    </w:p>
    <w:p>
      <w:pPr>
        <w:ind w:left="500" w:right="20" w:hanging="316"/>
        <w:spacing w:after="0" w:line="263" w:lineRule="auto"/>
        <w:tabs>
          <w:tab w:leader="none" w:pos="488" w:val="left"/>
        </w:tabs>
        <w:numPr>
          <w:ilvl w:val="0"/>
          <w:numId w:val="48"/>
        </w:numPr>
        <w:rPr>
          <w:rFonts w:ascii="Arial" w:cs="Arial" w:eastAsia="Arial" w:hAnsi="Arial"/>
          <w:sz w:val="20"/>
          <w:szCs w:val="20"/>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75" w:lineRule="exact"/>
        <w:rPr>
          <w:sz w:val="20"/>
          <w:szCs w:val="20"/>
          <w:color w:val="auto"/>
        </w:rPr>
      </w:pPr>
    </w:p>
    <w:p>
      <w:pPr>
        <w:ind w:lef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the occurrence of one or more of the following events with respect to the LIBO Rate:</w:t>
      </w:r>
    </w:p>
    <w:p>
      <w:pPr>
        <w:spacing w:after="0" w:line="175" w:lineRule="exact"/>
        <w:rPr>
          <w:sz w:val="20"/>
          <w:szCs w:val="20"/>
          <w:color w:val="auto"/>
        </w:rPr>
      </w:pPr>
    </w:p>
    <w:p>
      <w:pPr>
        <w:jc w:val="both"/>
        <w:ind w:left="500" w:hanging="316"/>
        <w:spacing w:after="0" w:line="250" w:lineRule="auto"/>
        <w:tabs>
          <w:tab w:leader="none" w:pos="488" w:val="left"/>
        </w:tabs>
        <w:numPr>
          <w:ilvl w:val="0"/>
          <w:numId w:val="49"/>
        </w:numPr>
        <w:rPr>
          <w:rFonts w:ascii="Arial" w:cs="Arial" w:eastAsia="Arial" w:hAnsi="Arial"/>
          <w:sz w:val="20"/>
          <w:szCs w:val="20"/>
          <w:color w:val="auto"/>
        </w:rPr>
      </w:pPr>
      <w:r>
        <w:rPr>
          <w:rFonts w:ascii="Arial" w:cs="Arial" w:eastAsia="Arial" w:hAnsi="Arial"/>
          <w:sz w:val="22"/>
          <w:szCs w:val="22"/>
          <w:color w:val="auto"/>
        </w:rPr>
        <w:t xml:space="preserve">a public statement or publication of information by or on behalf of the administrator of the LIBO Rate announcing that such administrator has ceased or will cease to provide the LIBO Rate,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the LIBO Rate;</w:t>
      </w:r>
    </w:p>
    <w:p>
      <w:pPr>
        <w:spacing w:after="0" w:line="187" w:lineRule="exact"/>
        <w:rPr>
          <w:rFonts w:ascii="Arial" w:cs="Arial" w:eastAsia="Arial" w:hAnsi="Arial"/>
          <w:sz w:val="20"/>
          <w:szCs w:val="20"/>
          <w:color w:val="auto"/>
        </w:rPr>
      </w:pPr>
    </w:p>
    <w:p>
      <w:pPr>
        <w:jc w:val="both"/>
        <w:ind w:left="500" w:hanging="316"/>
        <w:spacing w:after="0" w:line="260" w:lineRule="auto"/>
        <w:tabs>
          <w:tab w:leader="none" w:pos="488" w:val="left"/>
        </w:tabs>
        <w:numPr>
          <w:ilvl w:val="0"/>
          <w:numId w:val="49"/>
        </w:numPr>
        <w:rPr>
          <w:rFonts w:ascii="Arial" w:cs="Arial" w:eastAsia="Arial" w:hAnsi="Arial"/>
          <w:sz w:val="19"/>
          <w:szCs w:val="19"/>
          <w:color w:val="auto"/>
        </w:rPr>
      </w:pPr>
      <w:r>
        <w:rPr>
          <w:rFonts w:ascii="Arial" w:cs="Arial" w:eastAsia="Arial" w:hAnsi="Arial"/>
          <w:sz w:val="21"/>
          <w:szCs w:val="21"/>
          <w:color w:val="auto"/>
        </w:rPr>
        <w:t xml:space="preserve">a public statement or publication of information by the regulatory supervisor for the administrator of the LIBO Rate, the U.S. Federal Reserve System, an insolvency official with jurisdiction over the administrator for the LIBO Rate, a resolution authority with jurisdiction over the administrator for the LIBO Rate or a court or an entity with similar insolvency or resolution authority over the administrator for the LIBO Rate, which states that the administrator of the LIBO Rate has ceased or will cease to provide the LIBO Rate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the LIBO Rate; or</w:t>
      </w:r>
    </w:p>
    <w:p>
      <w:pPr>
        <w:spacing w:after="0" w:line="180" w:lineRule="exact"/>
        <w:rPr>
          <w:rFonts w:ascii="Arial" w:cs="Arial" w:eastAsia="Arial" w:hAnsi="Arial"/>
          <w:sz w:val="19"/>
          <w:szCs w:val="19"/>
          <w:color w:val="auto"/>
        </w:rPr>
      </w:pPr>
    </w:p>
    <w:p>
      <w:pPr>
        <w:ind w:left="500" w:hanging="316"/>
        <w:spacing w:after="0" w:line="263" w:lineRule="auto"/>
        <w:tabs>
          <w:tab w:leader="none" w:pos="488" w:val="left"/>
        </w:tabs>
        <w:numPr>
          <w:ilvl w:val="0"/>
          <w:numId w:val="49"/>
        </w:numPr>
        <w:rPr>
          <w:rFonts w:ascii="Arial" w:cs="Arial" w:eastAsia="Arial" w:hAnsi="Arial"/>
          <w:sz w:val="20"/>
          <w:szCs w:val="20"/>
          <w:color w:val="auto"/>
        </w:rPr>
      </w:pPr>
      <w:r>
        <w:rPr>
          <w:rFonts w:ascii="Arial" w:cs="Arial" w:eastAsia="Arial" w:hAnsi="Arial"/>
          <w:sz w:val="22"/>
          <w:szCs w:val="22"/>
          <w:color w:val="auto"/>
        </w:rPr>
        <w:t>a public statement or publication of information by the regulatory supervisor for the administrator of the LIBO Rate announcing that the LIBO Rate is no longer representative.”</w:t>
      </w:r>
    </w:p>
    <w:p>
      <w:pPr>
        <w:spacing w:after="0" w:line="175" w:lineRule="exact"/>
        <w:rPr>
          <w:sz w:val="20"/>
          <w:szCs w:val="20"/>
          <w:color w:val="auto"/>
        </w:rPr>
      </w:pPr>
    </w:p>
    <w:p>
      <w:pPr>
        <w:jc w:val="both"/>
        <w:ind w:left="1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Start Date</w:t>
      </w:r>
      <w:r>
        <w:rPr>
          <w:rFonts w:ascii="Arial" w:cs="Arial" w:eastAsia="Arial" w:hAnsi="Arial"/>
          <w:sz w:val="21"/>
          <w:szCs w:val="21"/>
          <w:color w:val="auto"/>
        </w:rPr>
        <w:t>”: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and the Borrower or the Required Lenders and the Borrower, as applicable, by notice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28" w:right="339" w:bottom="1440" w:gutter="0" w:footer="0" w:header="0"/>
        </w:sectPr>
      </w:pPr>
    </w:p>
    <w:bookmarkStart w:id="94" w:name="page95"/>
    <w:bookmarkEnd w:id="94"/>
    <w:p>
      <w:pPr>
        <w:ind w:left="180"/>
        <w:spacing w:after="0"/>
        <w:rPr>
          <w:sz w:val="20"/>
          <w:szCs w:val="20"/>
          <w:color w:val="auto"/>
        </w:rPr>
      </w:pPr>
      <w:r>
        <w:rPr>
          <w:rFonts w:ascii="Arial" w:cs="Arial" w:eastAsia="Arial" w:hAnsi="Arial"/>
          <w:sz w:val="22"/>
          <w:szCs w:val="22"/>
          <w:color w:val="auto"/>
        </w:rPr>
        <w:t>Agent (in the case of such notice by the Borrower and the Required Lenders) and the Lenders.”</w:t>
      </w:r>
    </w:p>
    <w:p>
      <w:pPr>
        <w:spacing w:after="0" w:line="220" w:lineRule="exact"/>
        <w:rPr>
          <w:sz w:val="20"/>
          <w:szCs w:val="20"/>
          <w:color w:val="auto"/>
        </w:rPr>
      </w:pPr>
    </w:p>
    <w:p>
      <w:pPr>
        <w:jc w:val="both"/>
        <w:ind w:left="180"/>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if a Benchmark Transition Event and its related Benchmark Replacement Date have occurred with respect to the LIBO Rate and solely to the extent that the LIBO Rate has not been replaced with a Benchmark Replacement, the period (x) beginning at the time that such Benchmark Replacement Date has occurred if, at such time, no Benchmark Replacement has replaced the LIBO Rate for all purposes hereunder in accordance with Section 2.15(b) and (y) ending at the time that a Benchmark Replacement has replaced the LIBO Rate for all purposes hereunder pursuant to Section 2.15(b).”</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as defined in Section 9.22 hereto.”</w:t>
      </w:r>
    </w:p>
    <w:p>
      <w:pPr>
        <w:spacing w:after="0" w:line="220" w:lineRule="exact"/>
        <w:rPr>
          <w:sz w:val="20"/>
          <w:szCs w:val="20"/>
          <w:color w:val="auto"/>
        </w:rPr>
      </w:pPr>
    </w:p>
    <w:p>
      <w:pPr>
        <w:jc w:val="both"/>
        <w:ind w:left="18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Compounded SOFR</w:t>
      </w:r>
      <w:r>
        <w:rPr>
          <w:rFonts w:ascii="Arial" w:cs="Arial" w:eastAsia="Arial" w:hAnsi="Arial"/>
          <w:sz w:val="19"/>
          <w:szCs w:val="19"/>
          <w:color w:val="auto"/>
        </w:rPr>
        <w:t>”: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42" w:lineRule="exact"/>
        <w:rPr>
          <w:sz w:val="20"/>
          <w:szCs w:val="20"/>
          <w:color w:val="auto"/>
        </w:rPr>
      </w:pPr>
    </w:p>
    <w:p>
      <w:pPr>
        <w:ind w:left="180" w:firstLine="4"/>
        <w:spacing w:after="0" w:line="263" w:lineRule="auto"/>
        <w:tabs>
          <w:tab w:leader="none" w:pos="49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rate, or methodology for this rate, and conventions for this rate selected or recommended by the Relevant Governmental Body for determining compounded SOFR; or</w:t>
      </w:r>
    </w:p>
    <w:p>
      <w:pPr>
        <w:spacing w:after="0" w:line="174" w:lineRule="exact"/>
        <w:rPr>
          <w:rFonts w:ascii="Arial" w:cs="Arial" w:eastAsia="Arial" w:hAnsi="Arial"/>
          <w:sz w:val="22"/>
          <w:szCs w:val="22"/>
          <w:color w:val="auto"/>
        </w:rPr>
      </w:pPr>
    </w:p>
    <w:p>
      <w:pPr>
        <w:jc w:val="both"/>
        <w:ind w:left="180" w:firstLine="4"/>
        <w:spacing w:after="0" w:line="248" w:lineRule="auto"/>
        <w:tabs>
          <w:tab w:leader="none" w:pos="496"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192"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further</w:t>
      </w:r>
      <w:r>
        <w:rPr>
          <w:rFonts w:ascii="Arial" w:cs="Arial" w:eastAsia="Arial" w:hAnsi="Arial"/>
          <w:sz w:val="22"/>
          <w:szCs w:val="22"/>
          <w:color w:val="auto"/>
        </w:rPr>
        <w:t>, that if the Administrative Agent decides (in consultation with the Borrower) that any such rate,</w:t>
      </w:r>
      <w:r>
        <w:rPr>
          <w:rFonts w:ascii="Arial" w:cs="Arial" w:eastAsia="Arial" w:hAnsi="Arial"/>
          <w:sz w:val="22"/>
          <w:szCs w:val="22"/>
          <w:i w:val="1"/>
          <w:iCs w:val="1"/>
          <w:color w:val="auto"/>
        </w:rPr>
        <w:t xml:space="preserve"> </w:t>
      </w:r>
      <w:r>
        <w:rPr>
          <w:rFonts w:ascii="Arial" w:cs="Arial" w:eastAsia="Arial" w:hAnsi="Arial"/>
          <w:sz w:val="22"/>
          <w:szCs w:val="22"/>
          <w:color w:val="auto"/>
        </w:rPr>
        <w:t>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88"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 Benchmark Replacement means a tenor (including overnight) having approximately the same length (disregarding business day adjustment) as the applicable tenor for the applicable Interest Period with respect to the LIBO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28" w:right="339" w:bottom="1440" w:gutter="0" w:footer="0" w:header="0"/>
        </w:sectPr>
      </w:pPr>
    </w:p>
    <w:bookmarkStart w:id="95" w:name="page96"/>
    <w:bookmarkEnd w:id="95"/>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as defined in Section 9.22 hereto.”</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as defined in Section 9.22 hereto.”</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as defined in Section 9.22 hereto.”</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the occurrence of:</w:t>
      </w:r>
    </w:p>
    <w:p>
      <w:pPr>
        <w:spacing w:after="0" w:line="220" w:lineRule="exact"/>
        <w:rPr>
          <w:sz w:val="20"/>
          <w:szCs w:val="20"/>
          <w:color w:val="auto"/>
        </w:rPr>
      </w:pPr>
    </w:p>
    <w:p>
      <w:pPr>
        <w:jc w:val="both"/>
        <w:ind w:left="260" w:firstLine="653"/>
        <w:spacing w:after="0" w:line="263" w:lineRule="auto"/>
        <w:tabs>
          <w:tab w:leader="none" w:pos="1469" w:val="left"/>
        </w:tabs>
        <w:numPr>
          <w:ilvl w:val="0"/>
          <w:numId w:val="51"/>
        </w:numPr>
        <w:rPr>
          <w:rFonts w:ascii="Arial" w:cs="Arial" w:eastAsia="Arial" w:hAnsi="Arial"/>
          <w:sz w:val="17"/>
          <w:szCs w:val="17"/>
          <w:color w:val="auto"/>
        </w:rPr>
      </w:pPr>
      <w:r>
        <w:rPr>
          <w:rFonts w:ascii="Arial" w:cs="Arial" w:eastAsia="Arial" w:hAnsi="Arial"/>
          <w:sz w:val="21"/>
          <w:szCs w:val="21"/>
          <w:color w:val="auto"/>
        </w:rPr>
        <w:t>(i) a determination by the Administrative Agent or (ii) a notification by the Required Lenders to the Administrative Agent (with a copy to the Borrower) that the Required Lenders have determined, in each case, that Dollar-denominated syndicated credit facilities being executed at such time, or that include language similar to that contained in Section 2.15(b) are being executed or amended, as applicable, to incorporate or adopt a new benchmark interest rate to replace the LIBO Rate, and</w:t>
      </w:r>
    </w:p>
    <w:p>
      <w:pPr>
        <w:spacing w:after="0" w:line="175" w:lineRule="exact"/>
        <w:rPr>
          <w:rFonts w:ascii="Arial" w:cs="Arial" w:eastAsia="Arial" w:hAnsi="Arial"/>
          <w:sz w:val="17"/>
          <w:szCs w:val="17"/>
          <w:color w:val="auto"/>
        </w:rPr>
      </w:pPr>
    </w:p>
    <w:p>
      <w:pPr>
        <w:jc w:val="both"/>
        <w:ind w:left="260" w:firstLine="653"/>
        <w:spacing w:after="0" w:line="297" w:lineRule="auto"/>
        <w:tabs>
          <w:tab w:leader="none" w:pos="1469" w:val="left"/>
        </w:tabs>
        <w:numPr>
          <w:ilvl w:val="0"/>
          <w:numId w:val="51"/>
        </w:numPr>
        <w:rPr>
          <w:rFonts w:ascii="Arial" w:cs="Arial" w:eastAsia="Arial" w:hAnsi="Arial"/>
          <w:sz w:val="16"/>
          <w:szCs w:val="16"/>
          <w:color w:val="auto"/>
        </w:rPr>
      </w:pPr>
      <w:r>
        <w:rPr>
          <w:rFonts w:ascii="Arial" w:cs="Arial" w:eastAsia="Arial" w:hAnsi="Arial"/>
          <w:sz w:val="19"/>
          <w:szCs w:val="19"/>
          <w:color w:val="auto"/>
        </w:rPr>
        <w:t>(i) the election by the Administrative Agent and the Borrower or (ii) the election by the Required Lenders with the written consent of the Borrower (such consent not be unreasonably withheld or delayed) to declare that an Early Opt-in Election has occurred and the provision, as applicable, by the Administrative Agent and the Borrower of written notice of such election to the Borrower and the Lenders or by the Required Lenders of written notice of such election by the Required Lenders to the Administrative Agent.</w:t>
      </w:r>
    </w:p>
    <w:p>
      <w:pPr>
        <w:spacing w:after="0" w:line="147" w:lineRule="exact"/>
        <w:rPr>
          <w:sz w:val="20"/>
          <w:szCs w:val="20"/>
          <w:color w:val="auto"/>
        </w:rPr>
      </w:pPr>
    </w:p>
    <w:p>
      <w:pPr>
        <w:jc w:val="both"/>
        <w:ind w:left="1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Aviation Assets</w:t>
      </w:r>
      <w:r>
        <w:rPr>
          <w:rFonts w:ascii="Arial" w:cs="Arial" w:eastAsia="Arial" w:hAnsi="Arial"/>
          <w:sz w:val="21"/>
          <w:szCs w:val="21"/>
          <w:color w:val="auto"/>
        </w:rPr>
        <w:t xml:space="preserve">”: Aviation Assets that are commercial jet aircraft owned an Owner Subsidiary, which at the time they are subjected to an Aircraft Mortgage and Security Agreement are subject to an operating lease with a commercial passenger or freighter airline under which no payment, insolvency or other material lease default (however defined) exists and for which all registrations, filings, opinions and other requirements (including all UCC filings and registrations under the Cape Town Convention) required under the Aircraft Mortgage and Security Agreement shall have been duly made or delivered;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Eligible Aviation Assets shall not include any Excluded Aviation Assets.”</w:t>
      </w:r>
    </w:p>
    <w:p>
      <w:pPr>
        <w:spacing w:after="0" w:line="180"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the NYFRB website at http://www.newyorkfed.org, or any successor source.”</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IBA</w:t>
      </w:r>
      <w:r>
        <w:rPr>
          <w:rFonts w:ascii="Arial" w:cs="Arial" w:eastAsia="Arial" w:hAnsi="Arial"/>
          <w:sz w:val="22"/>
          <w:szCs w:val="22"/>
          <w:color w:val="auto"/>
        </w:rPr>
        <w:t>”: as defined in Section 1.05 hereof.”</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Aviation Borrowing Amount</w:t>
      </w:r>
      <w:r>
        <w:rPr>
          <w:rFonts w:ascii="Arial" w:cs="Arial" w:eastAsia="Arial" w:hAnsi="Arial"/>
          <w:sz w:val="22"/>
          <w:szCs w:val="22"/>
          <w:color w:val="auto"/>
        </w:rPr>
        <w:t>”: as defined in Section 5.14.”</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Aviation Assets</w:t>
      </w:r>
      <w:r>
        <w:rPr>
          <w:rFonts w:ascii="Arial" w:cs="Arial" w:eastAsia="Arial" w:hAnsi="Arial"/>
          <w:sz w:val="22"/>
          <w:szCs w:val="22"/>
          <w:color w:val="auto"/>
        </w:rPr>
        <w:t>”: as defined in Section 5.14.”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28" w:right="339" w:bottom="1440" w:gutter="0" w:footer="0" w:header="0"/>
        </w:sectPr>
      </w:pPr>
    </w:p>
    <w:bookmarkStart w:id="96" w:name="page97"/>
    <w:bookmarkEnd w:id="96"/>
    <w:p>
      <w:pPr>
        <w:jc w:val="both"/>
        <w:ind w:left="18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Owner Subsidiary</w:t>
      </w:r>
      <w:r>
        <w:rPr>
          <w:rFonts w:ascii="Arial" w:cs="Arial" w:eastAsia="Arial" w:hAnsi="Arial"/>
          <w:sz w:val="22"/>
          <w:szCs w:val="22"/>
          <w:color w:val="auto"/>
        </w:rPr>
        <w:t>”: any (a) entity (including trusts where the trustee is an institutional trustee or a Subsidiary) of which a Loan Party holds directly or indirectly 100% of the Equity Interests and which is incorporated or organized under the laws of the United States of America, any state thereof or the District of Columbia, the laws of Ireland or Bermuda, or the laws of any other jurisdiction that is approved by the Administrative Agent acting reasonably, in each case, that (b) (i) owns, directly or indirectly, one or more aircraft constituting Eligible Aviation Assets.”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as defined in Section 9.22 hereto.”</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as defined in Section 9.22 hereto.”</w:t>
      </w:r>
    </w:p>
    <w:p>
      <w:pPr>
        <w:spacing w:after="0" w:line="220" w:lineRule="exact"/>
        <w:rPr>
          <w:sz w:val="20"/>
          <w:szCs w:val="20"/>
          <w:color w:val="auto"/>
        </w:rPr>
      </w:pPr>
    </w:p>
    <w:p>
      <w:pPr>
        <w:jc w:val="both"/>
        <w:ind w:left="18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Appraiser</w:t>
      </w:r>
      <w:r>
        <w:rPr>
          <w:rFonts w:ascii="Arial" w:cs="Arial" w:eastAsia="Arial" w:hAnsi="Arial"/>
          <w:sz w:val="22"/>
          <w:szCs w:val="22"/>
          <w:color w:val="auto"/>
        </w:rPr>
        <w:t>”: Morten Beyer &amp; Agnew, Inc., or, if such appraisal firm is unavailable or in the Borrower’s judgment should be replaced, the Borrower may replace the foregoing appraisal firm with any of Alton Aviation Consultancy LLC, Avmark Inc., Ascend Worldwide Ltd., ICF SH&amp;E Inc., Aircraft Information Services, Inc. or Aviation Specialist Group, or with any such other appraisal firm selected and retained by the Borrower and reasonably approved by the Administrative Agent, in each case so long as such appraiser is certified by the International Society of Transport Aircraft Trading.”</w:t>
      </w:r>
    </w:p>
    <w:p>
      <w:pPr>
        <w:spacing w:after="0" w:line="193"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the Board and/or NYFRB, or a committee officially endorsed or convened by the Board and/or the NYFRB or any successor thereto.</w:t>
      </w:r>
    </w:p>
    <w:p>
      <w:pPr>
        <w:spacing w:after="0" w:line="175"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an EEA Resolution Authority or, with respect to any UK Financial Institution, a UK Resolution Authority.”</w:t>
      </w:r>
    </w:p>
    <w:p>
      <w:pPr>
        <w:spacing w:after="0" w:line="175"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SOFR-Based Rate</w:t>
      </w:r>
      <w:r>
        <w:rPr>
          <w:rFonts w:ascii="Arial" w:cs="Arial" w:eastAsia="Arial" w:hAnsi="Arial"/>
          <w:sz w:val="22"/>
          <w:szCs w:val="22"/>
          <w:color w:val="auto"/>
        </w:rPr>
        <w:t>”: SOFR, Term SOFR and Compounded SOFR.”</w:t>
      </w:r>
    </w:p>
    <w:p>
      <w:pPr>
        <w:spacing w:after="0" w:line="220"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Acquisition Financing Documents</w:t>
      </w:r>
      <w:r>
        <w:rPr>
          <w:rFonts w:ascii="Arial" w:cs="Arial" w:eastAsia="Arial" w:hAnsi="Arial"/>
          <w:sz w:val="22"/>
          <w:szCs w:val="22"/>
          <w:color w:val="auto"/>
        </w:rPr>
        <w:t>”: collectively, (i) the definitive documentation for the Specified Acquisition Indebtedness, (ii) the definitive documentation for any Specified Acquisition Refinancing Indebtedness and (iii) any guarantee and security agreements related to the foregoing.”</w:t>
      </w:r>
    </w:p>
    <w:p>
      <w:pPr>
        <w:spacing w:after="0" w:line="212"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Acquisition Indebtedness</w:t>
      </w:r>
      <w:r>
        <w:rPr>
          <w:rFonts w:ascii="Arial" w:cs="Arial" w:eastAsia="Arial" w:hAnsi="Arial"/>
          <w:sz w:val="22"/>
          <w:szCs w:val="22"/>
          <w:color w:val="auto"/>
        </w:rPr>
        <w:t>”: Indebtedness that (i) is in an aggregate principal amount not to exceed $170,000,000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20"/>
          </w:cols>
          <w:pgMar w:left="1440" w:top="1428" w:right="339" w:bottom="1440" w:gutter="0" w:footer="0" w:header="0"/>
        </w:sectPr>
      </w:pPr>
    </w:p>
    <w:bookmarkStart w:id="97" w:name="page98"/>
    <w:bookmarkEnd w:id="97"/>
    <w:p>
      <w:pPr>
        <w:jc w:val="both"/>
        <w:ind w:left="180"/>
        <w:spacing w:after="0" w:line="250" w:lineRule="auto"/>
        <w:rPr>
          <w:sz w:val="20"/>
          <w:szCs w:val="20"/>
          <w:color w:val="auto"/>
        </w:rPr>
      </w:pPr>
      <w:r>
        <w:rPr>
          <w:rFonts w:ascii="Arial" w:cs="Arial" w:eastAsia="Arial" w:hAnsi="Arial"/>
          <w:sz w:val="22"/>
          <w:szCs w:val="22"/>
          <w:color w:val="auto"/>
        </w:rPr>
        <w:t>outstanding, (ii) will not have a final maturity date less than 364 days after the date of execution of the definitive documentation for such Indebtedness, (iii) is used to finance the purchase of the Specified Assets, (iv) is on terms and conditions not materially less favorable to the Borrower than those in this Agreement and (v) is not secured by a Lien on any asset other than the Specified Collateral.”</w:t>
      </w:r>
    </w:p>
    <w:p>
      <w:pPr>
        <w:spacing w:after="0" w:line="215" w:lineRule="exact"/>
        <w:rPr>
          <w:sz w:val="20"/>
          <w:szCs w:val="20"/>
          <w:color w:val="auto"/>
        </w:rPr>
      </w:pPr>
    </w:p>
    <w:p>
      <w:pPr>
        <w:jc w:val="both"/>
        <w:ind w:left="18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Acquisition Refinancing Indebtedness</w:t>
      </w:r>
      <w:r>
        <w:rPr>
          <w:rFonts w:ascii="Arial" w:cs="Arial" w:eastAsia="Arial" w:hAnsi="Arial"/>
          <w:sz w:val="19"/>
          <w:szCs w:val="19"/>
          <w:color w:val="auto"/>
        </w:rPr>
        <w:t>”: any Indebtedness, Disqualified Stock or preferred stock issued to extend, replace, refund, refinance, renew or defease the Specified Acquisition Indebtedness, and any refinancing of such Indebtedness, Disqualified Stock or preferred stock, so long as such additional Indebtedness, Disqualified Stock or preferred stock (i) is in an aggregate principal amount no greater than the amount of such Indebtedness, Disqualified Stock or preferred stock being extended, replaced, refunded, refinanced, renewed or defeased, plus additional amounts incurred to pay interest, premiums (including tender premiums), defeasance costs, underwriting discounts, other costs and expenses and fees in connection therewith, (ii) is not secured by a Lien on any asset other than the Specified Collateral, (iii) does not have a final maturity date that is prior to the date that is 91 days following the Maturity Date, (iv) has a Weighted Average Life to Maturity which is not less than the remaining Weighted Average Life to Maturity of the Indebtedness, Disqualified Stock or preferred stock being extended, replaced, refunded, refinanced, renewed or defeased and (v) shall not include Indebtedness, Disqualified Stock or preferred stock of a Subsidiary that is not a Guarantor that refinances Indebtedness, Disqualified Stock or preferred stock of the Borrower or a Guarantor.”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Assets</w:t>
      </w:r>
      <w:r>
        <w:rPr>
          <w:rFonts w:ascii="Arial" w:cs="Arial" w:eastAsia="Arial" w:hAnsi="Arial"/>
          <w:sz w:val="22"/>
          <w:szCs w:val="22"/>
          <w:color w:val="auto"/>
        </w:rPr>
        <w:t>”: each aircraft listed on Schedule II to Amendment No. 4.</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Collateral</w:t>
      </w:r>
      <w:r>
        <w:rPr>
          <w:rFonts w:ascii="Arial" w:cs="Arial" w:eastAsia="Arial" w:hAnsi="Arial"/>
          <w:sz w:val="19"/>
          <w:szCs w:val="19"/>
          <w:color w:val="auto"/>
        </w:rPr>
        <w:t>”: the right, title and interest of the Borrower (or any of its indirect or direct Subsidiaries) in</w:t>
      </w:r>
    </w:p>
    <w:p>
      <w:pPr>
        <w:spacing w:after="0" w:line="56" w:lineRule="exact"/>
        <w:rPr>
          <w:sz w:val="20"/>
          <w:szCs w:val="20"/>
          <w:color w:val="auto"/>
        </w:rPr>
      </w:pPr>
    </w:p>
    <w:p>
      <w:pPr>
        <w:jc w:val="both"/>
        <w:ind w:left="180" w:firstLine="4"/>
        <w:spacing w:after="0" w:line="244" w:lineRule="auto"/>
        <w:tabs>
          <w:tab w:leader="none" w:pos="46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Specified Assets, (ii) the Additional Specified Assets, (iii) the Equity Interests of any Subsidiary of the Borrower that owns any Specified Assets or Additional Specified Assets so long as such Subsidiary does not own any other material assets, (iv) any Equity Interests of any Subsidiary of the Borrower that leases any Specified Assets or Additional Specified Assets from another Subsidiary of the Borrower so long as such pledged Subsidiary does not own any other material assets, (v) the Specified Leases, the (vi) the Associated Collateral and (vii) all proceeds of the foregoing.”</w:t>
      </w:r>
    </w:p>
    <w:p>
      <w:pPr>
        <w:spacing w:after="0" w:line="221" w:lineRule="exact"/>
        <w:rPr>
          <w:sz w:val="20"/>
          <w:szCs w:val="20"/>
          <w:color w:val="auto"/>
        </w:rPr>
      </w:pPr>
    </w:p>
    <w:p>
      <w:pPr>
        <w:ind w:left="180"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Leases</w:t>
      </w:r>
      <w:r>
        <w:rPr>
          <w:rFonts w:ascii="Arial" w:cs="Arial" w:eastAsia="Arial" w:hAnsi="Arial"/>
          <w:sz w:val="22"/>
          <w:szCs w:val="22"/>
          <w:color w:val="auto"/>
        </w:rPr>
        <w:t>”: the lease agreements relating to any Specified Assets and Additional Specified Assets listed on Schedule III to Amendment No. 4 and any other lease agreements relating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8" w:right="339" w:bottom="1440" w:gutter="0" w:footer="0" w:header="0"/>
        </w:sectPr>
      </w:pPr>
    </w:p>
    <w:bookmarkStart w:id="98" w:name="page99"/>
    <w:bookmarkEnd w:id="98"/>
    <w:p>
      <w:pPr>
        <w:jc w:val="both"/>
        <w:ind w:left="1300"/>
        <w:spacing w:after="0" w:line="263" w:lineRule="auto"/>
        <w:rPr>
          <w:sz w:val="20"/>
          <w:szCs w:val="20"/>
          <w:color w:val="auto"/>
        </w:rPr>
      </w:pPr>
      <w:r>
        <w:rPr>
          <w:rFonts w:ascii="Arial" w:cs="Arial" w:eastAsia="Arial" w:hAnsi="Arial"/>
          <w:sz w:val="22"/>
          <w:szCs w:val="22"/>
          <w:color w:val="auto"/>
        </w:rPr>
        <w:t>Specified Assets or Additional Specified Assets entered into from time to time while the Specified Acquisition Indebtedness or Specified Acquisition Refinancing Indebtedness remains outstanding.”</w:t>
      </w:r>
    </w:p>
    <w:p>
      <w:pPr>
        <w:spacing w:after="0" w:line="202"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Transactions</w:t>
      </w:r>
      <w:r>
        <w:rPr>
          <w:rFonts w:ascii="Arial" w:cs="Arial" w:eastAsia="Arial" w:hAnsi="Arial"/>
          <w:sz w:val="19"/>
          <w:szCs w:val="19"/>
          <w:color w:val="auto"/>
        </w:rPr>
        <w:t>”: (i) the acquisition and concurrent leaseback by the Borrower, through one of its indirect, wholly-owned Subsidiaries, of the Specified Assets and (ii) the execution, delivery and performance by the Borrower and certain Subsidiaries of the Borrower of the Specified Acquisition Financing Documents.”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as defined in Section 9.22 hereto.”</w:t>
      </w:r>
    </w:p>
    <w:p>
      <w:pPr>
        <w:spacing w:after="0" w:line="220"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the forward-looking term rate based on SOFR that has been selected or recommended by the Relevant Governmental Body.”</w:t>
      </w:r>
    </w:p>
    <w:p>
      <w:pPr>
        <w:spacing w:after="0" w:line="175"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xml:space="preserve">”: the Benchmark Replacement excluding the Benchmark Replacement Adjustment;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Unadjusted Benchmark Replacement as so determined would be less than zero, the Unadjusted Benchmark Replacement will be deemed to be zero for the purposes of this Agreement.”</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Regimes</w:t>
      </w:r>
      <w:r>
        <w:rPr>
          <w:rFonts w:ascii="Arial" w:cs="Arial" w:eastAsia="Arial" w:hAnsi="Arial"/>
          <w:sz w:val="22"/>
          <w:szCs w:val="22"/>
          <w:color w:val="auto"/>
        </w:rPr>
        <w:t>”: as defined in Section 9.22 hereto.”</w:t>
      </w:r>
    </w:p>
    <w:p>
      <w:pPr>
        <w:spacing w:after="0" w:line="220" w:lineRule="exact"/>
        <w:rPr>
          <w:sz w:val="20"/>
          <w:szCs w:val="20"/>
          <w:color w:val="auto"/>
        </w:rPr>
      </w:pPr>
    </w:p>
    <w:p>
      <w:pPr>
        <w:jc w:val="both"/>
        <w:ind w:firstLine="1304"/>
        <w:spacing w:after="0" w:line="253" w:lineRule="auto"/>
        <w:tabs>
          <w:tab w:leader="none" w:pos="193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definitions of “Bail-In Action,” “Bail-In Legislation,” “Excluded Aviation Assets,” “Security Documents” and “Write-Down and Conversion Powers” in Section 1.01 of the Credit Agreement are hereby amended and restated as follows:</w:t>
      </w:r>
    </w:p>
    <w:p>
      <w:pPr>
        <w:spacing w:after="0" w:line="18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(a) with respect to any EEA Member Country implementing Article 55 of Directive 2014/59/EU of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99" w:name="page100"/>
    <w:bookmarkEnd w:id="99"/>
    <w:p>
      <w:pPr>
        <w:jc w:val="both"/>
        <w:ind w:left="180"/>
        <w:spacing w:after="0" w:line="261" w:lineRule="auto"/>
        <w:rPr>
          <w:sz w:val="20"/>
          <w:szCs w:val="20"/>
          <w:color w:val="auto"/>
        </w:rPr>
      </w:pPr>
      <w:r>
        <w:rPr>
          <w:rFonts w:ascii="Arial" w:cs="Arial" w:eastAsia="Arial" w:hAnsi="Arial"/>
          <w:sz w:val="21"/>
          <w:szCs w:val="21"/>
          <w:color w:val="auto"/>
        </w:rPr>
        <w:t>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left="180"/>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Aviation Assets</w:t>
      </w:r>
      <w:r>
        <w:rPr>
          <w:rFonts w:ascii="Arial" w:cs="Arial" w:eastAsia="Arial" w:hAnsi="Arial"/>
          <w:sz w:val="21"/>
          <w:szCs w:val="21"/>
          <w:color w:val="auto"/>
        </w:rPr>
        <w:t>”: as defined in Section 6.13(a)(ii) hereto; provided that for so long as the Specified Acquisition Indebtedness or any Specified Acquisition Refinancing Indebtedness shall remain outstanding, any Aviation Assets that are Specified Collateral securing such Indebtedness shall constitute Excluded Aviation Assets for all purposes of this Agreement and the other Loan Documents.”</w:t>
      </w:r>
    </w:p>
    <w:p>
      <w:pPr>
        <w:spacing w:after="0" w:line="175" w:lineRule="exact"/>
        <w:rPr>
          <w:sz w:val="20"/>
          <w:szCs w:val="20"/>
          <w:color w:val="auto"/>
        </w:rPr>
      </w:pPr>
    </w:p>
    <w:p>
      <w:pPr>
        <w:jc w:val="both"/>
        <w:ind w:left="18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the collective reference to the Pledge Agreements, the Aircraft Mortgage and Security Agreement (if applicable) and all other security documents now or hereafter delivered to the Administrative Agent granting (or purporting to grant) a Lien on any Property of any Person to secure the Obligations, including any such security documents delivered to the Administrative Agent pursuant to Section 5.10.”</w:t>
      </w:r>
    </w:p>
    <w:p>
      <w:pPr>
        <w:spacing w:after="0" w:line="142" w:lineRule="exact"/>
        <w:rPr>
          <w:sz w:val="20"/>
          <w:szCs w:val="20"/>
          <w:color w:val="auto"/>
        </w:rPr>
      </w:pPr>
    </w:p>
    <w:p>
      <w:pPr>
        <w:jc w:val="both"/>
        <w:ind w:left="180"/>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9" w:lineRule="exact"/>
        <w:rPr>
          <w:sz w:val="20"/>
          <w:szCs w:val="20"/>
          <w:color w:val="auto"/>
        </w:rPr>
      </w:pPr>
    </w:p>
    <w:p>
      <w:pPr>
        <w:ind w:left="180" w:right="1940" w:firstLine="4"/>
        <w:spacing w:after="0" w:line="468" w:lineRule="auto"/>
        <w:tabs>
          <w:tab w:leader="none" w:pos="825"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The following new Section is hereby added as Section 1.05 of the Credit Agreement: “SECTION 1.05. </w:t>
      </w:r>
      <w:r>
        <w:rPr>
          <w:rFonts w:ascii="Arial" w:cs="Arial" w:eastAsia="Arial" w:hAnsi="Arial"/>
          <w:sz w:val="22"/>
          <w:szCs w:val="22"/>
          <w:u w:val="single" w:color="auto"/>
          <w:color w:val="auto"/>
        </w:rPr>
        <w:t>Interest Rates; LIBO Rate Notification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28" w:right="339" w:bottom="1440" w:gutter="0" w:footer="0" w:header="0"/>
        </w:sectPr>
      </w:pPr>
    </w:p>
    <w:bookmarkStart w:id="100" w:name="page101"/>
    <w:bookmarkEnd w:id="100"/>
    <w:p>
      <w:pPr>
        <w:jc w:val="both"/>
        <w:ind w:left="180"/>
        <w:spacing w:after="0" w:line="284" w:lineRule="auto"/>
        <w:rPr>
          <w:sz w:val="20"/>
          <w:szCs w:val="20"/>
          <w:color w:val="auto"/>
        </w:rPr>
      </w:pPr>
      <w:r>
        <w:rPr>
          <w:rFonts w:ascii="Arial" w:cs="Arial" w:eastAsia="Arial" w:hAnsi="Arial"/>
          <w:sz w:val="19"/>
          <w:szCs w:val="19"/>
          <w:color w:val="auto"/>
        </w:rPr>
        <w:t>The interest rate on Eurodollar Rate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9"/>
          <w:szCs w:val="19"/>
          <w:u w:val="single" w:color="auto"/>
          <w:color w:val="auto"/>
        </w:rPr>
        <w:t>IBA</w:t>
      </w:r>
      <w:r>
        <w:rPr>
          <w:rFonts w:ascii="Arial" w:cs="Arial" w:eastAsia="Arial" w:hAnsi="Arial"/>
          <w:sz w:val="19"/>
          <w:szCs w:val="19"/>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Rate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2.15 provides a mechanism for determining an alternative rate of interest. The Administrative Agent will promptly notify the Borrower, pursuant to Section 2.15,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2.15, whether upon the occurrence of a Benchmark Transition Event or an Early Opt-in Election, and (ii) the implementation of any Benchmark Replacement Conforming Changes pursuant to Section 2.15),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200" w:lineRule="exact"/>
        <w:rPr>
          <w:sz w:val="20"/>
          <w:szCs w:val="20"/>
          <w:color w:val="auto"/>
        </w:rPr>
      </w:pPr>
    </w:p>
    <w:p>
      <w:pPr>
        <w:spacing w:after="0" w:line="228" w:lineRule="exact"/>
        <w:rPr>
          <w:sz w:val="20"/>
          <w:szCs w:val="20"/>
          <w:color w:val="auto"/>
        </w:rPr>
      </w:pPr>
    </w:p>
    <w:p>
      <w:pPr>
        <w:ind w:left="180" w:right="1100" w:firstLine="4"/>
        <w:spacing w:after="0" w:line="448" w:lineRule="auto"/>
        <w:tabs>
          <w:tab w:leader="none" w:pos="823"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Section 2.15 of the Credit Agreement is hereby amended and restated in its entirety as follows: “SECTION 2.15. </w:t>
      </w:r>
      <w:r>
        <w:rPr>
          <w:rFonts w:ascii="Arial" w:cs="Arial" w:eastAsia="Arial" w:hAnsi="Arial"/>
          <w:sz w:val="22"/>
          <w:szCs w:val="22"/>
          <w:u w:val="single" w:color="auto"/>
          <w:color w:val="auto"/>
        </w:rPr>
        <w:t>Making or Maintaining Eurodollar Rate Loans</w:t>
      </w:r>
      <w:r>
        <w:rPr>
          <w:rFonts w:ascii="Arial" w:cs="Arial" w:eastAsia="Arial" w:hAnsi="Arial"/>
          <w:sz w:val="22"/>
          <w:szCs w:val="22"/>
          <w:color w:val="auto"/>
        </w:rPr>
        <w:t>.</w:t>
      </w:r>
    </w:p>
    <w:p>
      <w:pPr>
        <w:ind w:left="840" w:hanging="8"/>
        <w:spacing w:after="0" w:line="263" w:lineRule="auto"/>
        <w:tabs>
          <w:tab w:leader="none" w:pos="1485"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Inability to Determine Applicable Interest Rate</w:t>
      </w:r>
      <w:r>
        <w:rPr>
          <w:rFonts w:ascii="Arial" w:cs="Arial" w:eastAsia="Arial" w:hAnsi="Arial"/>
          <w:sz w:val="22"/>
          <w:szCs w:val="22"/>
          <w:color w:val="auto"/>
        </w:rPr>
        <w:t>. (x) If the commencement of any Interest Period for a Eurodollar 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1428" w:right="339" w:bottom="1440" w:gutter="0" w:footer="0" w:header="0"/>
        </w:sectPr>
      </w:pPr>
    </w:p>
    <w:bookmarkStart w:id="101" w:name="page102"/>
    <w:bookmarkEnd w:id="101"/>
    <w:p>
      <w:pPr>
        <w:jc w:val="both"/>
        <w:ind w:left="2120" w:hanging="1006"/>
        <w:spacing w:after="0" w:line="302" w:lineRule="auto"/>
        <w:tabs>
          <w:tab w:leader="none" w:pos="21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Eurodollar Rate or the LIBO Rate, as applicable (including because the LIBO Screen Rate is not available or published on a current basis), for such Interest Period;</w:t>
      </w:r>
    </w:p>
    <w:p>
      <w:pPr>
        <w:spacing w:after="0" w:line="142" w:lineRule="exact"/>
        <w:rPr>
          <w:rFonts w:ascii="Arial" w:cs="Arial" w:eastAsia="Arial" w:hAnsi="Arial"/>
          <w:sz w:val="19"/>
          <w:szCs w:val="19"/>
          <w:color w:val="auto"/>
        </w:rPr>
      </w:pPr>
    </w:p>
    <w:p>
      <w:pPr>
        <w:jc w:val="both"/>
        <w:ind w:left="2120" w:hanging="1065"/>
        <w:spacing w:after="0" w:line="250" w:lineRule="auto"/>
        <w:tabs>
          <w:tab w:leader="none" w:pos="2120"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Adjusted Eurodollar Rate or the LIBO Rate, as applicable, for such Interest Period will not adequately and fairly reflect the cost to such Lenders of making or maintaining their Loans included in such Borrowing for such Interest Period; or</w:t>
      </w:r>
    </w:p>
    <w:p>
      <w:pPr>
        <w:spacing w:after="0" w:line="187" w:lineRule="exact"/>
        <w:rPr>
          <w:rFonts w:ascii="Arial" w:cs="Arial" w:eastAsia="Arial" w:hAnsi="Arial"/>
          <w:sz w:val="22"/>
          <w:szCs w:val="22"/>
          <w:color w:val="auto"/>
        </w:rPr>
      </w:pPr>
    </w:p>
    <w:p>
      <w:pPr>
        <w:jc w:val="both"/>
        <w:ind w:left="2120" w:hanging="1206"/>
        <w:spacing w:after="0" w:line="253" w:lineRule="auto"/>
        <w:tabs>
          <w:tab w:leader="none" w:pos="21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Administrative Agent determines that deposits in Dollars are not being offered to banks in the applicable offshore interbank market for the applicable amount and the Interest Period of such Eurodollar Rate Loans in Dollars;</w:t>
      </w:r>
    </w:p>
    <w:p>
      <w:pPr>
        <w:spacing w:after="0" w:line="185" w:lineRule="exact"/>
        <w:rPr>
          <w:sz w:val="20"/>
          <w:szCs w:val="20"/>
          <w:color w:val="auto"/>
        </w:rPr>
      </w:pPr>
    </w:p>
    <w:p>
      <w:pPr>
        <w:jc w:val="both"/>
        <w:ind w:left="1320"/>
        <w:spacing w:after="0" w:line="288"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which the Administrative Agent agrees to do promptly thereafter, (A) any Conversion/Continuation Notice that requests the conversion of any Loan to, or continuation of any Loan as, a Eurodollar Rate Loan shall be ineffective and (B) if any Funding Notice requests a Eurodollar Rate Loan, such Borrowing shall be made as a Base Rate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circumstances giving rise to such notice affect only one Type of Borrowings, then the other Type of Borrowings shall be permitted;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each case, the Borrower may revoke any Conversion/Continuation Notice or Funding Notice that is pending when such notice is received.</w:t>
      </w:r>
    </w:p>
    <w:p>
      <w:pPr>
        <w:spacing w:after="0" w:line="159" w:lineRule="exact"/>
        <w:rPr>
          <w:sz w:val="20"/>
          <w:szCs w:val="20"/>
          <w:color w:val="auto"/>
        </w:rPr>
      </w:pPr>
    </w:p>
    <w:p>
      <w:pPr>
        <w:ind w:left="1480" w:hanging="648"/>
        <w:spacing w:after="0"/>
        <w:tabs>
          <w:tab w:leader="none" w:pos="14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Effect of Benchmark Transition Event.</w:t>
      </w:r>
    </w:p>
    <w:p>
      <w:pPr>
        <w:spacing w:after="0" w:line="219" w:lineRule="exact"/>
        <w:rPr>
          <w:rFonts w:ascii="Arial" w:cs="Arial" w:eastAsia="Arial" w:hAnsi="Arial"/>
          <w:sz w:val="22"/>
          <w:szCs w:val="22"/>
          <w:color w:val="auto"/>
        </w:rPr>
      </w:pPr>
    </w:p>
    <w:p>
      <w:pPr>
        <w:jc w:val="both"/>
        <w:ind w:left="1320" w:hanging="692"/>
        <w:spacing w:after="0" w:line="253" w:lineRule="auto"/>
        <w:tabs>
          <w:tab w:leader="none" w:pos="132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 Notwithstanding anything to the contrary herein or in any other Loan Document, upon the occurrence of a Benchmark Transition Event or an Early Opt-in Election, as applicable,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1440" w:top="1428" w:right="339" w:bottom="1440" w:gutter="0" w:footer="0" w:header="0"/>
        </w:sectPr>
      </w:pPr>
    </w:p>
    <w:bookmarkStart w:id="102" w:name="page103"/>
    <w:bookmarkEnd w:id="102"/>
    <w:p>
      <w:pPr>
        <w:jc w:val="both"/>
        <w:ind w:left="1320"/>
        <w:spacing w:after="0" w:line="286" w:lineRule="auto"/>
        <w:rPr>
          <w:sz w:val="20"/>
          <w:szCs w:val="20"/>
          <w:color w:val="auto"/>
        </w:rPr>
      </w:pPr>
      <w:r>
        <w:rPr>
          <w:rFonts w:ascii="Arial" w:cs="Arial" w:eastAsia="Arial" w:hAnsi="Arial"/>
          <w:sz w:val="19"/>
          <w:szCs w:val="19"/>
          <w:color w:val="auto"/>
        </w:rPr>
        <w:t xml:space="preserve">Borrower may amend this Agreement to replace the LIBO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proposed amendment from Lenders comprising the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such amendment to replace the LIBO Rate with a Benchmark Replacement, Lenders shall (i) not be entitled to object to any SOFR-Based Rate contained in such amendment and (ii) only be entitled to object to the Benchmark Replacement Adjustments with respect thereto. Any such amendment with respect to an Early Opt-in Election will become effective on the date that Lenders comprising the Required Lenders have delivered to the Administrative Agent written notice that such Required Lenders accept such amendment. No replacement of the LIBO Rate with a Benchmark Replacement pursuant to this Section 2.15(b) will occur prior to the applicable Benchmark Transition Start Date.</w:t>
      </w:r>
    </w:p>
    <w:p>
      <w:pPr>
        <w:spacing w:after="0" w:line="166" w:lineRule="exact"/>
        <w:rPr>
          <w:sz w:val="20"/>
          <w:szCs w:val="20"/>
          <w:color w:val="auto"/>
        </w:rPr>
      </w:pPr>
    </w:p>
    <w:p>
      <w:pPr>
        <w:jc w:val="both"/>
        <w:ind w:left="1720" w:hanging="908"/>
        <w:spacing w:after="0" w:line="261" w:lineRule="auto"/>
        <w:tabs>
          <w:tab w:leader="none" w:pos="172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9" w:lineRule="exact"/>
        <w:rPr>
          <w:rFonts w:ascii="Arial" w:cs="Arial" w:eastAsia="Arial" w:hAnsi="Arial"/>
          <w:sz w:val="21"/>
          <w:szCs w:val="21"/>
          <w:color w:val="auto"/>
        </w:rPr>
      </w:pPr>
    </w:p>
    <w:p>
      <w:pPr>
        <w:jc w:val="both"/>
        <w:ind w:left="1720" w:hanging="968"/>
        <w:spacing w:after="0" w:line="246" w:lineRule="auto"/>
        <w:tabs>
          <w:tab w:leader="none" w:pos="17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Notices; Standards for Decisions and Determinations</w:t>
      </w:r>
      <w:r>
        <w:rPr>
          <w:rFonts w:ascii="Arial" w:cs="Arial" w:eastAsia="Arial" w:hAnsi="Arial"/>
          <w:sz w:val="22"/>
          <w:szCs w:val="22"/>
          <w:color w:val="auto"/>
        </w:rPr>
        <w:t>.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428" w:right="339" w:bottom="1440" w:gutter="0" w:footer="0" w:header="0"/>
        </w:sectPr>
      </w:pPr>
    </w:p>
    <w:bookmarkStart w:id="103" w:name="page104"/>
    <w:bookmarkEnd w:id="103"/>
    <w:p>
      <w:pPr>
        <w:jc w:val="both"/>
        <w:ind w:left="1720"/>
        <w:spacing w:after="0" w:line="261" w:lineRule="auto"/>
        <w:rPr>
          <w:sz w:val="20"/>
          <w:szCs w:val="20"/>
          <w:color w:val="auto"/>
        </w:rPr>
      </w:pPr>
      <w:r>
        <w:rPr>
          <w:rFonts w:ascii="Arial" w:cs="Arial" w:eastAsia="Arial" w:hAnsi="Arial"/>
          <w:sz w:val="21"/>
          <w:szCs w:val="21"/>
          <w:color w:val="auto"/>
        </w:rPr>
        <w:t>made by the Administrative Agent, the Borrower or the Lenders pursuant to this Section 2.15(b),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2.15(b).</w:t>
      </w:r>
    </w:p>
    <w:p>
      <w:pPr>
        <w:spacing w:after="0" w:line="179" w:lineRule="exact"/>
        <w:rPr>
          <w:sz w:val="20"/>
          <w:szCs w:val="20"/>
          <w:color w:val="auto"/>
        </w:rPr>
      </w:pPr>
    </w:p>
    <w:p>
      <w:pPr>
        <w:jc w:val="both"/>
        <w:ind w:left="1720" w:hanging="714"/>
        <w:spacing w:after="0" w:line="292" w:lineRule="auto"/>
        <w:tabs>
          <w:tab w:leader="none" w:pos="172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request for a Borrowing of, conversion to or continuation of Eurodollar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Base Rate based upon the LIBO Rate will not be used in any determination of Base Rate.</w:t>
      </w:r>
    </w:p>
    <w:p>
      <w:pPr>
        <w:spacing w:after="0" w:line="150" w:lineRule="exact"/>
        <w:rPr>
          <w:rFonts w:ascii="Arial" w:cs="Arial" w:eastAsia="Arial" w:hAnsi="Arial"/>
          <w:sz w:val="19"/>
          <w:szCs w:val="19"/>
          <w:color w:val="auto"/>
        </w:rPr>
      </w:pPr>
    </w:p>
    <w:p>
      <w:pPr>
        <w:jc w:val="both"/>
        <w:ind w:left="840" w:hanging="8"/>
        <w:spacing w:after="0" w:line="286" w:lineRule="auto"/>
        <w:tabs>
          <w:tab w:leader="none" w:pos="148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Illegality or Impracticability of Eurodollar Rate Loans</w:t>
      </w:r>
      <w:r>
        <w:rPr>
          <w:rFonts w:ascii="Arial" w:cs="Arial" w:eastAsia="Arial" w:hAnsi="Arial"/>
          <w:sz w:val="19"/>
          <w:szCs w:val="19"/>
          <w:color w:val="auto"/>
        </w:rPr>
        <w:t>. In the event that on any date (i) any Lender shall have reasonably determined (which determination shall be final and conclusive and binding upon all parties hereto but shall be made only after consultation with the Borrower and the Administrative Agent) that the making, maintaining, converting to or continuation of its Eurodollar Rate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Eurodollar Rate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Arial" w:cs="Arial" w:eastAsia="Arial" w:hAnsi="Arial"/>
          <w:sz w:val="19"/>
          <w:szCs w:val="19"/>
          <w:u w:val="single" w:color="auto"/>
          <w:color w:val="auto"/>
        </w:rPr>
        <w:t>Affected Lender</w:t>
      </w:r>
      <w:r>
        <w:rPr>
          <w:rFonts w:ascii="Arial" w:cs="Arial" w:eastAsia="Arial" w:hAnsi="Arial"/>
          <w:sz w:val="19"/>
          <w:szCs w:val="19"/>
          <w:color w:val="auto"/>
        </w:rPr>
        <w:t>” and such Affected Lender shall on that day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20"/>
          </w:cols>
          <w:pgMar w:left="1440" w:top="1428" w:right="339" w:bottom="1440" w:gutter="0" w:footer="0" w:header="0"/>
        </w:sectPr>
      </w:pPr>
    </w:p>
    <w:bookmarkStart w:id="104" w:name="page105"/>
    <w:bookmarkEnd w:id="104"/>
    <w:p>
      <w:pPr>
        <w:jc w:val="both"/>
        <w:ind w:left="840"/>
        <w:spacing w:after="0" w:line="284" w:lineRule="auto"/>
        <w:rPr>
          <w:sz w:val="20"/>
          <w:szCs w:val="20"/>
          <w:color w:val="auto"/>
        </w:rPr>
      </w:pPr>
      <w:r>
        <w:rPr>
          <w:rFonts w:ascii="Arial" w:cs="Arial" w:eastAsia="Arial" w:hAnsi="Arial"/>
          <w:sz w:val="19"/>
          <w:szCs w:val="19"/>
          <w:color w:val="auto"/>
        </w:rPr>
        <w:t>notice (by e-mail or by telephone confirmed in writing) to the Borrower and the Administrative Agent of such determination (which notice the Administrative Agent shall promptly transmit to each other Lender). If the Administrative Agent receives a notice from (x) any Lender pursuant to clause (i) of the preceding sentence or (y) Lenders constituting Required Lenders pursuant to clause (ii) of the preceding sentence, then (A) the obligation of the Lenders (or, in the case of any notice pursuant to clause (i) of the preceding sentence, such Lender) to make Loans as, or to convert Loans to, Eurodollar Rate Loans shall be suspended until such notice shall be withdrawn by each Affected Lender, (B) to the extent such determination by the Affected Lender relates to a Eurodollar Rate Loan then being requested by the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Eurodollar Rate Loans (the “</w:t>
      </w:r>
      <w:r>
        <w:rPr>
          <w:rFonts w:ascii="Arial" w:cs="Arial" w:eastAsia="Arial" w:hAnsi="Arial"/>
          <w:sz w:val="19"/>
          <w:szCs w:val="19"/>
          <w:u w:val="single" w:color="auto"/>
          <w:color w:val="auto"/>
        </w:rPr>
        <w:t>Affected Loans</w:t>
      </w:r>
      <w:r>
        <w:rPr>
          <w:rFonts w:ascii="Arial" w:cs="Arial" w:eastAsia="Arial" w:hAnsi="Arial"/>
          <w:sz w:val="19"/>
          <w:szCs w:val="19"/>
          <w:color w:val="auto"/>
        </w:rPr>
        <w:t>”)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Eurodollar Rate Loan then being requested by the Borrower pursuant to a Funding Notice or a Conversion/Continuation Notice, the Borrower shall have the option, subject to the provisions of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2.15(c) shall affect the obligation of any Lender other than an Affected Lender to make or maintain Loans as, or to convert Loans to, Eurodollar Rate Loans in accordance with the terms hereof.</w:t>
      </w:r>
    </w:p>
    <w:p>
      <w:pPr>
        <w:spacing w:after="0" w:line="200" w:lineRule="exact"/>
        <w:rPr>
          <w:sz w:val="20"/>
          <w:szCs w:val="20"/>
          <w:color w:val="auto"/>
        </w:rPr>
      </w:pPr>
    </w:p>
    <w:p>
      <w:pPr>
        <w:spacing w:after="0" w:line="221" w:lineRule="exact"/>
        <w:rPr>
          <w:sz w:val="20"/>
          <w:szCs w:val="20"/>
          <w:color w:val="auto"/>
        </w:rPr>
      </w:pPr>
    </w:p>
    <w:p>
      <w:pPr>
        <w:ind w:left="840" w:hanging="8"/>
        <w:spacing w:after="0" w:line="287" w:lineRule="auto"/>
        <w:tabs>
          <w:tab w:leader="none" w:pos="1483"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Compensation for Breakage or Non-Commencement of Interest Periods</w:t>
      </w:r>
      <w:r>
        <w:rPr>
          <w:rFonts w:ascii="Arial" w:cs="Arial" w:eastAsia="Arial" w:hAnsi="Arial"/>
          <w:sz w:val="21"/>
          <w:szCs w:val="21"/>
          <w:color w:val="auto"/>
        </w:rPr>
        <w:t>. The Borrower shall compensate each Lender, upon written request by such Lender (which request shall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20"/>
          </w:cols>
          <w:pgMar w:left="1440" w:top="1428" w:right="339" w:bottom="1440" w:gutter="0" w:footer="0" w:header="0"/>
        </w:sectPr>
      </w:pPr>
    </w:p>
    <w:bookmarkStart w:id="105" w:name="page106"/>
    <w:bookmarkEnd w:id="105"/>
    <w:p>
      <w:pPr>
        <w:jc w:val="both"/>
        <w:ind w:left="1960"/>
        <w:spacing w:after="0" w:line="283" w:lineRule="auto"/>
        <w:rPr>
          <w:sz w:val="20"/>
          <w:szCs w:val="20"/>
          <w:color w:val="auto"/>
        </w:rPr>
      </w:pPr>
      <w:r>
        <w:rPr>
          <w:rFonts w:ascii="Arial" w:cs="Arial" w:eastAsia="Arial" w:hAnsi="Arial"/>
          <w:sz w:val="19"/>
          <w:szCs w:val="19"/>
          <w:color w:val="auto"/>
        </w:rPr>
        <w:t>the basis for requesting such amounts in reasonable detail), for all reasonable losses, expenses and liabilities (including any interest paid or payable by such Lender to lenders of funds borrowed by it to make or carry its Eurodollar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Eurodollar Rate Loan does not occur on a date specified therefor in a Funding Notice or a telephonic request for borrowing, or a conversion to or continuation of any Eurodollar Rate Loan does not occur on a date specified therefor in a Conversion/Continuation Notice or a telephonic request for conversion or continuation; (ii) if any prepayment or other principal payment of, or any conversion of, any of its Eurodollar Rate Loans occurs on a date prior to the last day of an Interest Period applicable to that Loan; or</w:t>
      </w:r>
    </w:p>
    <w:p>
      <w:pPr>
        <w:spacing w:after="0" w:line="7" w:lineRule="exact"/>
        <w:rPr>
          <w:sz w:val="20"/>
          <w:szCs w:val="20"/>
          <w:color w:val="auto"/>
        </w:rPr>
      </w:pPr>
    </w:p>
    <w:p>
      <w:pPr>
        <w:ind w:left="1960" w:hanging="8"/>
        <w:spacing w:after="0" w:line="246" w:lineRule="auto"/>
        <w:tabs>
          <w:tab w:leader="none" w:pos="234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any prepayment of any of its Eurodollar Rate Loans is not made on any date specified in a notice of prepayment given by the Borrower.</w:t>
      </w:r>
    </w:p>
    <w:p>
      <w:pPr>
        <w:spacing w:after="0" w:line="192" w:lineRule="exact"/>
        <w:rPr>
          <w:sz w:val="20"/>
          <w:szCs w:val="20"/>
          <w:color w:val="auto"/>
        </w:rPr>
      </w:pPr>
    </w:p>
    <w:p>
      <w:pPr>
        <w:ind w:left="1960" w:hanging="8"/>
        <w:spacing w:after="0" w:line="343" w:lineRule="auto"/>
        <w:tabs>
          <w:tab w:leader="none" w:pos="2605"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Booking of Eurodollar Rate Loans</w:t>
      </w:r>
      <w:r>
        <w:rPr>
          <w:rFonts w:ascii="Arial" w:cs="Arial" w:eastAsia="Arial" w:hAnsi="Arial"/>
          <w:sz w:val="19"/>
          <w:szCs w:val="19"/>
          <w:color w:val="auto"/>
        </w:rPr>
        <w:t>. Any Lender may make, carry or transfer Eurodollar Rate Loans at, to, or for the account of any of its branch offices or the office of an Affiliate of such Lender.</w:t>
      </w:r>
    </w:p>
    <w:p>
      <w:pPr>
        <w:spacing w:after="0" w:line="104" w:lineRule="exact"/>
        <w:rPr>
          <w:rFonts w:ascii="Arial" w:cs="Arial" w:eastAsia="Arial" w:hAnsi="Arial"/>
          <w:sz w:val="19"/>
          <w:szCs w:val="19"/>
          <w:color w:val="auto"/>
        </w:rPr>
      </w:pPr>
    </w:p>
    <w:p>
      <w:pPr>
        <w:jc w:val="both"/>
        <w:ind w:left="1960" w:hanging="8"/>
        <w:spacing w:after="0" w:line="289" w:lineRule="auto"/>
        <w:tabs>
          <w:tab w:leader="none" w:pos="2608"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Assumptions Concerning Funding of Eurodollar Rate Loans</w:t>
      </w:r>
      <w:r>
        <w:rPr>
          <w:rFonts w:ascii="Arial" w:cs="Arial" w:eastAsia="Arial" w:hAnsi="Arial"/>
          <w:sz w:val="19"/>
          <w:szCs w:val="19"/>
          <w:color w:val="auto"/>
        </w:rPr>
        <w:t xml:space="preserve">. Calculation of all amounts payable to a Lender under this Section 2.15 and under Section 2.16 shall be made as though such Lender had actually funded each of its relevant Eurodollar Rate Loans through the purchase of a Eurodollar deposit bearing interest at the rate obtained pursuant to the definition of “Adjusted Eurodollar Rate” in an amount equal to the amount of such Eurodollar Rate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each Lender may fund each of its Eurodollar Rate Loans in any manner it sees fit and the foregoing assumptions shall be utilized only for the purposes of calculating amounts payable under this Section 2.15 and under Section 2.16.</w:t>
      </w:r>
    </w:p>
    <w:p>
      <w:pPr>
        <w:spacing w:after="0" w:line="156" w:lineRule="exact"/>
        <w:rPr>
          <w:rFonts w:ascii="Arial" w:cs="Arial" w:eastAsia="Arial" w:hAnsi="Arial"/>
          <w:sz w:val="19"/>
          <w:szCs w:val="19"/>
          <w:color w:val="auto"/>
        </w:rPr>
      </w:pPr>
    </w:p>
    <w:p>
      <w:pPr>
        <w:ind w:firstLine="1304"/>
        <w:spacing w:after="0" w:line="263" w:lineRule="auto"/>
        <w:tabs>
          <w:tab w:leader="none" w:pos="1941" w:val="left"/>
        </w:tabs>
        <w:numPr>
          <w:ilvl w:val="0"/>
          <w:numId w:val="66"/>
        </w:numPr>
        <w:rPr>
          <w:rFonts w:ascii="Arial" w:cs="Arial" w:eastAsia="Arial" w:hAnsi="Arial"/>
          <w:sz w:val="22"/>
          <w:szCs w:val="22"/>
          <w:color w:val="auto"/>
        </w:rPr>
      </w:pPr>
      <w:r>
        <w:rPr>
          <w:rFonts w:ascii="Arial" w:cs="Arial" w:eastAsia="Arial" w:hAnsi="Arial"/>
          <w:sz w:val="22"/>
          <w:szCs w:val="22"/>
          <w:color w:val="auto"/>
        </w:rPr>
        <w:t>Clause (iii) of Section 5.10 of the Credit Agreement is hereby amended by inserting the text “, other than Specified Collateral,” immediately following the text “Aviation Assets” appearing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06" w:name="page107"/>
    <w:bookmarkEnd w:id="106"/>
    <w:p>
      <w:pPr>
        <w:ind w:left="180" w:right="920" w:firstLine="4"/>
        <w:spacing w:after="0" w:line="448" w:lineRule="auto"/>
        <w:tabs>
          <w:tab w:leader="none" w:pos="82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Article V of the Credit Agreement is hereby amended by adding the following new Section 5.14: “Section 5.14 </w:t>
      </w:r>
      <w:r>
        <w:rPr>
          <w:rFonts w:ascii="Arial" w:cs="Arial" w:eastAsia="Arial" w:hAnsi="Arial"/>
          <w:sz w:val="22"/>
          <w:szCs w:val="22"/>
          <w:u w:val="single" w:color="auto"/>
          <w:color w:val="auto"/>
        </w:rPr>
        <w:t>Aircraft Mortgage and Security Agreement</w:t>
      </w:r>
      <w:r>
        <w:rPr>
          <w:rFonts w:ascii="Arial" w:cs="Arial" w:eastAsia="Arial" w:hAnsi="Arial"/>
          <w:sz w:val="22"/>
          <w:szCs w:val="22"/>
          <w:color w:val="auto"/>
        </w:rPr>
        <w:t>.</w:t>
      </w:r>
    </w:p>
    <w:p>
      <w:pPr>
        <w:spacing w:after="0" w:line="1" w:lineRule="exact"/>
        <w:rPr>
          <w:sz w:val="20"/>
          <w:szCs w:val="20"/>
          <w:color w:val="auto"/>
        </w:rPr>
      </w:pPr>
    </w:p>
    <w:p>
      <w:pPr>
        <w:jc w:val="both"/>
        <w:ind w:left="180" w:firstLine="4"/>
        <w:spacing w:after="0" w:line="286" w:lineRule="auto"/>
        <w:tabs>
          <w:tab w:leader="none" w:pos="501"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promptly as practicable and in any event within 10 Business Days following the time, if any, at which aggregate Borrowings under the Credit Agreement exceed $150,000,000 (the amount of such excess, the “</w:t>
      </w:r>
      <w:r>
        <w:rPr>
          <w:rFonts w:ascii="Arial" w:cs="Arial" w:eastAsia="Arial" w:hAnsi="Arial"/>
          <w:sz w:val="19"/>
          <w:szCs w:val="19"/>
          <w:u w:val="single" w:color="auto"/>
          <w:color w:val="auto"/>
        </w:rPr>
        <w:t>Incremental Aviation Borrowing Amount</w:t>
      </w:r>
      <w:r>
        <w:rPr>
          <w:rFonts w:ascii="Arial" w:cs="Arial" w:eastAsia="Arial" w:hAnsi="Arial"/>
          <w:sz w:val="19"/>
          <w:szCs w:val="19"/>
          <w:color w:val="auto"/>
        </w:rPr>
        <w:t>”), the Borrower shall, and shall cause its applicable Subsidiaries to, execute and deliver to the Administrative Agent an Aircraft Mortgage and Security Agreement in respect of Eligible Aviation Assets with an Appraised Value equal to, or greater than, the amount by which the Incremental Aviation Borrowing Amount exceeds $150,000,000 (it being understood and agreed that if the Borrower cannot produce a customary insurance certificate naming the Administrative Agent in its role as collateral agent or security trustee as additional insured and loss payee on the general and liability insurance of the lessee of the applicable Eligible Aviation Assets on such timeframe the Administrative Agent may extend such timeframe for an Aircraft Mortgage and Security Agreement for an additional 10 Business Days so the Borrower can find other Eligible Aviation Assets with respect to which such an insurance certificate can be provided and that if after such additional 10 Business Day timeframe the Borrower cannot find such other Eligible Aviation Assets the Administrative Agent may extend the timeframe for an Aircraft Mortgage and Security Agreement by an additional 10 Business Days and may elect to hire a third party security trustee reasonably acceptable to it to hold such Aircraft Mortgage and Security Agreement and any or all existing or future Aircraft Mortgage and Security Agreements all at the expense of the Borrower).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80" w:firstLine="4"/>
        <w:spacing w:after="0" w:line="288" w:lineRule="auto"/>
        <w:tabs>
          <w:tab w:leader="none" w:pos="486"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at any time the Incremental Aviation Borrowing Amount exceeds the Appraised Value of Eligible Aviation Assets then subject to an Aircraft Mortgage and Security Agreement (the “</w:t>
      </w:r>
      <w:r>
        <w:rPr>
          <w:rFonts w:ascii="Arial" w:cs="Arial" w:eastAsia="Arial" w:hAnsi="Arial"/>
          <w:sz w:val="19"/>
          <w:szCs w:val="19"/>
          <w:u w:val="single" w:color="auto"/>
          <w:color w:val="auto"/>
        </w:rPr>
        <w:t>Mortgaged Aviation Assets</w:t>
      </w:r>
      <w:r>
        <w:rPr>
          <w:rFonts w:ascii="Arial" w:cs="Arial" w:eastAsia="Arial" w:hAnsi="Arial"/>
          <w:sz w:val="19"/>
          <w:szCs w:val="19"/>
          <w:color w:val="auto"/>
        </w:rPr>
        <w:t>”), then the Borrower shall within 10 Business Days either (i) prepay the Loans such that the Incremental Aviation Borrowing Amount is equal to, or less than, the Appraised Value of the Mortgaged Aviation Assets or (ii) execute and deliver an additional Aircraft Mortgage and Security Agreement (or amend or supplement an existing Aircraft Mortgage and Security Agreement) to add thereto additional Eligible Aviation Assets with an Appraised Value equal to or greater than such difference (it being understood and agreed that if the Borrower cannot produce a customary insurance certificate naming the Administrative Agent in its role as collateral agent or security trustee as additional insured and loss payee on the general and liability insurance of the lessee of the applicable Eligible Aviation Assets on such timeframe the Administrative Agent may extend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428" w:right="339" w:bottom="1440" w:gutter="0" w:footer="0" w:header="0"/>
        </w:sectPr>
      </w:pPr>
    </w:p>
    <w:bookmarkStart w:id="107" w:name="page108"/>
    <w:bookmarkEnd w:id="107"/>
    <w:p>
      <w:pPr>
        <w:jc w:val="both"/>
        <w:ind w:left="1300"/>
        <w:spacing w:after="0" w:line="259" w:lineRule="auto"/>
        <w:rPr>
          <w:sz w:val="20"/>
          <w:szCs w:val="20"/>
          <w:color w:val="auto"/>
        </w:rPr>
      </w:pPr>
      <w:r>
        <w:rPr>
          <w:rFonts w:ascii="Arial" w:cs="Arial" w:eastAsia="Arial" w:hAnsi="Arial"/>
          <w:sz w:val="21"/>
          <w:szCs w:val="21"/>
          <w:color w:val="auto"/>
        </w:rPr>
        <w:t>such timeframe for such additional Aircraft Mortgage and Security Agreement for an additional 10 Business Days so the Borrower can find other Eligible Aviation Assets with respect to which such an insurance certificate can be provided and that if after such additional 10 Business Day timeframe the Borrower cannot find such other Eligible Aviation Assets the Administrative Agent may extend the timeframe for such additional Aircraft Mortgage and Security Agreement by an additional 10 Business Days and may elect to hire a third party security trustee reasonably acceptable to it to hold such Aircraft Mortgage and Security Agreement and any or all existing or future Aircraft Mortgage and Security Agreements all at the expense of the Borrower). On each twelve month anniversary of any Eligible Aviation Asset becoming a Mortgaged Aviation Asset, the Borrower shall provide an updated appraisal of the Appraised Value.”</w:t>
      </w:r>
    </w:p>
    <w:p>
      <w:pPr>
        <w:spacing w:after="0" w:line="179" w:lineRule="exact"/>
        <w:rPr>
          <w:sz w:val="20"/>
          <w:szCs w:val="20"/>
          <w:color w:val="auto"/>
        </w:rPr>
      </w:pPr>
    </w:p>
    <w:p>
      <w:pPr>
        <w:ind w:left="1940" w:hanging="636"/>
        <w:spacing w:after="0"/>
        <w:tabs>
          <w:tab w:leader="none" w:pos="19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Section 6 of the Credit Agreement is hereby amended by adding the following new paragraph after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6.13:</w:t>
      </w:r>
    </w:p>
    <w:p>
      <w:pPr>
        <w:spacing w:after="0" w:line="202"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color w:val="auto"/>
        </w:rPr>
        <w:t>“Notwithstanding the foregoing, the limitations set forth in Section 6 shall not prohibit the Borrower’s or any of its Subsidiaries’ entry into and performance of the Specified Transactions or the taking of any action by the Borrower and its Subsidiaries in accordance with the Specified Acquisition Financing Documents, it being understood and agreed that the Initial Liens that will secure the Specified Acquisition Indebtedness (and any Specified Acquisition Refinancing Indebtedness) are Permitted Liens and the Secured Parties agree that no Liens on the Specified Collateral will be granted in their favor. For the avoidance of doubt, in no event shall the Borrower’s consummation of the Specified Transactions (including the granting of Liens in the Specified Collateral pursuant to the Specified Acquisition Financing Documents) result in an Event of Default.”</w:t>
      </w:r>
    </w:p>
    <w:p>
      <w:pPr>
        <w:spacing w:after="0" w:line="156" w:lineRule="exact"/>
        <w:rPr>
          <w:sz w:val="20"/>
          <w:szCs w:val="20"/>
          <w:color w:val="auto"/>
        </w:rPr>
      </w:pPr>
    </w:p>
    <w:p>
      <w:pPr>
        <w:ind w:left="1940" w:hanging="636"/>
        <w:spacing w:after="0"/>
        <w:tabs>
          <w:tab w:leader="none" w:pos="19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7.1(a)(3) of the Credit Agreement is hereby amended and restated as follows:</w:t>
      </w:r>
    </w:p>
    <w:p>
      <w:pPr>
        <w:spacing w:after="0" w:line="220" w:lineRule="exact"/>
        <w:rPr>
          <w:sz w:val="20"/>
          <w:szCs w:val="20"/>
          <w:color w:val="auto"/>
        </w:rPr>
      </w:pPr>
    </w:p>
    <w:p>
      <w:pPr>
        <w:ind w:left="1300"/>
        <w:spacing w:after="0" w:line="287" w:lineRule="auto"/>
        <w:rPr>
          <w:sz w:val="20"/>
          <w:szCs w:val="20"/>
          <w:color w:val="auto"/>
        </w:rPr>
      </w:pPr>
      <w:r>
        <w:rPr>
          <w:rFonts w:ascii="Arial" w:cs="Arial" w:eastAsia="Arial" w:hAnsi="Arial"/>
          <w:sz w:val="21"/>
          <w:szCs w:val="21"/>
          <w:color w:val="auto"/>
        </w:rPr>
        <w:t>“(3) any Loan Party shall default in the observance or performance of any agreement contained in clause (i) of Section 5.4(a) (with respect to the Borrower only), Section 5.7(a), Section 5.14 or Section 6; or”</w:t>
      </w:r>
    </w:p>
    <w:p>
      <w:pPr>
        <w:spacing w:after="0" w:line="151" w:lineRule="exact"/>
        <w:rPr>
          <w:sz w:val="20"/>
          <w:szCs w:val="20"/>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Section 9.5 of the Credit Agreement is hereby amended by adding the following new clause (c):</w:t>
      </w:r>
    </w:p>
    <w:p>
      <w:pPr>
        <w:spacing w:after="0" w:line="22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“(c) In addition, and without limiting the Borrower’s obligations under this Section 9.5, the Borrower agrees to pay, indemnify or reimburse each Indemnitee for, and hold each Indemnitee harmless from and against any and all other liabilities, obligations, losses, damages, penalties, claims (including Environmental Claims), actions, judgments, suits,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08" w:name="page109"/>
    <w:bookmarkEnd w:id="108"/>
    <w:p>
      <w:pPr>
        <w:jc w:val="both"/>
        <w:ind w:left="180"/>
        <w:spacing w:after="0" w:line="284" w:lineRule="auto"/>
        <w:rPr>
          <w:sz w:val="20"/>
          <w:szCs w:val="20"/>
          <w:color w:val="auto"/>
        </w:rPr>
      </w:pPr>
      <w:r>
        <w:rPr>
          <w:rFonts w:ascii="Arial" w:cs="Arial" w:eastAsia="Arial" w:hAnsi="Arial"/>
          <w:sz w:val="19"/>
          <w:szCs w:val="19"/>
          <w:color w:val="auto"/>
        </w:rPr>
        <w:t>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any aircraft, engine or part included in the Collateral, including, without limitation, with respect thereto,</w:t>
      </w:r>
    </w:p>
    <w:p>
      <w:pPr>
        <w:spacing w:after="0" w:line="4" w:lineRule="exact"/>
        <w:rPr>
          <w:sz w:val="20"/>
          <w:szCs w:val="20"/>
          <w:color w:val="auto"/>
        </w:rPr>
      </w:pPr>
    </w:p>
    <w:p>
      <w:pPr>
        <w:jc w:val="both"/>
        <w:ind w:left="180" w:firstLine="4"/>
        <w:spacing w:after="0" w:line="281" w:lineRule="auto"/>
        <w:tabs>
          <w:tab w:leader="none" w:pos="591"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manufacture, design, purchase, acceptance, nonacceptance or rejection, ownership, registration, reregistration, deregistration, delivery, nondelivery, lease, sublease, assignment, possession, use or non-use, operation, maintenance, testing, repair, overhaul, condition, alteration, modification, addition, improvement, storage, airworthiness, replacement, repair, sale, substitution, return, abandonment, redelivery or other disposition of any such aircraft, engine or party, (2) any claim or penalty arising out of violations of applicable laws by the Borrower, owner or operator thereof, (3) tort liability of any Indemnitee (whether active, passive or imputed) and</w:t>
      </w:r>
    </w:p>
    <w:p>
      <w:pPr>
        <w:spacing w:after="0" w:line="4" w:lineRule="exact"/>
        <w:rPr>
          <w:rFonts w:ascii="Arial" w:cs="Arial" w:eastAsia="Arial" w:hAnsi="Arial"/>
          <w:sz w:val="19"/>
          <w:szCs w:val="19"/>
          <w:color w:val="auto"/>
        </w:rPr>
      </w:pPr>
    </w:p>
    <w:p>
      <w:pPr>
        <w:jc w:val="both"/>
        <w:ind w:left="180" w:firstLine="4"/>
        <w:spacing w:after="0" w:line="286" w:lineRule="auto"/>
        <w:tabs>
          <w:tab w:leader="none" w:pos="54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death, personal injury or property damage of any Person, including passengers, shippers or others, but excluding, in each case, Taxes other than any Taxes that represent losses, claims or damages arising from a non-tax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have no obligation hereunder to any Indemnitee with respect to the Indemnified Liabilities under this Section 9.5(c)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the Borrower or any of its affiliates, shareholders, partners or other equity holders and that is brought by an Indemnitee against another Indemnitee other than any claims against an Indemnitee in its capacity or in fulfilling its role as the Administrative Agent, an Arranger or Syndication Agent under the Revolving Loan Facility.”</w:t>
      </w:r>
    </w:p>
    <w:p>
      <w:pPr>
        <w:spacing w:after="0" w:line="159" w:lineRule="exact"/>
        <w:rPr>
          <w:sz w:val="20"/>
          <w:szCs w:val="20"/>
          <w:color w:val="auto"/>
        </w:rPr>
      </w:pPr>
    </w:p>
    <w:p>
      <w:pPr>
        <w:ind w:left="820" w:hanging="636"/>
        <w:spacing w:after="0"/>
        <w:tabs>
          <w:tab w:leader="none" w:pos="8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Section 9.20(c) of the Credit Agreement is hereby amended and restated as follows:</w:t>
      </w:r>
    </w:p>
    <w:p>
      <w:pPr>
        <w:spacing w:after="0" w:line="220" w:lineRule="exact"/>
        <w:rPr>
          <w:sz w:val="20"/>
          <w:szCs w:val="20"/>
          <w:color w:val="auto"/>
        </w:rPr>
      </w:pPr>
    </w:p>
    <w:p>
      <w:pPr>
        <w:jc w:val="both"/>
        <w:ind w:left="180" w:right="20"/>
        <w:spacing w:after="0" w:line="253" w:lineRule="auto"/>
        <w:rPr>
          <w:sz w:val="20"/>
          <w:szCs w:val="20"/>
          <w:color w:val="auto"/>
        </w:rPr>
      </w:pPr>
      <w:r>
        <w:rPr>
          <w:rFonts w:ascii="Arial" w:cs="Arial" w:eastAsia="Arial" w:hAnsi="Arial"/>
          <w:sz w:val="22"/>
          <w:szCs w:val="22"/>
          <w:color w:val="auto"/>
        </w:rPr>
        <w:t>“(c) If at any time the Incremental Aviation Borrowing Amount shall be zero, then so long as no Event of Default has occurred and is continuing, upon written request by the Borrower the Administrative Agent’s Lien on the Mortgaged Aviation Assets shall be automatically and fully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20"/>
          </w:cols>
          <w:pgMar w:left="1440" w:top="1428" w:right="339" w:bottom="1440" w:gutter="0" w:footer="0" w:header="0"/>
        </w:sectPr>
      </w:pPr>
    </w:p>
    <w:bookmarkStart w:id="109" w:name="page110"/>
    <w:bookmarkEnd w:id="109"/>
    <w:p>
      <w:pPr>
        <w:ind w:left="180" w:right="20"/>
        <w:spacing w:after="0" w:line="263" w:lineRule="auto"/>
        <w:rPr>
          <w:sz w:val="20"/>
          <w:szCs w:val="20"/>
          <w:color w:val="auto"/>
        </w:rPr>
      </w:pPr>
      <w:r>
        <w:rPr>
          <w:rFonts w:ascii="Arial" w:cs="Arial" w:eastAsia="Arial" w:hAnsi="Arial"/>
          <w:sz w:val="22"/>
          <w:szCs w:val="22"/>
          <w:color w:val="auto"/>
        </w:rPr>
        <w:t>and the Administrative Agent shall, at the Borrower’s expense, execute such release documents as the Borrower may reasonably request.”</w:t>
      </w:r>
    </w:p>
    <w:p>
      <w:pPr>
        <w:spacing w:after="0" w:line="175" w:lineRule="exact"/>
        <w:rPr>
          <w:sz w:val="20"/>
          <w:szCs w:val="20"/>
          <w:color w:val="auto"/>
        </w:rPr>
      </w:pPr>
    </w:p>
    <w:p>
      <w:pPr>
        <w:ind w:left="820" w:hanging="636"/>
        <w:spacing w:after="0"/>
        <w:tabs>
          <w:tab w:leader="none" w:pos="8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9.21 of the Credit Agreement is hereby amended and restated as follows:</w:t>
      </w:r>
    </w:p>
    <w:p>
      <w:pPr>
        <w:spacing w:after="0" w:line="220" w:lineRule="exact"/>
        <w:rPr>
          <w:sz w:val="20"/>
          <w:szCs w:val="20"/>
          <w:color w:val="auto"/>
        </w:rPr>
      </w:pPr>
    </w:p>
    <w:p>
      <w:pPr>
        <w:jc w:val="both"/>
        <w:ind w:left="180" w:firstLine="497"/>
        <w:spacing w:after="0" w:line="247" w:lineRule="auto"/>
        <w:rPr>
          <w:sz w:val="20"/>
          <w:szCs w:val="20"/>
          <w:color w:val="auto"/>
        </w:rPr>
      </w:pPr>
      <w:r>
        <w:rPr>
          <w:rFonts w:ascii="Arial" w:cs="Arial" w:eastAsia="Arial" w:hAnsi="Arial"/>
          <w:sz w:val="22"/>
          <w:szCs w:val="22"/>
          <w:color w:val="auto"/>
        </w:rPr>
        <w:t xml:space="preserve">“Section 9.21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193" w:lineRule="exact"/>
        <w:rPr>
          <w:sz w:val="20"/>
          <w:szCs w:val="20"/>
          <w:color w:val="auto"/>
        </w:rPr>
      </w:pPr>
    </w:p>
    <w:p>
      <w:pPr>
        <w:jc w:val="both"/>
        <w:ind w:left="180" w:firstLine="464"/>
        <w:spacing w:after="0" w:line="253" w:lineRule="auto"/>
        <w:tabs>
          <w:tab w:leader="none" w:pos="937" w:val="left"/>
        </w:tabs>
        <w:numPr>
          <w:ilvl w:val="2"/>
          <w:numId w:val="76"/>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5" w:lineRule="exact"/>
        <w:rPr>
          <w:rFonts w:ascii="Arial" w:cs="Arial" w:eastAsia="Arial" w:hAnsi="Arial"/>
          <w:sz w:val="22"/>
          <w:szCs w:val="22"/>
          <w:color w:val="auto"/>
        </w:rPr>
      </w:pPr>
    </w:p>
    <w:p>
      <w:pPr>
        <w:ind w:left="980" w:hanging="36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1740" w:hanging="260"/>
        <w:spacing w:after="0"/>
        <w:tabs>
          <w:tab w:leader="none" w:pos="1740" w:val="left"/>
        </w:tabs>
        <w:numPr>
          <w:ilvl w:val="3"/>
          <w:numId w:val="77"/>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46" w:lineRule="exact"/>
        <w:rPr>
          <w:rFonts w:ascii="Arial" w:cs="Arial" w:eastAsia="Arial" w:hAnsi="Arial"/>
          <w:sz w:val="22"/>
          <w:szCs w:val="22"/>
          <w:color w:val="auto"/>
        </w:rPr>
      </w:pPr>
    </w:p>
    <w:p>
      <w:pPr>
        <w:jc w:val="both"/>
        <w:ind w:left="840" w:firstLine="640"/>
        <w:spacing w:after="0" w:line="248" w:lineRule="auto"/>
        <w:tabs>
          <w:tab w:leader="none" w:pos="1816" w:val="left"/>
        </w:tabs>
        <w:numPr>
          <w:ilvl w:val="3"/>
          <w:numId w:val="77"/>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8" w:lineRule="exact"/>
        <w:rPr>
          <w:rFonts w:ascii="Arial" w:cs="Arial" w:eastAsia="Arial" w:hAnsi="Arial"/>
          <w:sz w:val="22"/>
          <w:szCs w:val="22"/>
          <w:color w:val="auto"/>
        </w:rPr>
      </w:pPr>
    </w:p>
    <w:p>
      <w:pPr>
        <w:ind w:left="840" w:firstLine="640"/>
        <w:spacing w:after="0" w:line="263" w:lineRule="auto"/>
        <w:tabs>
          <w:tab w:leader="none" w:pos="1887" w:val="left"/>
        </w:tabs>
        <w:numPr>
          <w:ilvl w:val="3"/>
          <w:numId w:val="7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applicable Resolution Authority.”</w:t>
      </w:r>
    </w:p>
    <w:p>
      <w:pPr>
        <w:spacing w:after="0" w:line="201" w:lineRule="exact"/>
        <w:rPr>
          <w:rFonts w:ascii="Arial" w:cs="Arial" w:eastAsia="Arial" w:hAnsi="Arial"/>
          <w:sz w:val="22"/>
          <w:szCs w:val="22"/>
          <w:color w:val="auto"/>
        </w:rPr>
      </w:pPr>
    </w:p>
    <w:p>
      <w:pPr>
        <w:ind w:left="840" w:hanging="656"/>
        <w:spacing w:after="0" w:line="410" w:lineRule="auto"/>
        <w:tabs>
          <w:tab w:leader="none" w:pos="82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Article IX of the Credit Agreement is hereby amended by adding the following new Section 9.22: “Section 9.22 </w:t>
      </w:r>
      <w:r>
        <w:rPr>
          <w:rFonts w:ascii="Arial" w:cs="Arial" w:eastAsia="Arial" w:hAnsi="Arial"/>
          <w:sz w:val="19"/>
          <w:szCs w:val="19"/>
          <w:u w:val="single" w:color="auto"/>
          <w:color w:val="auto"/>
        </w:rPr>
        <w:t>Acknowledgment Regarding Any Supported QFCs.</w:t>
      </w:r>
      <w:r>
        <w:rPr>
          <w:rFonts w:ascii="Arial" w:cs="Arial" w:eastAsia="Arial" w:hAnsi="Arial"/>
          <w:sz w:val="19"/>
          <w:szCs w:val="19"/>
          <w:color w:val="auto"/>
        </w:rPr>
        <w:t xml:space="preserve"> To the extent that the Loan Documents</w:t>
      </w:r>
    </w:p>
    <w:p>
      <w:pPr>
        <w:ind w:left="180" w:right="20"/>
        <w:spacing w:after="0" w:line="246" w:lineRule="auto"/>
        <w:rPr>
          <w:sz w:val="20"/>
          <w:szCs w:val="20"/>
          <w:color w:val="auto"/>
        </w:rPr>
      </w:pPr>
      <w:r>
        <w:rPr>
          <w:rFonts w:ascii="Arial" w:cs="Arial" w:eastAsia="Arial" w:hAnsi="Arial"/>
          <w:sz w:val="22"/>
          <w:szCs w:val="22"/>
          <w:color w:val="auto"/>
        </w:rPr>
        <w:t>provide support, through a guarantee or otherwise, for any agreement or instrument that is a QFC (such support, “</w:t>
      </w:r>
      <w:r>
        <w:rPr>
          <w:rFonts w:ascii="Arial" w:cs="Arial" w:eastAsia="Arial" w:hAnsi="Arial"/>
          <w:sz w:val="22"/>
          <w:szCs w:val="22"/>
          <w:u w:val="single" w:color="auto"/>
          <w:color w:val="auto"/>
        </w:rPr>
        <w:t>QFC Credit Support</w:t>
      </w:r>
      <w:r>
        <w:rPr>
          <w:rFonts w:ascii="Arial" w:cs="Arial" w:eastAsia="Arial" w:hAnsi="Arial"/>
          <w:sz w:val="22"/>
          <w:szCs w:val="22"/>
          <w:color w:val="auto"/>
        </w:rPr>
        <w:t>”, and each such QFC, a “</w:t>
      </w:r>
      <w:r>
        <w:rPr>
          <w:rFonts w:ascii="Arial" w:cs="Arial" w:eastAsia="Arial" w:hAnsi="Arial"/>
          <w:sz w:val="22"/>
          <w:szCs w:val="22"/>
          <w:u w:val="single" w:color="auto"/>
          <w:color w:val="auto"/>
        </w:rPr>
        <w:t>Supported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20"/>
          </w:cols>
          <w:pgMar w:left="1440" w:top="1428" w:right="339" w:bottom="1440" w:gutter="0" w:footer="0" w:header="0"/>
        </w:sectPr>
      </w:pPr>
    </w:p>
    <w:bookmarkStart w:id="110" w:name="page111"/>
    <w:bookmarkEnd w:id="110"/>
    <w:p>
      <w:pPr>
        <w:jc w:val="both"/>
        <w:ind w:left="180"/>
        <w:spacing w:after="0" w:line="294" w:lineRule="auto"/>
        <w:rPr>
          <w:sz w:val="20"/>
          <w:szCs w:val="20"/>
          <w:color w:val="auto"/>
        </w:rPr>
      </w:pPr>
      <w:r>
        <w:rPr>
          <w:rFonts w:ascii="Arial" w:cs="Arial" w:eastAsia="Arial" w:hAnsi="Arial"/>
          <w:sz w:val="19"/>
          <w:szCs w:val="19"/>
          <w:u w:val="single" w:color="auto"/>
          <w:color w:val="auto"/>
        </w:rPr>
        <w:t>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9" w:lineRule="exact"/>
        <w:rPr>
          <w:sz w:val="20"/>
          <w:szCs w:val="20"/>
          <w:color w:val="auto"/>
        </w:rPr>
      </w:pPr>
    </w:p>
    <w:p>
      <w:pPr>
        <w:jc w:val="both"/>
        <w:ind w:left="180" w:firstLine="449"/>
        <w:spacing w:after="0" w:line="286" w:lineRule="auto"/>
        <w:tabs>
          <w:tab w:leader="none" w:pos="921"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920" w:hanging="304"/>
        <w:spacing w:after="0"/>
        <w:tabs>
          <w:tab w:leader="none" w:pos="9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9.22</w:t>
      </w:r>
      <w:r>
        <w:rPr>
          <w:rFonts w:ascii="Arial" w:cs="Arial" w:eastAsia="Arial" w:hAnsi="Arial"/>
          <w:sz w:val="22"/>
          <w:szCs w:val="22"/>
          <w:color w:val="auto"/>
        </w:rPr>
        <w:t>, the following terms have the following meanings:</w:t>
      </w:r>
    </w:p>
    <w:p>
      <w:pPr>
        <w:spacing w:after="0" w:line="220" w:lineRule="exact"/>
        <w:rPr>
          <w:sz w:val="20"/>
          <w:szCs w:val="20"/>
          <w:color w:val="auto"/>
        </w:rPr>
      </w:pPr>
    </w:p>
    <w:p>
      <w:pPr>
        <w:ind w:lef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ind w:left="18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any of the following: (i) a “covered entity” as that term is defined in, and interpreted in accordance with, 12 C.F.R. § 252.82(b); (ii) a “covered bank” as that term is defined 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20"/>
          </w:cols>
          <w:pgMar w:left="1440" w:top="1428" w:right="339" w:bottom="1440" w:gutter="0" w:footer="0" w:header="0"/>
        </w:sectPr>
      </w:pPr>
    </w:p>
    <w:bookmarkStart w:id="111" w:name="page112"/>
    <w:bookmarkEnd w:id="111"/>
    <w:p>
      <w:pPr>
        <w:ind w:left="1300"/>
        <w:spacing w:after="0" w:line="263" w:lineRule="auto"/>
        <w:rPr>
          <w:sz w:val="20"/>
          <w:szCs w:val="20"/>
          <w:color w:val="auto"/>
        </w:rPr>
      </w:pPr>
      <w:r>
        <w:rPr>
          <w:rFonts w:ascii="Arial" w:cs="Arial" w:eastAsia="Arial" w:hAnsi="Arial"/>
          <w:sz w:val="22"/>
          <w:szCs w:val="22"/>
          <w:color w:val="auto"/>
        </w:rPr>
        <w:t>interpreted in accordance with, 12 C.F.R. § 47.3(b); or (iii) a “covered FSI” as that term is defined in, and interpreted in accordance with, 12 C.F.R. § 382.2(b).</w:t>
      </w:r>
    </w:p>
    <w:p>
      <w:pPr>
        <w:spacing w:after="0" w:line="175"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5" w:lineRule="exact"/>
        <w:rPr>
          <w:sz w:val="20"/>
          <w:szCs w:val="20"/>
          <w:color w:val="auto"/>
        </w:rPr>
      </w:pPr>
    </w:p>
    <w:p>
      <w:pPr>
        <w:ind w:left="1300" w:firstLine="59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To induce the other parties hereto to enter into this Agreement,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Borrower hereby represents and warrants to the Administrative Agent and each of the other parties hereto that:</w:t>
      </w:r>
    </w:p>
    <w:p>
      <w:pPr>
        <w:spacing w:after="0" w:line="202" w:lineRule="exact"/>
        <w:rPr>
          <w:sz w:val="20"/>
          <w:szCs w:val="20"/>
          <w:color w:val="auto"/>
        </w:rPr>
      </w:pPr>
    </w:p>
    <w:p>
      <w:pPr>
        <w:jc w:val="both"/>
        <w:ind w:left="660" w:firstLine="644"/>
        <w:spacing w:after="0" w:line="248" w:lineRule="auto"/>
        <w:tabs>
          <w:tab w:leader="none" w:pos="1953" w:val="left"/>
        </w:tabs>
        <w:numPr>
          <w:ilvl w:val="0"/>
          <w:numId w:val="80"/>
        </w:numPr>
        <w:rPr>
          <w:rFonts w:ascii="Arial" w:cs="Arial" w:eastAsia="Arial" w:hAnsi="Arial"/>
          <w:sz w:val="22"/>
          <w:szCs w:val="22"/>
          <w:color w:val="auto"/>
        </w:rPr>
      </w:pPr>
      <w:r>
        <w:rPr>
          <w:rFonts w:ascii="Arial" w:cs="Arial" w:eastAsia="Arial" w:hAnsi="Arial"/>
          <w:sz w:val="22"/>
          <w:szCs w:val="22"/>
          <w:color w:val="auto"/>
        </w:rPr>
        <w:t>As of the Fourth Amendment Effective Date, each Loan Party has duly executed and delivered and authorized this Amendment and this Amendment constitutes the legal, valid and binding obligation of such Loan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91" w:lineRule="exact"/>
        <w:rPr>
          <w:rFonts w:ascii="Arial" w:cs="Arial" w:eastAsia="Arial" w:hAnsi="Arial"/>
          <w:sz w:val="22"/>
          <w:szCs w:val="22"/>
          <w:color w:val="auto"/>
        </w:rPr>
      </w:pPr>
    </w:p>
    <w:p>
      <w:pPr>
        <w:jc w:val="both"/>
        <w:ind w:left="660" w:firstLine="644"/>
        <w:spacing w:after="0" w:line="294" w:lineRule="auto"/>
        <w:tabs>
          <w:tab w:leader="none" w:pos="1951"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As of the Fourth Amendment Effective Date, (i) the representations and warranties set forth in the Credit Agreement and in the other Loan Documents are true and correct in all material respects except to the extent such representations and warranties specifically relate to an earlier date, in which case such representations and warranties were true and correct in all material respects on and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such materiality qualifier is not applicable to any representations and warranties that already are qualified or modified by materiality in the text thereof and (ii) no Default or Event of Default has occurred and is continuing.</w:t>
      </w:r>
    </w:p>
    <w:p>
      <w:pPr>
        <w:spacing w:after="0" w:line="149"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xml:space="preserve"> The effectiveness of this Amendment is subject to the satisfaction or waiver, on or prior to May 11, 2020, of the following conditions precedent (the date on which all such conditions are satisfied or waived, the “</w:t>
      </w:r>
      <w:r>
        <w:rPr>
          <w:rFonts w:ascii="Arial" w:cs="Arial" w:eastAsia="Arial" w:hAnsi="Arial"/>
          <w:sz w:val="22"/>
          <w:szCs w:val="22"/>
          <w:u w:val="single" w:color="auto"/>
          <w:color w:val="auto"/>
        </w:rPr>
        <w:t>Fourth Amendment Effective Date</w:t>
      </w:r>
      <w:r>
        <w:rPr>
          <w:rFonts w:ascii="Arial" w:cs="Arial" w:eastAsia="Arial" w:hAnsi="Arial"/>
          <w:sz w:val="22"/>
          <w:szCs w:val="22"/>
          <w:color w:val="auto"/>
        </w:rPr>
        <w:t>”):</w:t>
      </w:r>
    </w:p>
    <w:p>
      <w:pPr>
        <w:spacing w:after="0" w:line="185" w:lineRule="exact"/>
        <w:rPr>
          <w:sz w:val="20"/>
          <w:szCs w:val="20"/>
          <w:color w:val="auto"/>
        </w:rPr>
      </w:pPr>
    </w:p>
    <w:p>
      <w:pPr>
        <w:jc w:val="both"/>
        <w:ind w:left="660" w:firstLine="644"/>
        <w:spacing w:after="0" w:line="250" w:lineRule="auto"/>
        <w:tabs>
          <w:tab w:leader="none" w:pos="1953"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the Borrower and the Required Lenders either (i) a counterpart of this Amendment signed on behalf of such parties or (ii) written evidence satisfactory to the Administrative Agent (which may include facsimile or other electronic transmission of a signed signature page of this Amendment) that such parties have signed a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112" w:name="page113"/>
    <w:bookmarkEnd w:id="112"/>
    <w:p>
      <w:pPr>
        <w:jc w:val="both"/>
        <w:ind w:left="660" w:firstLine="644"/>
        <w:spacing w:after="0" w:line="250" w:lineRule="auto"/>
        <w:tabs>
          <w:tab w:leader="none" w:pos="1951"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Borrower shall have paid all fees due and payable as of the Fourth Amendment Effective Date and all expenses for which reasonably detailed invoices have been presented prior to the Fourth Amendment Effective Date that are due to the Administrative Agent and the Lenders and required to be paid on the Fourth Amendment Effective Date in connection with the transactions contemplated hereby.</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representations and warranties set forth in Section 3 shall be true and correct.</w:t>
      </w:r>
    </w:p>
    <w:p>
      <w:pPr>
        <w:spacing w:after="0" w:line="220"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The Administrative Agent shall notify the Borrower and the Lenders of the Fourth Amendment Effective Date, and such notice shall be conclusive and binding.</w:t>
      </w:r>
    </w:p>
    <w:p>
      <w:pPr>
        <w:spacing w:after="0" w:line="175"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Consent and Reaffirmation.</w:t>
      </w:r>
      <w:r>
        <w:rPr>
          <w:rFonts w:ascii="Arial" w:cs="Arial" w:eastAsia="Arial" w:hAnsi="Arial"/>
          <w:sz w:val="19"/>
          <w:szCs w:val="19"/>
          <w:color w:val="auto"/>
        </w:rPr>
        <w:t xml:space="preserve"> Each of the Loan Parties hereby (i) consents to this Amendment and the transactions contemplated hereby and (ii) agrees that, notwithstanding the effectiveness of this Amendment, its Obligations under each of the Loan Documents to which it is a party continues to be in full force and effect. The parties hereto expressly acknowledge that it is not their intention that this Amendment or any of the other Loan Documents executed or delivered pursuant hereto constitute a novation of any of the obligations, covenants or agreements contained in the Credit Agreement or any other Loan Document, but a modification thereof pursuant to the terms contained herein.</w:t>
      </w:r>
    </w:p>
    <w:p>
      <w:pPr>
        <w:spacing w:after="0" w:line="14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This Amendment shall constitute a “Loan Document” for all purposes of the Credit Agreement and the other Loan Documents.</w:t>
      </w:r>
    </w:p>
    <w:p>
      <w:pPr>
        <w:spacing w:after="0" w:line="175"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or other electronic transmission shall be as effective as delivery of an original executed counterpart of this Amendment.</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AMENDMENT AND THE RIGHTS AND OBLIGATIONS OF THE PARTIES UNDER THIS AMENDMENT SHALL BE GOVERNED BY, AND CONSTRUED AND INTERPRETED IN ACCORDANCE WITH, THE LAW OF THE STATE OF NEW YORK.</w:t>
      </w:r>
    </w:p>
    <w:p>
      <w:pPr>
        <w:spacing w:after="0" w:line="18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Headings.</w:t>
      </w:r>
      <w:r>
        <w:rPr>
          <w:rFonts w:ascii="Arial" w:cs="Arial" w:eastAsia="Arial" w:hAnsi="Arial"/>
          <w:sz w:val="21"/>
          <w:szCs w:val="21"/>
          <w:color w:val="auto"/>
        </w:rPr>
        <w:t xml:space="preserve"> Section headings used herein are for convenience of reference only, are not part of this Amendment and shall not affect the construction of, or be taken into consideration in interpreting, this Amendment.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13" w:name="page114"/>
    <w:bookmarkEnd w:id="113"/>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or representatives as of the day and year first above written.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FORTRESS TRANSPORTATION AND INFRASTRUCTURE</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INVESTORS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the Borrower</w:t>
      </w:r>
    </w:p>
    <w:p>
      <w:pPr>
        <w:spacing w:after="0" w:line="44" w:lineRule="exact"/>
        <w:rPr>
          <w:sz w:val="20"/>
          <w:szCs w:val="20"/>
          <w:color w:val="auto"/>
        </w:rPr>
      </w:pPr>
    </w:p>
    <w:p>
      <w:pPr>
        <w:ind w:left="562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24130</wp:posOffset>
            </wp:positionV>
            <wp:extent cx="30689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Name: Joseph P. Adams Jr.</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Title: Chief Executive Officer</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FORTRESS WORLDWIDE TRANSPORTATION AND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INFRASTRUCTURE GENERAL PARTNERSHIP,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BY ITS FORTRESS PARTNER FORTRESS WORLDWIDE</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TRANSPORTATION AND INFRASTRUCTURE MASTER</w:t>
      </w:r>
    </w:p>
    <w:p>
      <w:pPr>
        <w:spacing w:after="0" w:line="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a Grantor</w:t>
      </w:r>
    </w:p>
    <w:p>
      <w:pPr>
        <w:spacing w:after="0" w:line="287" w:lineRule="exact"/>
        <w:rPr>
          <w:sz w:val="20"/>
          <w:szCs w:val="20"/>
          <w:color w:val="auto"/>
        </w:rPr>
      </w:pPr>
    </w:p>
    <w:p>
      <w:pPr>
        <w:ind w:left="562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24130</wp:posOffset>
            </wp:positionV>
            <wp:extent cx="30689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Name: Demetrios Tserpelis</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Amendment No. 4]</w:t>
      </w:r>
    </w:p>
    <w:p>
      <w:pPr>
        <w:sectPr>
          <w:pgSz w:w="11900" w:h="16838" w:orient="portrait"/>
          <w:cols w:equalWidth="0" w:num="1">
            <w:col w:w="11240"/>
          </w:cols>
          <w:pgMar w:left="320" w:top="1428" w:right="339" w:bottom="1440" w:gutter="0" w:footer="0" w:header="0"/>
        </w:sectPr>
      </w:pPr>
    </w:p>
    <w:bookmarkStart w:id="114" w:name="page115"/>
    <w:bookmarkEnd w:id="114"/>
    <w:p>
      <w:pPr>
        <w:spacing w:after="0" w:line="4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as Administrative Agent, a Lender and Issuing Bank</w:t>
      </w:r>
    </w:p>
    <w:p>
      <w:pPr>
        <w:spacing w:after="0" w:line="304" w:lineRule="exact"/>
        <w:rPr>
          <w:sz w:val="20"/>
          <w:szCs w:val="20"/>
          <w:color w:val="auto"/>
        </w:rPr>
      </w:pPr>
    </w:p>
    <w:p>
      <w:pPr>
        <w:ind w:left="4500"/>
        <w:spacing w:after="0"/>
        <w:tabs>
          <w:tab w:leader="none" w:pos="5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Cristina Caviness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24130</wp:posOffset>
            </wp:positionV>
            <wp:extent cx="30518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Name: Cristina Caviness</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9"/>
          <w:szCs w:val="19"/>
          <w:i w:val="1"/>
          <w:iCs w:val="1"/>
          <w:color w:val="auto"/>
        </w:rPr>
        <w:t>[Signature Page to Amendment No. 4]</w:t>
      </w:r>
    </w:p>
    <w:p>
      <w:pPr>
        <w:sectPr>
          <w:pgSz w:w="11900" w:h="16838" w:orient="portrait"/>
          <w:cols w:equalWidth="0" w:num="1">
            <w:col w:w="9040"/>
          </w:cols>
          <w:pgMar w:left="1440" w:top="1440" w:right="1419" w:bottom="1440" w:gutter="0" w:footer="0" w:header="0"/>
        </w:sectPr>
      </w:pPr>
    </w:p>
    <w:bookmarkStart w:id="115" w:name="page116"/>
    <w:bookmarkEnd w:id="115"/>
    <w:p>
      <w:pPr>
        <w:spacing w:after="0" w:line="4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as a Lender and Issuing Bank</w:t>
      </w:r>
    </w:p>
    <w:p>
      <w:pPr>
        <w:spacing w:after="0" w:line="281" w:lineRule="exact"/>
        <w:rPr>
          <w:sz w:val="20"/>
          <w:szCs w:val="20"/>
          <w:color w:val="auto"/>
        </w:rPr>
      </w:pPr>
    </w:p>
    <w:p>
      <w:pPr>
        <w:ind w:left="4500"/>
        <w:spacing w:after="0"/>
        <w:tabs>
          <w:tab w:leader="none" w:pos="5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24130</wp:posOffset>
            </wp:positionV>
            <wp:extent cx="30518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Name: Craig J. Malloy</w:t>
      </w:r>
    </w:p>
    <w:p>
      <w:pPr>
        <w:spacing w:after="0" w:line="79"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Amendment No. 4]</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42"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MORGAN STANLEY SENIOR FUNDING, INC.,</w:t>
      </w:r>
    </w:p>
    <w:p>
      <w:pPr>
        <w:spacing w:after="0" w:line="5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a Lender and Issuing Bank</w:t>
      </w:r>
    </w:p>
    <w:p>
      <w:pPr>
        <w:spacing w:after="0" w:line="269" w:lineRule="exact"/>
        <w:rPr>
          <w:sz w:val="20"/>
          <w:szCs w:val="20"/>
          <w:color w:val="auto"/>
        </w:rPr>
      </w:pPr>
    </w:p>
    <w:p>
      <w:pPr>
        <w:ind w:left="4500"/>
        <w:spacing w:after="0"/>
        <w:tabs>
          <w:tab w:leader="none" w:pos="5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24130</wp:posOffset>
            </wp:positionV>
            <wp:extent cx="30518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Name: Jack Kuhns</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Amendment No. 4]</w:t>
      </w:r>
    </w:p>
    <w:p>
      <w:pPr>
        <w:sectPr>
          <w:pgSz w:w="11900" w:h="16838" w:orient="portrait"/>
          <w:cols w:equalWidth="0" w:num="1">
            <w:col w:w="9019"/>
          </w:cols>
          <w:pgMar w:left="1440" w:top="1440"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color w:val="auto"/>
        </w:rPr>
        <w:t>Annex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1428"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AIRCRAFT MORTGAGE AND SECURITY AGREEMENT</w:t>
      </w:r>
    </w:p>
    <w:p>
      <w:pPr>
        <w:spacing w:after="0" w:line="200" w:lineRule="exact"/>
        <w:rPr>
          <w:sz w:val="20"/>
          <w:szCs w:val="20"/>
          <w:color w:val="auto"/>
        </w:rPr>
      </w:pPr>
    </w:p>
    <w:p>
      <w:pPr>
        <w:spacing w:after="0" w:line="290"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Dated as of _________________, 2020</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GRANTORS AND ADDITIONAL GRANTORS REFERRED TO HEREIN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the Grantors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the Administrative Agent</w:t>
      </w:r>
    </w:p>
    <w:p>
      <w:pPr>
        <w:sectPr>
          <w:pgSz w:w="11900" w:h="16838" w:orient="portrait"/>
          <w:cols w:equalWidth="0" w:num="1">
            <w:col w:w="9019"/>
          </w:cols>
          <w:pgMar w:left="1440" w:top="1440" w:right="1440"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22"/>
          <w:szCs w:val="22"/>
          <w:color w:val="auto"/>
        </w:rPr>
        <w:t>TABLEOFCONTENTS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I DEFINITIONS</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1</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1.01 Definitions</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1</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1.02 Construction and Usage</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6</w:t>
              </w:r>
            </w:hyperlink>
          </w:p>
        </w:tc>
      </w:tr>
      <w:tr>
        <w:trPr>
          <w:trHeight w:val="311"/>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II SECURITY</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7</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2.01 Grant of Security</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7</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2.02 Security for Obligations</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8</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2.03 Representations and Warranties of the Grantors</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8</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2.04 Grantors Remain Liable</w:t>
              </w:r>
            </w:hyperlink>
          </w:p>
        </w:tc>
        <w:tc>
          <w:tcPr>
            <w:tcW w:w="2540" w:type="dxa"/>
            <w:vAlign w:val="bottom"/>
          </w:tcPr>
          <w:p>
            <w:pPr>
              <w:ind w:left="2320"/>
              <w:spacing w:after="0"/>
              <w:rPr>
                <w:rFonts w:ascii="Arial" w:cs="Arial" w:eastAsia="Arial" w:hAnsi="Arial"/>
                <w:sz w:val="22"/>
                <w:szCs w:val="22"/>
                <w:color w:val="auto"/>
              </w:rPr>
            </w:pPr>
            <w:hyperlink w:anchor="page121">
              <w:r>
                <w:rPr>
                  <w:rFonts w:ascii="Arial" w:cs="Arial" w:eastAsia="Arial" w:hAnsi="Arial"/>
                  <w:sz w:val="22"/>
                  <w:szCs w:val="22"/>
                  <w:color w:val="auto"/>
                </w:rPr>
                <w:t>9</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2.05 As to the Assigned Documents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10</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2.06 Further Assurances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11</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2.07 Administrative Agent Appointed Attorney-in-Fact</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12</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2.08 Administrative Agent May Perform</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13</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2.09 Delivery of Collateral Supplements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13</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2.10 Covenants Related to Addition of Pool Aircraft</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13</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2.11 Application of Proceeds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14</w:t>
              </w:r>
            </w:hyperlink>
          </w:p>
        </w:tc>
      </w:tr>
      <w:tr>
        <w:trPr>
          <w:trHeight w:val="311"/>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III REMEDIES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14</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3.01 Remedies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14</w:t>
              </w:r>
            </w:hyperlink>
          </w:p>
        </w:tc>
      </w:tr>
      <w:tr>
        <w:trPr>
          <w:trHeight w:val="310"/>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IV SECURITY INTEREST ABSOLUTE</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15</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4.01 Security Interest Absolute</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15</w:t>
              </w:r>
            </w:hyperlink>
          </w:p>
        </w:tc>
      </w:tr>
      <w:tr>
        <w:trPr>
          <w:trHeight w:val="310"/>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V THE ADMINISTRATIVE AGENT</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16</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5.01 Cape Town Convention</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16</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5.02 No Individual Liability</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16</w:t>
              </w:r>
            </w:hyperlink>
          </w:p>
        </w:tc>
      </w:tr>
      <w:tr>
        <w:trPr>
          <w:trHeight w:val="311"/>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VI INDEMNITY AND EXPENSES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16</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6.01 Secured Parties' Indemnity</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16</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6.02 Survival</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16</w:t>
              </w:r>
            </w:hyperlink>
          </w:p>
        </w:tc>
      </w:tr>
      <w:tr>
        <w:trPr>
          <w:trHeight w:val="310"/>
        </w:trPr>
        <w:tc>
          <w:tcPr>
            <w:tcW w:w="8020" w:type="dxa"/>
            <w:vAlign w:val="bottom"/>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ARTICLE VII MISCELLANEOUS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17</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7.01 Amendments; Etc.</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17</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7.02 Addresses for Notices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17</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7.03 No Waiver; Cumulative Remedies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17</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7.04 Severability</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17</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7.05 Continuing Security Interest</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18</w:t>
              </w:r>
            </w:hyperlink>
          </w:p>
        </w:tc>
      </w:tr>
      <w:tr>
        <w:trPr>
          <w:trHeight w:val="311"/>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7.06 Release and Termination</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18</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7.07 Conversion of Currencies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18</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7.08 Governing Law</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19</w:t>
              </w:r>
            </w:hyperlink>
          </w:p>
        </w:tc>
      </w:tr>
      <w:tr>
        <w:trPr>
          <w:trHeight w:val="310"/>
        </w:trPr>
        <w:tc>
          <w:tcPr>
            <w:tcW w:w="8020" w:type="dxa"/>
            <w:vAlign w:val="bottom"/>
          </w:tcPr>
          <w:p>
            <w:pPr>
              <w:ind w:left="220"/>
              <w:spacing w:after="0"/>
              <w:rPr>
                <w:rFonts w:ascii="Arial" w:cs="Arial" w:eastAsia="Arial" w:hAnsi="Arial"/>
                <w:sz w:val="22"/>
                <w:szCs w:val="22"/>
                <w:color w:val="auto"/>
              </w:rPr>
            </w:pPr>
            <w:hyperlink w:anchor="page121">
              <w:r>
                <w:rPr>
                  <w:rFonts w:ascii="Arial" w:cs="Arial" w:eastAsia="Arial" w:hAnsi="Arial"/>
                  <w:sz w:val="22"/>
                  <w:szCs w:val="22"/>
                  <w:color w:val="auto"/>
                </w:rPr>
                <w:t>Section 7.09 Jurisdiction; Consent to Service of Process</w:t>
              </w:r>
            </w:hyperlink>
          </w:p>
        </w:tc>
        <w:tc>
          <w:tcPr>
            <w:tcW w:w="2540" w:type="dxa"/>
            <w:vAlign w:val="bottom"/>
          </w:tcPr>
          <w:p>
            <w:pPr>
              <w:ind w:left="2320"/>
              <w:spacing w:after="0"/>
              <w:rPr>
                <w:rFonts w:ascii="Arial" w:cs="Arial" w:eastAsia="Arial" w:hAnsi="Arial"/>
                <w:sz w:val="22"/>
                <w:szCs w:val="22"/>
                <w:color w:val="auto"/>
                <w:w w:val="81"/>
              </w:rPr>
            </w:pPr>
            <w:hyperlink w:anchor="page121">
              <w:r>
                <w:rPr>
                  <w:rFonts w:ascii="Arial" w:cs="Arial" w:eastAsia="Arial" w:hAnsi="Arial"/>
                  <w:sz w:val="22"/>
                  <w:szCs w:val="22"/>
                  <w:color w:val="auto"/>
                  <w:w w:val="81"/>
                </w:rPr>
                <w:t>19</w:t>
              </w:r>
            </w:hyperlink>
          </w:p>
        </w:tc>
      </w:tr>
    </w:tbl>
    <w:p>
      <w:pPr>
        <w:spacing w:after="0" w:line="200" w:lineRule="exact"/>
        <w:rPr>
          <w:sz w:val="20"/>
          <w:szCs w:val="20"/>
          <w:color w:val="auto"/>
        </w:rPr>
      </w:pPr>
    </w:p>
    <w:p>
      <w:pPr>
        <w:sectPr>
          <w:pgSz w:w="11900" w:h="16838" w:orient="portrait"/>
          <w:cols w:equalWidth="0" w:num="1">
            <w:col w:w="11220"/>
          </w:cols>
          <w:pgMar w:left="340" w:top="1428" w:right="339" w:bottom="10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428" w:right="339" w:bottom="1079" w:gutter="0" w:footer="0" w:header="0"/>
          <w:type w:val="continuous"/>
        </w:sectPr>
      </w:pPr>
    </w:p>
    <w:bookmarkStart w:id="120" w:name="page121"/>
    <w:bookmarkEnd w:id="120"/>
    <w:p>
      <w:pPr>
        <w:spacing w:after="0" w:line="42" w:lineRule="exact"/>
        <w:rPr>
          <w:sz w:val="20"/>
          <w:szCs w:val="20"/>
          <w:color w:val="auto"/>
        </w:rPr>
      </w:pPr>
    </w:p>
    <w:tbl>
      <w:tblPr>
        <w:tblLayout w:type="fixed"/>
        <w:tblInd w:w="240" w:type="dxa"/>
        <w:tblCellMar>
          <w:top w:w="0" w:type="dxa"/>
          <w:left w:w="0" w:type="dxa"/>
          <w:bottom w:w="0" w:type="dxa"/>
          <w:right w:w="0" w:type="dxa"/>
        </w:tblCellMar>
      </w:tblPr>
      <w:tr>
        <w:trPr>
          <w:trHeight w:val="274"/>
        </w:trPr>
        <w:tc>
          <w:tcPr>
            <w:tcW w:w="1100" w:type="dxa"/>
            <w:vAlign w:val="bottom"/>
          </w:tcPr>
          <w:p>
            <w:pPr>
              <w:spacing w:after="0"/>
              <w:rPr>
                <w:rFonts w:ascii="Arial" w:cs="Arial" w:eastAsia="Arial" w:hAnsi="Arial"/>
                <w:sz w:val="22"/>
                <w:szCs w:val="22"/>
                <w:color w:val="auto"/>
                <w:w w:val="88"/>
              </w:rPr>
            </w:pPr>
            <w:hyperlink w:anchor="page121">
              <w:r>
                <w:rPr>
                  <w:rFonts w:ascii="Arial" w:cs="Arial" w:eastAsia="Arial" w:hAnsi="Arial"/>
                  <w:sz w:val="22"/>
                  <w:szCs w:val="22"/>
                  <w:color w:val="auto"/>
                  <w:w w:val="88"/>
                </w:rPr>
                <w:t>Section 7.10</w:t>
              </w:r>
            </w:hyperlink>
          </w:p>
        </w:tc>
        <w:tc>
          <w:tcPr>
            <w:tcW w:w="5980" w:type="dxa"/>
            <w:vAlign w:val="bottom"/>
          </w:tcPr>
          <w:p>
            <w:pPr>
              <w:ind w:left="40"/>
              <w:spacing w:after="0"/>
              <w:rPr>
                <w:rFonts w:ascii="Arial" w:cs="Arial" w:eastAsia="Arial" w:hAnsi="Arial"/>
                <w:sz w:val="22"/>
                <w:szCs w:val="22"/>
                <w:color w:val="auto"/>
              </w:rPr>
            </w:pPr>
            <w:hyperlink w:anchor="page121">
              <w:r>
                <w:rPr>
                  <w:rFonts w:ascii="Arial" w:cs="Arial" w:eastAsia="Arial" w:hAnsi="Arial"/>
                  <w:sz w:val="22"/>
                  <w:szCs w:val="22"/>
                  <w:color w:val="auto"/>
                </w:rPr>
                <w:t>Counterparts</w:t>
              </w:r>
            </w:hyperlink>
          </w:p>
        </w:tc>
        <w:tc>
          <w:tcPr>
            <w:tcW w:w="3260" w:type="dxa"/>
            <w:vAlign w:val="bottom"/>
          </w:tcPr>
          <w:p>
            <w:pPr>
              <w:jc w:val="right"/>
              <w:spacing w:after="0"/>
              <w:rPr>
                <w:rFonts w:ascii="Arial" w:cs="Arial" w:eastAsia="Arial" w:hAnsi="Arial"/>
                <w:sz w:val="22"/>
                <w:szCs w:val="22"/>
                <w:color w:val="auto"/>
              </w:rPr>
            </w:pPr>
            <w:hyperlink w:anchor="page121">
              <w:r>
                <w:rPr>
                  <w:rFonts w:ascii="Arial" w:cs="Arial" w:eastAsia="Arial" w:hAnsi="Arial"/>
                  <w:sz w:val="22"/>
                  <w:szCs w:val="22"/>
                  <w:color w:val="auto"/>
                </w:rPr>
                <w:t>20</w:t>
              </w:r>
            </w:hyperlink>
          </w:p>
        </w:tc>
      </w:tr>
      <w:tr>
        <w:trPr>
          <w:trHeight w:val="310"/>
        </w:trPr>
        <w:tc>
          <w:tcPr>
            <w:tcW w:w="7080" w:type="dxa"/>
            <w:vAlign w:val="bottom"/>
            <w:gridSpan w:val="2"/>
          </w:tcPr>
          <w:p>
            <w:pPr>
              <w:spacing w:after="0"/>
              <w:rPr>
                <w:rFonts w:ascii="Arial" w:cs="Arial" w:eastAsia="Arial" w:hAnsi="Arial"/>
                <w:sz w:val="22"/>
                <w:szCs w:val="22"/>
                <w:color w:val="auto"/>
              </w:rPr>
            </w:pPr>
            <w:hyperlink w:anchor="page121">
              <w:r>
                <w:rPr>
                  <w:rFonts w:ascii="Arial" w:cs="Arial" w:eastAsia="Arial" w:hAnsi="Arial"/>
                  <w:sz w:val="22"/>
                  <w:szCs w:val="22"/>
                  <w:color w:val="auto"/>
                </w:rPr>
                <w:t>Section 7.11 Table of Contents, Headings, Etc.</w:t>
              </w:r>
            </w:hyperlink>
          </w:p>
        </w:tc>
        <w:tc>
          <w:tcPr>
            <w:tcW w:w="3260" w:type="dxa"/>
            <w:vAlign w:val="bottom"/>
          </w:tcPr>
          <w:p>
            <w:pPr>
              <w:jc w:val="right"/>
              <w:spacing w:after="0"/>
              <w:rPr>
                <w:rFonts w:ascii="Arial" w:cs="Arial" w:eastAsia="Arial" w:hAnsi="Arial"/>
                <w:sz w:val="22"/>
                <w:szCs w:val="22"/>
                <w:color w:val="auto"/>
              </w:rPr>
            </w:pPr>
            <w:hyperlink w:anchor="page121">
              <w:r>
                <w:rPr>
                  <w:rFonts w:ascii="Arial" w:cs="Arial" w:eastAsia="Arial" w:hAnsi="Arial"/>
                  <w:sz w:val="22"/>
                  <w:szCs w:val="22"/>
                  <w:color w:val="auto"/>
                </w:rPr>
                <w:t>20</w:t>
              </w:r>
            </w:hyperlink>
          </w:p>
        </w:tc>
      </w:tr>
      <w:tr>
        <w:trPr>
          <w:trHeight w:val="311"/>
        </w:trPr>
        <w:tc>
          <w:tcPr>
            <w:tcW w:w="1100" w:type="dxa"/>
            <w:vAlign w:val="bottom"/>
          </w:tcPr>
          <w:p>
            <w:pPr>
              <w:spacing w:after="0"/>
              <w:rPr>
                <w:rFonts w:ascii="Arial" w:cs="Arial" w:eastAsia="Arial" w:hAnsi="Arial"/>
                <w:sz w:val="22"/>
                <w:szCs w:val="22"/>
                <w:color w:val="auto"/>
                <w:w w:val="88"/>
              </w:rPr>
            </w:pPr>
            <w:hyperlink w:anchor="page121">
              <w:r>
                <w:rPr>
                  <w:rFonts w:ascii="Arial" w:cs="Arial" w:eastAsia="Arial" w:hAnsi="Arial"/>
                  <w:sz w:val="22"/>
                  <w:szCs w:val="22"/>
                  <w:color w:val="auto"/>
                  <w:w w:val="88"/>
                </w:rPr>
                <w:t>Section 7.12</w:t>
              </w:r>
            </w:hyperlink>
          </w:p>
        </w:tc>
        <w:tc>
          <w:tcPr>
            <w:tcW w:w="5980" w:type="dxa"/>
            <w:vAlign w:val="bottom"/>
          </w:tcPr>
          <w:p>
            <w:pPr>
              <w:ind w:left="40"/>
              <w:spacing w:after="0"/>
              <w:rPr>
                <w:rFonts w:ascii="Arial" w:cs="Arial" w:eastAsia="Arial" w:hAnsi="Arial"/>
                <w:sz w:val="22"/>
                <w:szCs w:val="22"/>
                <w:color w:val="auto"/>
              </w:rPr>
            </w:pPr>
            <w:hyperlink w:anchor="page121">
              <w:r>
                <w:rPr>
                  <w:rFonts w:ascii="Arial" w:cs="Arial" w:eastAsia="Arial" w:hAnsi="Arial"/>
                  <w:sz w:val="22"/>
                  <w:szCs w:val="22"/>
                  <w:color w:val="auto"/>
                </w:rPr>
                <w:t>Non-Invasive Provisions</w:t>
              </w:r>
            </w:hyperlink>
          </w:p>
        </w:tc>
        <w:tc>
          <w:tcPr>
            <w:tcW w:w="3260" w:type="dxa"/>
            <w:vAlign w:val="bottom"/>
          </w:tcPr>
          <w:p>
            <w:pPr>
              <w:jc w:val="right"/>
              <w:spacing w:after="0"/>
              <w:rPr>
                <w:rFonts w:ascii="Arial" w:cs="Arial" w:eastAsia="Arial" w:hAnsi="Arial"/>
                <w:sz w:val="22"/>
                <w:szCs w:val="22"/>
                <w:color w:val="auto"/>
              </w:rPr>
            </w:pPr>
            <w:hyperlink w:anchor="page121">
              <w:r>
                <w:rPr>
                  <w:rFonts w:ascii="Arial" w:cs="Arial" w:eastAsia="Arial" w:hAnsi="Arial"/>
                  <w:sz w:val="22"/>
                  <w:szCs w:val="22"/>
                  <w:color w:val="auto"/>
                </w:rPr>
                <w:t>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SCHEDULES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Schedule I Aircraft, Airframes and Engines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Schedule II Registered Office and Company Registration Number or Organizational ID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Exhibit A-1 Form of Collateral Supplement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A-2 Form of Grantor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580"/>
          </w:cols>
          <w:pgMar w:left="320" w:top="1440" w:right="9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color w:val="auto"/>
        </w:rPr>
        <w:t>AIRCRAFT MORTGAGE AND SECURITY AGREEMENT</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AIRCRAFT MORTGAGE AND SECURITY AGREEMENT (this "Agreement"), dated as of [•], 2020, is made among the GRANTORS named on the signature pages hereto and the ADDITIONAL GRANTORS who from time to time become grantors under this Agreement (collectively, the "Grantors"), and JPMORGAN CHASE BANK, N.A., as the administrative agent (in such capacity, and together with any permitted successor or assign thereto or any permitted replacement thereof, the "Administrative Agent").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PRELIMINARY STATEMENTS:</w:t>
      </w:r>
    </w:p>
    <w:p>
      <w:pPr>
        <w:spacing w:after="0" w:line="220" w:lineRule="exact"/>
        <w:rPr>
          <w:sz w:val="20"/>
          <w:szCs w:val="20"/>
          <w:color w:val="auto"/>
        </w:rPr>
      </w:pPr>
    </w:p>
    <w:p>
      <w:pPr>
        <w:jc w:val="both"/>
        <w:ind w:firstLine="1304"/>
        <w:spacing w:after="0" w:line="294" w:lineRule="auto"/>
        <w:tabs>
          <w:tab w:leader="none" w:pos="1629" w:val="left"/>
        </w:tabs>
        <w:numPr>
          <w:ilvl w:val="0"/>
          <w:numId w:val="83"/>
        </w:numPr>
        <w:rPr>
          <w:rFonts w:ascii="Arial" w:cs="Arial" w:eastAsia="Arial" w:hAnsi="Arial"/>
          <w:sz w:val="19"/>
          <w:szCs w:val="19"/>
          <w:color w:val="auto"/>
        </w:rPr>
      </w:pPr>
      <w:r>
        <w:rPr>
          <w:rFonts w:ascii="Arial" w:cs="Arial" w:eastAsia="Arial" w:hAnsi="Arial"/>
          <w:sz w:val="19"/>
          <w:szCs w:val="19"/>
          <w:color w:val="auto"/>
        </w:rPr>
        <w:t>Fortress Transportation and Infrastructure Investors LLC (the "Borrower"), the Grantors from time to time party thereto, the lenders from time to time party thereto (the "Lenders"), and the Administrative Agent have entered into the Credit Agreement, dated as of June 16, 2017 (as amended by Amendment No. 1, dated as of August 2, 2018, as further amended by Amendment No. 2, dated as of February 8, 2019, as further amended by Amendment No. 3, dated as of August 6, 2019, as further amended by Amendment No. 4, dated as of May 11, 2020 and as further amended, supplemented or otherwise modified prior to the date hereof, the "Credit Agreement"), pursuant to which the Lenders have agreed to make Loans to the Borrower.</w:t>
      </w:r>
    </w:p>
    <w:p>
      <w:pPr>
        <w:spacing w:after="0" w:line="149" w:lineRule="exact"/>
        <w:rPr>
          <w:rFonts w:ascii="Arial" w:cs="Arial" w:eastAsia="Arial" w:hAnsi="Arial"/>
          <w:sz w:val="19"/>
          <w:szCs w:val="19"/>
          <w:color w:val="auto"/>
        </w:rPr>
      </w:pPr>
    </w:p>
    <w:p>
      <w:pPr>
        <w:ind w:left="1620" w:hanging="316"/>
        <w:spacing w:after="0"/>
        <w:tabs>
          <w:tab w:leader="none" w:pos="16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Grantors own certain Pool Aircraft and are parties to lease and sub-lease contracts with respect to such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Pool Aircraft.</w:t>
      </w:r>
    </w:p>
    <w:p>
      <w:pPr>
        <w:spacing w:after="0" w:line="201" w:lineRule="exact"/>
        <w:rPr>
          <w:rFonts w:ascii="Arial" w:cs="Arial" w:eastAsia="Arial" w:hAnsi="Arial"/>
          <w:sz w:val="19"/>
          <w:szCs w:val="19"/>
          <w:color w:val="auto"/>
        </w:rPr>
      </w:pPr>
    </w:p>
    <w:p>
      <w:pPr>
        <w:ind w:firstLine="1304"/>
        <w:spacing w:after="0" w:line="263" w:lineRule="auto"/>
        <w:tabs>
          <w:tab w:leader="none" w:pos="162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Grantors may from time to time grant additional security for the benefit of the Secured Parties, all in accordance with, and subject to the terms and conditions of, this Agreement.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61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Grantors in each case party thereto have agreed pursuant to the Credit Agreement, and it is a condition precedent to the making of the Loans by the Lenders to the Borrower under the Credit Agreement, that the Grantors grant the security interests required by this Agreement.</w:t>
      </w:r>
    </w:p>
    <w:p>
      <w:pPr>
        <w:spacing w:after="0" w:line="185" w:lineRule="exact"/>
        <w:rPr>
          <w:rFonts w:ascii="Arial" w:cs="Arial" w:eastAsia="Arial" w:hAnsi="Arial"/>
          <w:sz w:val="22"/>
          <w:szCs w:val="22"/>
          <w:color w:val="auto"/>
        </w:rPr>
      </w:pPr>
    </w:p>
    <w:p>
      <w:pPr>
        <w:ind w:left="1600" w:hanging="296"/>
        <w:spacing w:after="0"/>
        <w:tabs>
          <w:tab w:leader="none" w:pos="16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Each Grantor will derive substantial direct and indirect benefit from the transactions described above.</w:t>
      </w:r>
    </w:p>
    <w:p>
      <w:pPr>
        <w:spacing w:after="0" w:line="231" w:lineRule="exact"/>
        <w:rPr>
          <w:rFonts w:ascii="Arial" w:cs="Arial" w:eastAsia="Arial" w:hAnsi="Arial"/>
          <w:sz w:val="21"/>
          <w:szCs w:val="21"/>
          <w:color w:val="auto"/>
        </w:rPr>
      </w:pPr>
    </w:p>
    <w:p>
      <w:pPr>
        <w:ind w:left="1600" w:hanging="296"/>
        <w:spacing w:after="0"/>
        <w:tabs>
          <w:tab w:leader="none" w:pos="16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JPMorgan Chase Bank, N.A. is willing to act as the Administrative Agent under this Agreement.</w:t>
      </w:r>
    </w:p>
    <w:p>
      <w:pPr>
        <w:spacing w:after="0" w:line="22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NOW, THEREFORE, in consideration of the premises, each Grantor hereby agrees with the Administrative Agent for its respective benefit and the benefit of the other Secured Parties as follows:</w:t>
      </w:r>
    </w:p>
    <w:p>
      <w:pPr>
        <w:spacing w:after="0" w:line="175"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ectPr>
          <w:pgSz w:w="11900" w:h="16838" w:orient="portrait"/>
          <w:cols w:equalWidth="0" w:num="1">
            <w:col w:w="11240"/>
          </w:cols>
          <w:pgMar w:left="320" w:top="1428" w:right="339" w:bottom="1440" w:gutter="0" w:footer="0" w:header="0"/>
        </w:sectPr>
      </w:pPr>
    </w:p>
    <w:bookmarkStart w:id="122" w:name="page123"/>
    <w:bookmarkEnd w:id="122"/>
    <w:p>
      <w:pPr>
        <w:ind w:left="980"/>
        <w:spacing w:after="0"/>
        <w:rPr>
          <w:sz w:val="20"/>
          <w:szCs w:val="20"/>
          <w:color w:val="auto"/>
        </w:rPr>
      </w:pPr>
      <w:r>
        <w:rPr>
          <w:rFonts w:ascii="Arial" w:cs="Arial" w:eastAsia="Arial" w:hAnsi="Arial"/>
          <w:sz w:val="22"/>
          <w:szCs w:val="22"/>
          <w:u w:val="single" w:color="auto"/>
          <w:color w:val="auto"/>
        </w:rPr>
        <w:t>Section 1.01 Definitions</w:t>
      </w:r>
    </w:p>
    <w:p>
      <w:pPr>
        <w:spacing w:after="0" w:line="220" w:lineRule="exact"/>
        <w:rPr>
          <w:sz w:val="20"/>
          <w:szCs w:val="20"/>
          <w:color w:val="auto"/>
        </w:rPr>
      </w:pPr>
    </w:p>
    <w:p>
      <w:pPr>
        <w:ind w:left="1300" w:right="200" w:hanging="644"/>
        <w:spacing w:after="0" w:line="461" w:lineRule="auto"/>
        <w:tabs>
          <w:tab w:leader="none" w:pos="946" w:val="left"/>
        </w:tabs>
        <w:numPr>
          <w:ilvl w:val="0"/>
          <w:numId w:val="84"/>
        </w:numPr>
        <w:rPr>
          <w:rFonts w:ascii="Arial" w:cs="Arial" w:eastAsia="Arial" w:hAnsi="Arial"/>
          <w:sz w:val="22"/>
          <w:szCs w:val="22"/>
          <w:color w:val="auto"/>
        </w:rPr>
      </w:pPr>
      <w:r>
        <w:rPr>
          <w:rFonts w:ascii="Arial" w:cs="Arial" w:eastAsia="Arial" w:hAnsi="Arial"/>
          <w:sz w:val="22"/>
          <w:szCs w:val="22"/>
          <w:color w:val="auto"/>
        </w:rPr>
        <w:t>Certain Defined Terms. For the purposes of this Agreement, the following terms have the meanings indicated below: "Additional Grantor" has the meaning specified in Section 7.01(a).</w:t>
      </w:r>
    </w:p>
    <w:p>
      <w:pPr>
        <w:ind w:left="1300"/>
        <w:spacing w:after="0"/>
        <w:rPr>
          <w:rFonts w:ascii="Arial" w:cs="Arial" w:eastAsia="Arial" w:hAnsi="Arial"/>
          <w:sz w:val="22"/>
          <w:szCs w:val="22"/>
          <w:color w:val="auto"/>
        </w:rPr>
      </w:pPr>
      <w:r>
        <w:rPr>
          <w:rFonts w:ascii="Arial" w:cs="Arial" w:eastAsia="Arial" w:hAnsi="Arial"/>
          <w:sz w:val="22"/>
          <w:szCs w:val="22"/>
          <w:color w:val="auto"/>
        </w:rPr>
        <w:t>“Administrative Agent” has the meaning specified in the recital of parties to this Agreement.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"Agreement" has the meaning specified in the recital of parties to this Agreement.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"Agreement Currency" has the meaning specified in Section 7.07.</w:t>
      </w:r>
    </w:p>
    <w:p>
      <w:pPr>
        <w:spacing w:after="0" w:line="247"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"Aircraft Documents" means, with respect to a Pool Aircraft, all technical data, manuals and log books, and all inspection, modification and overhaul records and other service, repair, maintenance and technical records that are required pursuant to applicable law to be maintained with respect to such Pool Aircraft, and such term shall include all additions, renewals, revisions and replacements of any such materials from time to time made, or required to be made, pursuant to applicable law, and in each case in whatever form and by whatever means or medium (including, without limitation, microfiche, microfilm, paper or computer disk) such materials may be maintained or retained by the relevant Lessee.</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"Aircraft Objects" means, collectively, the Aircraft Objects (as defined in the Protocol) described on Schedule I hereto and in any Collateral Supplement or Grantor Supplement.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"Airframe" means, individually, each of the airframes described on Schedule I hereto and in any Collateral Supplement or Grantor Supplement.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"Applicable Creditor" has the meaning specified in Section 7.07.</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"Assigned Agreement Collateral" has the meaning specified in Section 2.01(b)(iii).</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"Assigned Agreements" has the meaning specified in Section 2.01(b)(iii)(A).</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"Assigned Documents" means, collectively, the Assigned Agreements and the Assigned Leases.</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"Assigned Leases" has the meaning specified in Section 2.01(b)(ii).</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"Borrower" has the meaning in the recital of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23" w:name="page124"/>
    <w:bookmarkEnd w:id="123"/>
    <w:p>
      <w:pPr>
        <w:jc w:val="both"/>
        <w:ind w:firstLine="763"/>
        <w:spacing w:after="0" w:line="250" w:lineRule="auto"/>
        <w:rPr>
          <w:sz w:val="20"/>
          <w:szCs w:val="20"/>
          <w:color w:val="auto"/>
        </w:rPr>
      </w:pPr>
      <w:r>
        <w:rPr>
          <w:rFonts w:ascii="Arial" w:cs="Arial" w:eastAsia="Arial" w:hAnsi="Arial"/>
          <w:sz w:val="22"/>
          <w:szCs w:val="22"/>
          <w:color w:val="auto"/>
        </w:rPr>
        <w:t>"Cape Town Lease" means any Lease (including any Lease between Grantors) that has been entered into, extended, assigned or novated after March 1, 2006 (or such later date as the Cape Town Convention may be given effect under the law of any applicable jurisdiction) (A) with a Cape Town Lessee or (B) where the related Aircraft Object is registered in a "Contracting State".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"Cape Town Lessee" means a lessee under a Lease that is "situated in" a "Contracting State".</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"Collateral" has the meaning specified in Section 2.01.</w:t>
      </w:r>
    </w:p>
    <w:p>
      <w:pPr>
        <w:spacing w:after="0" w:line="24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"Collateral Supplement" means a supplement to this Agreement in substantially the form attached as Exhibit A-1 hereto executed and delivered by a Grantor.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"Credit Agreement" has the meaning specified in the preliminary statements to this Agreement.</w:t>
      </w:r>
    </w:p>
    <w:p>
      <w:pPr>
        <w:spacing w:after="0" w:line="247"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"Eligible Institution" means (a) JPMorgan Chase Bank, N.A. in its capacity as the Administrative Agent under this Agreement; (b) any bank not organized under the laws of the United States of America or Ireland so long as it has either (i) a long-term unsecured debt rating of either A- or better by Standard &amp; Poor's or A2 or better by Moody's or (ii) a short-term unsecured debt rating of either A-1 or better by Standard &amp; Poor's or P-1 or better by Moody's; or (c) any bank organized under the laws of the United States of America or any state thereof, or the District of Columbia (or any branch of a foreign bank licensed under any such laws) or Ireland, so long as it (i) has either (A) a long-term unsecured debt rating of AA (or the equivalent) or better by either Standard &amp; Poor's or Moody's or (B) a short-term unsecured debt rating of either A-l or better by Standard &amp; Poor's or P-1 or better by Moody's and (ii) can act as a securities intermediary under the New York Uniform Commercial Code.</w:t>
      </w:r>
    </w:p>
    <w:p>
      <w:pPr>
        <w:spacing w:after="0" w:line="22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"Engine" means, individually, each of the aircraft engines described on Schedule I hereto or in any Collateral Supplement or Grantor Supplement.</w:t>
      </w:r>
    </w:p>
    <w:p>
      <w:pPr>
        <w:spacing w:after="0" w:line="20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"Express Perfection Requirements" with respect to each Pool Aircraft and the related Assigned Lease(s), (i) filing any UCC financing and/or continuation statements, and any amendments thereto, required pursuant to the Uniform Commercial Code of any applicable jurisdiction to establish and maintain a valid and perfected first priority Lien on such Pool Aircraft and the related Assigned Lease(s) under the UCC (subject to Permitted Liens); (ii) the taking of such other actions as may be required to perfect the Administrative Agent's security interest in any Collateral (other than any Pool Aircraft and any Assigned Lease); (iii) the Required Cape Town Registrations; and (iv) any other action contemplated by the Loan Documents.</w:t>
      </w:r>
    </w:p>
    <w:p>
      <w:pPr>
        <w:spacing w:after="0" w:line="17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"Excluded Property" shall mean (a) proceeds of public liability insurance (or government or other Person (including any Manufacturer, any Lessee and any sublessee of any Lessee) indemnities in lieu thereof) paid or payable as a result of insurance claims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286" w:lineRule="auto"/>
        <w:rPr>
          <w:sz w:val="20"/>
          <w:szCs w:val="20"/>
          <w:color w:val="auto"/>
        </w:rPr>
      </w:pPr>
      <w:r>
        <w:rPr>
          <w:rFonts w:ascii="Arial" w:cs="Arial" w:eastAsia="Arial" w:hAnsi="Arial"/>
          <w:sz w:val="19"/>
          <w:szCs w:val="19"/>
          <w:color w:val="auto"/>
        </w:rPr>
        <w:t>losses suffered, by any Grantor, any other Loan Party or any of their respective Affiliates, (b) proceeds of insurance maintained by any Grantor, any other Loan Party or any of their respective Affiliates for its or their own account or benefit (whether directly or through a Grantor or any other Loan Party) and not required by the Loan Documents, (c) any general, Tax or other indemnity payments, expenses, reimbursements and similar payments and interest in respect thereof paid or payable in favor of any Grantor, any other Loan Party or any of their respective Affiliates or their respective successors or assigns, officers, directors, employees, agents, managers and servants, including any such payments pursuant to any Lease, except to the extent such Person owes such amounts in respect of the same claim to a Secured Party, (d) any security interest held by a Grantor, any other Loan Party or any of their respective Affiliates in any assets of a Lessee or any sublessee thereof or of any of their Affiliates which secure obligations owed by such Lessee, sublessee or Affiliate pursuant to a grant of collateral not securing such Lessee's obligations under the applicable Lease, (e) any interest that may from time to time accrue in respect of any of the amounts described in clauses (a) through (d) above, (f) the proceeds from the enforcement of any right to enforce the payment of any amount described in clauses (a) through (e) above, and (g) any right to exercise any election or option or make any decision or determination, or to give or receive any notice, consent, waiver or approval, or to take any other action in respect of, but in each case, only to the extent relating to, any Excluded Property.</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“Grantor” has the meaning specified in the preliminary statements to this Agreement.</w:t>
      </w:r>
    </w:p>
    <w:p>
      <w:pPr>
        <w:spacing w:after="0" w:line="24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"Grantor Supplement" means a supplement to this Agreement in substantially the form attached as Exhibit A-2 hereto executed and delivered by a Grantor.</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"Insurance" means in relation to each Pool Aircraft, insurance certificates and, if applicable, reinsurance certificates complying with the provisions of the applicable Assigned Lease and Credit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"International Registry" means the International Registry under the Cape Town Convention.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"Judgment Currency" has the meaning specified in Section 7.07.</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"Lease Collateral" has the meaning specified in Section 2.01(b)(ii).</w:t>
      </w:r>
    </w:p>
    <w:p>
      <w:pPr>
        <w:spacing w:after="0" w:line="24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“Lease Documents” means in respect of a Pool Aircraft, any agreement, contract or document relating to such Pool Aircraft or agreements relating to the leasing of such Pool Aircraft, whether in existence on the date hereof or thereafter acquired, including, without limitation, the related Leases, any related novations and all Bills of Sale applicable to such Pool Aircraft.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"Lenders" has the meaning specified in the preliminary statements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25" w:name="page126"/>
    <w:bookmarkEnd w:id="125"/>
    <w:p>
      <w:pPr>
        <w:jc w:val="both"/>
        <w:ind w:firstLine="1296"/>
        <w:spacing w:after="0" w:line="297" w:lineRule="auto"/>
        <w:rPr>
          <w:sz w:val="20"/>
          <w:szCs w:val="20"/>
          <w:color w:val="auto"/>
        </w:rPr>
      </w:pPr>
      <w:r>
        <w:rPr>
          <w:rFonts w:ascii="Arial" w:cs="Arial" w:eastAsia="Arial" w:hAnsi="Arial"/>
          <w:sz w:val="19"/>
          <w:szCs w:val="19"/>
          <w:color w:val="auto"/>
        </w:rPr>
        <w:t>"Parts" means all appliances, parts, components, instruments, appurtenances, accessories, furnishings, seats and other equipment of whatever nature (other than (a) Engines or engines, and (b) any appliance, part, component, instrument, appurtenance, accessory, furnishing, seat or other equipment that would qualify as a removable part and is leased by a Lessee from a third party or is subject to a security interest granted to a third party), that may from time to time be installed or incorporated in or attached or appurtenant to any Airframe or any Engine or removed therefrom.</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“Permitted Lien” means:</w:t>
      </w:r>
    </w:p>
    <w:p>
      <w:pPr>
        <w:spacing w:after="0" w:line="247" w:lineRule="exact"/>
        <w:rPr>
          <w:sz w:val="20"/>
          <w:szCs w:val="20"/>
          <w:color w:val="auto"/>
        </w:rPr>
      </w:pPr>
    </w:p>
    <w:p>
      <w:pPr>
        <w:jc w:val="both"/>
        <w:ind w:firstLine="1304"/>
        <w:spacing w:after="0" w:line="248" w:lineRule="auto"/>
        <w:tabs>
          <w:tab w:leader="none" w:pos="1625" w:val="left"/>
        </w:tabs>
        <w:numPr>
          <w:ilvl w:val="0"/>
          <w:numId w:val="85"/>
        </w:numPr>
        <w:rPr>
          <w:rFonts w:ascii="Arial" w:cs="Arial" w:eastAsia="Arial" w:hAnsi="Arial"/>
          <w:sz w:val="22"/>
          <w:szCs w:val="22"/>
          <w:color w:val="auto"/>
        </w:rPr>
      </w:pPr>
      <w:r>
        <w:rPr>
          <w:rFonts w:ascii="Arial" w:cs="Arial" w:eastAsia="Arial" w:hAnsi="Arial"/>
          <w:sz w:val="22"/>
          <w:szCs w:val="22"/>
          <w:color w:val="auto"/>
        </w:rPr>
        <w:t>Liens imposed by law, such as carriers’, warehousemen’s, materialmen’s, landlords’, workmen’s, suppliers’, repairmen’s and mechanics’ Liens and other similar Liens arising in the ordinary course of business,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603" w:val="left"/>
        </w:tabs>
        <w:numPr>
          <w:ilvl w:val="0"/>
          <w:numId w:val="85"/>
        </w:numPr>
        <w:rPr>
          <w:rFonts w:ascii="Arial" w:cs="Arial" w:eastAsia="Arial" w:hAnsi="Arial"/>
          <w:sz w:val="22"/>
          <w:szCs w:val="22"/>
          <w:color w:val="auto"/>
        </w:rPr>
      </w:pPr>
      <w:r>
        <w:rPr>
          <w:rFonts w:ascii="Arial" w:cs="Arial" w:eastAsia="Arial" w:hAnsi="Arial"/>
          <w:sz w:val="22"/>
          <w:szCs w:val="22"/>
          <w:color w:val="auto"/>
        </w:rPr>
        <w:t>Liens for taxes, assessments or other governmental charges or levies (x) that are not yet overdue for a period of more than 30 days or (y) being contested in good faith by appropriate proceedings and for which adequate reserves are maintained on the books of such Person in conformity with GAAP;</w:t>
      </w:r>
    </w:p>
    <w:p>
      <w:pPr>
        <w:spacing w:after="0" w:line="185" w:lineRule="exact"/>
        <w:rPr>
          <w:rFonts w:ascii="Arial" w:cs="Arial" w:eastAsia="Arial" w:hAnsi="Arial"/>
          <w:sz w:val="22"/>
          <w:szCs w:val="22"/>
          <w:color w:val="auto"/>
        </w:rPr>
      </w:pPr>
    </w:p>
    <w:p>
      <w:pPr>
        <w:ind w:left="1600" w:hanging="296"/>
        <w:spacing w:after="0"/>
        <w:tabs>
          <w:tab w:leader="none" w:pos="16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Lease on such Pool Aircraft;</w:t>
      </w:r>
    </w:p>
    <w:p>
      <w:pPr>
        <w:spacing w:after="0" w:line="219" w:lineRule="exact"/>
        <w:rPr>
          <w:rFonts w:ascii="Arial" w:cs="Arial" w:eastAsia="Arial" w:hAnsi="Arial"/>
          <w:sz w:val="22"/>
          <w:szCs w:val="22"/>
          <w:color w:val="auto"/>
        </w:rPr>
      </w:pPr>
    </w:p>
    <w:p>
      <w:pPr>
        <w:ind w:left="1660" w:hanging="356"/>
        <w:spacing w:after="0"/>
        <w:tabs>
          <w:tab w:leader="none" w:pos="1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Liens securing the Obligations; and</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6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Liens securing judgments, attachments or awards for the payment of money not constituting an Event of Default so long as such judgment is being contested in good faith and any appropriate legal proceedings that may have been duly initiated for the review of such judgment have not been finally terminated or the period within which such proceedings may be initiated has not expired.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"Pool Aircraft" mean each aircraft identified on Schedule I hereto and in any Collateral Supplement or Grantor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Supplement.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"Protocol" means the Protocol to the Convention on Matters Specific to Aircraft Equipment, as in effect in any applicable jurisdiction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"Received Currency" has the meaning specified in Section 7.07.</w:t>
      </w:r>
    </w:p>
    <w:p>
      <w:pPr>
        <w:spacing w:after="0" w:line="247"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"Related Collateral Documents" means a letter of credit or third-party or bank guarantee provided by or on behalf of a Lessee to secure such Lessee's obligations under a Lease, in each case to the extent assignable without the consent of a third party.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"Required Cape Town Registrations" has the meaning set forth in Section 2.06(d).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26" w:name="page127"/>
    <w:bookmarkEnd w:id="126"/>
    <w:p>
      <w:pPr>
        <w:jc w:val="both"/>
        <w:ind w:firstLine="1296"/>
        <w:spacing w:after="0" w:line="263" w:lineRule="auto"/>
        <w:rPr>
          <w:sz w:val="20"/>
          <w:szCs w:val="20"/>
          <w:color w:val="auto"/>
        </w:rPr>
      </w:pPr>
      <w:r>
        <w:rPr>
          <w:rFonts w:ascii="Arial" w:cs="Arial" w:eastAsia="Arial" w:hAnsi="Arial"/>
          <w:sz w:val="21"/>
          <w:szCs w:val="21"/>
          <w:color w:val="auto"/>
        </w:rPr>
        <w:t>"UCC" means the Uniform Commercial Code as in effect on the date of determination in the State of New York, provided that if by reason of mandatory provisions of law, the perfection or the effect of perfection or non-perfection of the security interest in any Collateral is governed by the Uniform Commercial Code as in effect in a jurisdiction other than New York, "UCC" means the Uniform Commercial Code as in effect in such other jurisdiction for purposes of the provisions of this Agreement relating to such perfection or effect of perfection or non-perfection.</w:t>
      </w:r>
    </w:p>
    <w:p>
      <w:pPr>
        <w:spacing w:after="0" w:line="202" w:lineRule="exact"/>
        <w:rPr>
          <w:sz w:val="20"/>
          <w:szCs w:val="20"/>
          <w:color w:val="auto"/>
        </w:rPr>
      </w:pPr>
    </w:p>
    <w:p>
      <w:pPr>
        <w:jc w:val="both"/>
        <w:ind w:firstLine="1304"/>
        <w:spacing w:after="0" w:line="249" w:lineRule="auto"/>
        <w:tabs>
          <w:tab w:leader="none" w:pos="1602" w:val="left"/>
        </w:tabs>
        <w:numPr>
          <w:ilvl w:val="0"/>
          <w:numId w:val="86"/>
        </w:numPr>
        <w:rPr>
          <w:rFonts w:ascii="Arial" w:cs="Arial" w:eastAsia="Arial" w:hAnsi="Arial"/>
          <w:sz w:val="22"/>
          <w:szCs w:val="22"/>
          <w:color w:val="auto"/>
        </w:rPr>
      </w:pPr>
      <w:r>
        <w:rPr>
          <w:rFonts w:ascii="Arial" w:cs="Arial" w:eastAsia="Arial" w:hAnsi="Arial"/>
          <w:sz w:val="22"/>
          <w:szCs w:val="22"/>
          <w:color w:val="auto"/>
        </w:rPr>
        <w:t>Terms Defined in the Cape Town Convention. The following terms shall have the respective meanings ascribed thereto in the Cape Town Convention: "Administrator", "Contracting State", "Contract of Sale", "International Interest", "Professional User Entity", "situated in" and "Transacting User Entity".</w:t>
      </w:r>
    </w:p>
    <w:p>
      <w:pPr>
        <w:ind w:firstLine="1304"/>
        <w:spacing w:after="0" w:line="269" w:lineRule="auto"/>
        <w:tabs>
          <w:tab w:leader="none" w:pos="159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Terms Defined in the Credit Agreement. For all purposes of this Agreement, all capitalized terms used but not defined in this Agreement shall have the respective meanings assigned to such terms in the Credit Agreement.</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1.02 Construction and Usage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47" w:lineRule="exact"/>
        <w:rPr>
          <w:sz w:val="20"/>
          <w:szCs w:val="20"/>
          <w:color w:val="auto"/>
        </w:rPr>
      </w:pPr>
    </w:p>
    <w:p>
      <w:pPr>
        <w:ind w:firstLine="1304"/>
        <w:spacing w:after="0" w:line="263" w:lineRule="auto"/>
        <w:tabs>
          <w:tab w:leader="none" w:pos="159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term has the meaning assigned to it and an accounting term not otherwise defined has the meaning assigned to it in accordance with IFRS.</w:t>
      </w:r>
    </w:p>
    <w:p>
      <w:pPr>
        <w:spacing w:after="0" w:line="201" w:lineRule="exact"/>
        <w:rPr>
          <w:rFonts w:ascii="Arial" w:cs="Arial" w:eastAsia="Arial" w:hAnsi="Arial"/>
          <w:sz w:val="22"/>
          <w:szCs w:val="22"/>
          <w:color w:val="auto"/>
        </w:rPr>
      </w:pPr>
    </w:p>
    <w:p>
      <w:pPr>
        <w:ind w:firstLine="1304"/>
        <w:spacing w:after="0" w:line="263" w:lineRule="auto"/>
        <w:tabs>
          <w:tab w:leader="none" w:pos="160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terms "herein", "hereof" and other words of similar import refer to this Agreement as a whole and not to any particular Article, Section or other subdivision.</w:t>
      </w:r>
    </w:p>
    <w:p>
      <w:pPr>
        <w:spacing w:after="0" w:line="201" w:lineRule="exact"/>
        <w:rPr>
          <w:rFonts w:ascii="Arial" w:cs="Arial" w:eastAsia="Arial" w:hAnsi="Arial"/>
          <w:sz w:val="22"/>
          <w:szCs w:val="22"/>
          <w:color w:val="auto"/>
        </w:rPr>
      </w:pPr>
    </w:p>
    <w:p>
      <w:pPr>
        <w:ind w:firstLine="1304"/>
        <w:spacing w:after="0" w:line="263" w:lineRule="auto"/>
        <w:tabs>
          <w:tab w:leader="none" w:pos="1603" w:val="left"/>
        </w:tabs>
        <w:numPr>
          <w:ilvl w:val="0"/>
          <w:numId w:val="87"/>
        </w:numPr>
        <w:rPr>
          <w:rFonts w:ascii="Arial" w:cs="Arial" w:eastAsia="Arial" w:hAnsi="Arial"/>
          <w:sz w:val="22"/>
          <w:szCs w:val="22"/>
          <w:color w:val="auto"/>
        </w:rPr>
      </w:pPr>
      <w:r>
        <w:rPr>
          <w:rFonts w:ascii="Arial" w:cs="Arial" w:eastAsia="Arial" w:hAnsi="Arial"/>
          <w:sz w:val="22"/>
          <w:szCs w:val="22"/>
          <w:color w:val="auto"/>
        </w:rPr>
        <w:t>Unless otherwise indicated in context, all references to Articles, Sections, Schedules or Exhibits refer to an Article or Section of, or a Schedule or Exhibit to, this Agreement.</w:t>
      </w:r>
    </w:p>
    <w:p>
      <w:pPr>
        <w:spacing w:after="0" w:line="201" w:lineRule="exact"/>
        <w:rPr>
          <w:rFonts w:ascii="Arial" w:cs="Arial" w:eastAsia="Arial" w:hAnsi="Arial"/>
          <w:sz w:val="22"/>
          <w:szCs w:val="22"/>
          <w:color w:val="auto"/>
        </w:rPr>
      </w:pPr>
    </w:p>
    <w:p>
      <w:pPr>
        <w:ind w:firstLine="1304"/>
        <w:spacing w:after="0" w:line="263" w:lineRule="auto"/>
        <w:tabs>
          <w:tab w:leader="none" w:pos="1629" w:val="left"/>
        </w:tabs>
        <w:numPr>
          <w:ilvl w:val="0"/>
          <w:numId w:val="87"/>
        </w:numPr>
        <w:rPr>
          <w:rFonts w:ascii="Arial" w:cs="Arial" w:eastAsia="Arial" w:hAnsi="Arial"/>
          <w:sz w:val="22"/>
          <w:szCs w:val="22"/>
          <w:color w:val="auto"/>
        </w:rPr>
      </w:pPr>
      <w:r>
        <w:rPr>
          <w:rFonts w:ascii="Arial" w:cs="Arial" w:eastAsia="Arial" w:hAnsi="Arial"/>
          <w:sz w:val="22"/>
          <w:szCs w:val="22"/>
          <w:color w:val="auto"/>
        </w:rPr>
        <w:t>Words of the masculine, feminine or neuter gender shall mean and include the correlative words of other genders, and words in the singular shall include the plural, and vice versa.</w:t>
      </w:r>
    </w:p>
    <w:p>
      <w:pPr>
        <w:spacing w:after="0" w:line="201" w:lineRule="exact"/>
        <w:rPr>
          <w:rFonts w:ascii="Arial" w:cs="Arial" w:eastAsia="Arial" w:hAnsi="Arial"/>
          <w:sz w:val="22"/>
          <w:szCs w:val="22"/>
          <w:color w:val="auto"/>
        </w:rPr>
      </w:pPr>
    </w:p>
    <w:p>
      <w:pPr>
        <w:ind w:left="1620" w:hanging="316"/>
        <w:spacing w:after="0"/>
        <w:tabs>
          <w:tab w:leader="none" w:pos="1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terms "include", "including" and similar terms shall be construed as if followed by the phrase "without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limitation".</w:t>
      </w:r>
    </w:p>
    <w:p>
      <w:pPr>
        <w:spacing w:after="0" w:line="228" w:lineRule="exact"/>
        <w:rPr>
          <w:rFonts w:ascii="Arial" w:cs="Arial" w:eastAsia="Arial" w:hAnsi="Arial"/>
          <w:sz w:val="19"/>
          <w:szCs w:val="19"/>
          <w:color w:val="auto"/>
        </w:rPr>
      </w:pPr>
    </w:p>
    <w:p>
      <w:pPr>
        <w:jc w:val="both"/>
        <w:ind w:firstLine="1304"/>
        <w:spacing w:after="0" w:line="248" w:lineRule="auto"/>
        <w:tabs>
          <w:tab w:leader="none" w:pos="1566"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References in this Agreement to an agreement or other document (including this Agreement) include references to such agreement or document as amended, replaced or otherwise modified (without, however, limiting the effect of the provisions of this Agreement with regard to any such amendment, replacement or modification), and the provisions of this Agreement apply to successive events and transactions. References to any Person shall include such Person's successors in interest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27" w:name="page128"/>
    <w:bookmarkEnd w:id="127"/>
    <w:p>
      <w:pPr>
        <w:jc w:val="both"/>
        <w:ind w:left="-440" w:firstLine="1304"/>
        <w:spacing w:after="0" w:line="271" w:lineRule="auto"/>
        <w:tabs>
          <w:tab w:leader="none" w:pos="1202" w:val="left"/>
        </w:tabs>
        <w:numPr>
          <w:ilvl w:val="0"/>
          <w:numId w:val="88"/>
        </w:numPr>
        <w:rPr>
          <w:rFonts w:ascii="Arial" w:cs="Arial" w:eastAsia="Arial" w:hAnsi="Arial"/>
          <w:sz w:val="21"/>
          <w:szCs w:val="21"/>
          <w:color w:val="auto"/>
        </w:rPr>
      </w:pPr>
      <w:r>
        <w:rPr>
          <w:rFonts w:ascii="Arial" w:cs="Arial" w:eastAsia="Arial" w:hAnsi="Arial"/>
          <w:sz w:val="21"/>
          <w:szCs w:val="21"/>
          <w:color w:val="auto"/>
        </w:rPr>
        <w:t>References in this Agreement to any statute or other legislative provision shall include any statutory or legislative modification or re-enactment thereof, or any substitution therefor, and references to any governmental Person shall include reference to any governmental Person succeeding to the relevant functions of such Person.</w:t>
      </w:r>
    </w:p>
    <w:p>
      <w:pPr>
        <w:spacing w:after="0" w:line="194" w:lineRule="exact"/>
        <w:rPr>
          <w:rFonts w:ascii="Arial" w:cs="Arial" w:eastAsia="Arial" w:hAnsi="Arial"/>
          <w:sz w:val="21"/>
          <w:szCs w:val="21"/>
          <w:color w:val="auto"/>
        </w:rPr>
      </w:pPr>
    </w:p>
    <w:p>
      <w:pPr>
        <w:jc w:val="both"/>
        <w:ind w:left="-440" w:firstLine="1304"/>
        <w:spacing w:after="0" w:line="248" w:lineRule="auto"/>
        <w:tabs>
          <w:tab w:leader="none" w:pos="1175"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References in this Agreement to any action, remedy or method of judicial proceeding for the enforcement of the rights of creditors or of security shall be deemed to include, in respect of any jurisdiction other than the State of New York, references to such action, remedy or method of judicial proceeding for the enforcement of the rights of creditors or of security available or appropriate in such jurisdiction as shall most nearly approximate such action, remedy or method of judicial proceeding described or referred to in this Agreement.</w:t>
      </w:r>
    </w:p>
    <w:p>
      <w:pPr>
        <w:spacing w:after="0" w:line="218" w:lineRule="exact"/>
        <w:rPr>
          <w:rFonts w:ascii="Arial" w:cs="Arial" w:eastAsia="Arial" w:hAnsi="Arial"/>
          <w:sz w:val="22"/>
          <w:szCs w:val="22"/>
          <w:color w:val="auto"/>
        </w:rPr>
      </w:pPr>
    </w:p>
    <w:p>
      <w:pPr>
        <w:jc w:val="both"/>
        <w:ind w:left="-440" w:firstLine="1304"/>
        <w:spacing w:after="0" w:line="250" w:lineRule="auto"/>
        <w:tabs>
          <w:tab w:leader="none" w:pos="1114" w:val="left"/>
        </w:tabs>
        <w:numPr>
          <w:ilvl w:val="0"/>
          <w:numId w:val="88"/>
        </w:numPr>
        <w:rPr>
          <w:rFonts w:ascii="Arial" w:cs="Arial" w:eastAsia="Arial" w:hAnsi="Arial"/>
          <w:sz w:val="22"/>
          <w:szCs w:val="22"/>
          <w:color w:val="auto"/>
        </w:rPr>
      </w:pPr>
      <w:r>
        <w:rPr>
          <w:rFonts w:ascii="Arial" w:cs="Arial" w:eastAsia="Arial" w:hAnsi="Arial"/>
          <w:sz w:val="22"/>
          <w:szCs w:val="22"/>
          <w:color w:val="auto"/>
        </w:rPr>
        <w:t>Where any payment is to be made, funds applied or any calculation is to be made hereunder on a day which is not a Business Day, unless any Loan Document otherwise provides, such payment shall be made, funds applied and calculation made on the next succeeding Business Day, and payments shall be adjusted accordingly, provided, however, that no additional interest shall be due in respect of such delay.</w:t>
      </w:r>
    </w:p>
    <w:p>
      <w:pPr>
        <w:spacing w:after="0" w:line="214" w:lineRule="exact"/>
        <w:rPr>
          <w:rFonts w:ascii="Arial" w:cs="Arial" w:eastAsia="Arial" w:hAnsi="Arial"/>
          <w:sz w:val="22"/>
          <w:szCs w:val="22"/>
          <w:color w:val="auto"/>
        </w:rPr>
      </w:pPr>
    </w:p>
    <w:p>
      <w:pPr>
        <w:ind w:left="-440" w:firstLine="1304"/>
        <w:spacing w:after="0" w:line="263" w:lineRule="auto"/>
        <w:tabs>
          <w:tab w:leader="none" w:pos="1127"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collateral granted pursuant to this Agreement shall constitute Collateral notwithstanding the definition of “Excluded Assets” under any Loan Document.</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SECURITY</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Section 2.01 Grant of Security</w:t>
      </w:r>
    </w:p>
    <w:p>
      <w:pPr>
        <w:spacing w:after="0" w:line="202" w:lineRule="exact"/>
        <w:rPr>
          <w:sz w:val="20"/>
          <w:szCs w:val="20"/>
          <w:color w:val="auto"/>
        </w:rPr>
      </w:pPr>
    </w:p>
    <w:p>
      <w:pPr>
        <w:jc w:val="both"/>
        <w:ind w:left="-440" w:firstLine="1304"/>
        <w:spacing w:after="0" w:line="261" w:lineRule="auto"/>
        <w:tabs>
          <w:tab w:leader="none" w:pos="1173" w:val="left"/>
        </w:tabs>
        <w:numPr>
          <w:ilvl w:val="0"/>
          <w:numId w:val="89"/>
        </w:numPr>
        <w:rPr>
          <w:rFonts w:ascii="Arial" w:cs="Arial" w:eastAsia="Arial" w:hAnsi="Arial"/>
          <w:sz w:val="21"/>
          <w:szCs w:val="21"/>
          <w:color w:val="auto"/>
        </w:rPr>
      </w:pPr>
      <w:r>
        <w:rPr>
          <w:rFonts w:ascii="Arial" w:cs="Arial" w:eastAsia="Arial" w:hAnsi="Arial"/>
          <w:sz w:val="21"/>
          <w:szCs w:val="21"/>
          <w:color w:val="auto"/>
        </w:rPr>
        <w:t>To secure the prompt and complete payment and performance when due (whether at the stated maturity, by acceleration or otherwise) of the Obligations (including any extensions, modifications, substitutions, amendments or renewals of any or all of the Obligations) each Grantor hereby assigns and pledges to the Administrative Agent for its benefit and the benefit of the other Secured Parties, and hereby grants to the Administrative Agent for its benefit and the benefit of the other Secured Parties a security interest in, all of such Grantor's right, title and interest in and to the following, whether now owned or existing or hereafter acquired or arising (collectively, the “Collateral”):</w:t>
      </w:r>
    </w:p>
    <w:p>
      <w:pPr>
        <w:spacing w:after="0" w:line="206" w:lineRule="exact"/>
        <w:rPr>
          <w:rFonts w:ascii="Arial" w:cs="Arial" w:eastAsia="Arial" w:hAnsi="Arial"/>
          <w:sz w:val="21"/>
          <w:szCs w:val="21"/>
          <w:color w:val="auto"/>
        </w:rPr>
      </w:pPr>
    </w:p>
    <w:p>
      <w:pPr>
        <w:jc w:val="both"/>
        <w:ind w:left="220" w:firstLine="1292"/>
        <w:spacing w:after="0" w:line="260" w:lineRule="auto"/>
        <w:tabs>
          <w:tab w:leader="none" w:pos="1774" w:val="left"/>
        </w:tabs>
        <w:numPr>
          <w:ilvl w:val="1"/>
          <w:numId w:val="89"/>
        </w:numPr>
        <w:rPr>
          <w:rFonts w:ascii="Arial" w:cs="Arial" w:eastAsia="Arial" w:hAnsi="Arial"/>
          <w:sz w:val="21"/>
          <w:szCs w:val="21"/>
          <w:color w:val="auto"/>
        </w:rPr>
      </w:pPr>
      <w:r>
        <w:rPr>
          <w:rFonts w:ascii="Arial" w:cs="Arial" w:eastAsia="Arial" w:hAnsi="Arial"/>
          <w:sz w:val="21"/>
          <w:szCs w:val="21"/>
          <w:color w:val="auto"/>
        </w:rPr>
        <w:t>all of Grantor’s right, title and interest in and to each Pool Aircraft, including each Airframe and Engine as the same is now and will hereafter be constituted, and in the case of such Engines, whether or not any such Engine shall be installed in or attached to any Airframe or any other airframe, together with (i) all Parts of whatever nature, which are from time to time included within the definitions of "Airframe" or "Engines", including all substitutions, renewals and replacements of and additions, improvements, accessions and accumulations to the Airframes and Engines (other than additions, improvements, accessions and accumulations which constitute appliances, parts, instruments, appurtenances, accessories, furnishings or other equipment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00"/>
          </w:cols>
          <w:pgMar w:left="760" w:top="1428" w:right="33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21"/>
          <w:szCs w:val="21"/>
          <w:color w:val="auto"/>
        </w:rPr>
        <w:t>from the definition of Parts), (ii) all Aircraft Documents with respect to such Pool Aircraft, (iii) each bill of sale or any contract of sale with respect to such Pool Aircraft; (iv) all proceeds from any sale or other disposition of such Pool Aircraft; and (v) all proceeds of Insurance due to such Grantor on, and all other proceeds payable to such Grantor in respect of, any total or partial loss or physical destruction, confiscation, condemnation or requisition of such Pool Aircraft, each such Engine and all Parts, equipment, attachments, accessories, replacement and added Parts and components described in the preceding clauses of this clause (i);</w:t>
      </w:r>
    </w:p>
    <w:p>
      <w:pPr>
        <w:spacing w:after="0" w:line="206" w:lineRule="exact"/>
        <w:rPr>
          <w:sz w:val="20"/>
          <w:szCs w:val="20"/>
          <w:color w:val="auto"/>
        </w:rPr>
      </w:pPr>
    </w:p>
    <w:p>
      <w:pPr>
        <w:jc w:val="both"/>
        <w:ind w:firstLine="1292"/>
        <w:spacing w:after="0" w:line="257" w:lineRule="auto"/>
        <w:tabs>
          <w:tab w:leader="none" w:pos="1614" w:val="left"/>
        </w:tabs>
        <w:numPr>
          <w:ilvl w:val="0"/>
          <w:numId w:val="90"/>
        </w:numPr>
        <w:rPr>
          <w:rFonts w:ascii="Arial" w:cs="Arial" w:eastAsia="Arial" w:hAnsi="Arial"/>
          <w:sz w:val="21"/>
          <w:szCs w:val="21"/>
          <w:color w:val="auto"/>
        </w:rPr>
      </w:pPr>
      <w:r>
        <w:rPr>
          <w:rFonts w:ascii="Arial" w:cs="Arial" w:eastAsia="Arial" w:hAnsi="Arial"/>
          <w:sz w:val="21"/>
          <w:szCs w:val="21"/>
          <w:color w:val="auto"/>
        </w:rPr>
        <w:t>all of Grantor’s right, title and interest in and to all Leases to which Grantor is or may from time to time be party with respect to the Pool Aircraft and any leasing arrangements among Grantor with respect to such Leases, together with all Related Collateral Documents (all such Leases and Related Collateral Documents, the "Assigned Leases"), including, without limitation, (i) all rights of Grantor to receive moneys due and to become due under or pursuant to such Assigned Leases, (ii) all rights of Grantor to receive proceeds of any indemnity, warranty or guaranty with respect to such Assigned Leases, (iii) claims of Grantor for damages arising out of or for breach or default under such Assigned Leases, (iv) all rights under any such Assigned Leases with respect to any subleases of the Pool Aircraft subject to such Assigned Leases, (v) all rights of Grantor to discharge any registration of an International Interest with respect to such Pool Aircraft or Engine or any such Assigned Lease made with the International Registry and (vi) the right of Grantor to terminate such Assigned Leases and to compel performance of, and otherwise to exercise all remedies under, any Assigned Lease, whether arising under such Assigned Leases or by statute or at law or in equity (the "Lease Collateral");</w:t>
      </w:r>
    </w:p>
    <w:p>
      <w:pPr>
        <w:spacing w:after="0" w:line="217" w:lineRule="exact"/>
        <w:rPr>
          <w:rFonts w:ascii="Arial" w:cs="Arial" w:eastAsia="Arial" w:hAnsi="Arial"/>
          <w:sz w:val="21"/>
          <w:szCs w:val="21"/>
          <w:color w:val="auto"/>
        </w:rPr>
      </w:pPr>
    </w:p>
    <w:p>
      <w:pPr>
        <w:ind w:left="1660" w:hanging="368"/>
        <w:spacing w:after="0"/>
        <w:tabs>
          <w:tab w:leader="none" w:pos="16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of the following (the "Assigned Agreement Collateral"):</w:t>
      </w:r>
    </w:p>
    <w:p>
      <w:pPr>
        <w:spacing w:after="0" w:line="246" w:lineRule="exact"/>
        <w:rPr>
          <w:rFonts w:ascii="Arial" w:cs="Arial" w:eastAsia="Arial" w:hAnsi="Arial"/>
          <w:sz w:val="22"/>
          <w:szCs w:val="22"/>
          <w:color w:val="auto"/>
        </w:rPr>
      </w:pPr>
    </w:p>
    <w:p>
      <w:pPr>
        <w:jc w:val="both"/>
        <w:ind w:left="640" w:firstLine="1300"/>
        <w:spacing w:after="0" w:line="302" w:lineRule="auto"/>
        <w:tabs>
          <w:tab w:leader="none" w:pos="2344" w:val="left"/>
        </w:tabs>
        <w:numPr>
          <w:ilvl w:val="1"/>
          <w:numId w:val="90"/>
        </w:numPr>
        <w:rPr>
          <w:rFonts w:ascii="Arial" w:cs="Arial" w:eastAsia="Arial" w:hAnsi="Arial"/>
          <w:sz w:val="19"/>
          <w:szCs w:val="19"/>
          <w:color w:val="auto"/>
        </w:rPr>
      </w:pPr>
      <w:r>
        <w:rPr>
          <w:rFonts w:ascii="Arial" w:cs="Arial" w:eastAsia="Arial" w:hAnsi="Arial"/>
          <w:sz w:val="19"/>
          <w:szCs w:val="19"/>
          <w:color w:val="auto"/>
        </w:rPr>
        <w:t>all of Grantor’s right, title and interest in and to all security assignments, cash deposit agreements and other security agreements executed in its favor in respect of any Pool Aircraft (including any Airframe and any Engine) or in respect of or pursuant to any Assigned Lease, in each case as such agreements may be amended or otherwise modified from time to time (collectively, the "Assigned Agreements"); and</w:t>
      </w:r>
    </w:p>
    <w:p>
      <w:pPr>
        <w:spacing w:after="0" w:line="169" w:lineRule="exact"/>
        <w:rPr>
          <w:rFonts w:ascii="Arial" w:cs="Arial" w:eastAsia="Arial" w:hAnsi="Arial"/>
          <w:sz w:val="19"/>
          <w:szCs w:val="19"/>
          <w:color w:val="auto"/>
        </w:rPr>
      </w:pPr>
    </w:p>
    <w:p>
      <w:pPr>
        <w:ind w:left="640" w:firstLine="1300"/>
        <w:spacing w:after="0" w:line="343" w:lineRule="auto"/>
        <w:tabs>
          <w:tab w:leader="none" w:pos="2291" w:val="left"/>
        </w:tabs>
        <w:numPr>
          <w:ilvl w:val="1"/>
          <w:numId w:val="90"/>
        </w:numPr>
        <w:rPr>
          <w:rFonts w:ascii="Arial" w:cs="Arial" w:eastAsia="Arial" w:hAnsi="Arial"/>
          <w:sz w:val="19"/>
          <w:szCs w:val="19"/>
          <w:color w:val="auto"/>
        </w:rPr>
      </w:pPr>
      <w:r>
        <w:rPr>
          <w:rFonts w:ascii="Arial" w:cs="Arial" w:eastAsia="Arial" w:hAnsi="Arial"/>
          <w:sz w:val="19"/>
          <w:szCs w:val="19"/>
          <w:color w:val="auto"/>
        </w:rPr>
        <w:t>all of Grantor’s right, title and interest in and to all property of whatever nature, in each case pledged, assigned or transferred to it or mortgaged or charged in its favor pursuant to any Assigned Agreement;</w:t>
      </w:r>
    </w:p>
    <w:p>
      <w:pPr>
        <w:spacing w:after="0" w:line="131" w:lineRule="exact"/>
        <w:rPr>
          <w:rFonts w:ascii="Arial" w:cs="Arial" w:eastAsia="Arial" w:hAnsi="Arial"/>
          <w:sz w:val="19"/>
          <w:szCs w:val="19"/>
          <w:color w:val="auto"/>
        </w:rPr>
      </w:pPr>
    </w:p>
    <w:p>
      <w:pPr>
        <w:ind w:firstLine="1292"/>
        <w:spacing w:after="0" w:line="263" w:lineRule="auto"/>
        <w:tabs>
          <w:tab w:leader="none" w:pos="1716"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of Grantor’s right, title and interest in and to the personal property identified in a Grantor Supplement or a Collateral Supplement executed and delivered by Grantor to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28" w:right="339" w:bottom="1440" w:gutter="0" w:footer="0" w:header="0"/>
        </w:sectPr>
      </w:pPr>
    </w:p>
    <w:bookmarkStart w:id="129" w:name="page130"/>
    <w:bookmarkEnd w:id="129"/>
    <w:p>
      <w:pPr>
        <w:ind w:left="1300" w:firstLine="652"/>
        <w:spacing w:after="0" w:line="263" w:lineRule="auto"/>
        <w:tabs>
          <w:tab w:leader="none" w:pos="2267"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proceeds of any and all of the foregoing Collateral (including proceeds that constitute property of the types described in subsections (i), (ii), (iii) and (iv) of this Section 2.01).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excluding, however, all Excluded Property.</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2.02 Security for Obligations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Agreement secures the payment and performance of all Obligations to each Secured Party and shall be held by the Administrative Agent in trust for the Secured Parties. Without limiting the generality of the foregoing, this Agreement secures the payment of the Obligations and would be owed by any Grantor to any Secured Party but for the fact that the Obligations are unenforceable or not allowable due to the existence of a bankruptcy, reorganization or similar proceeding involving such Grantor.</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2.03 Representations and Warranties of the Grantors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Each Grantor represents and warrants as of the date of this Agreement, and as of each date on which such Grantor subjects a new</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Pool Aircraft to this Agreement solely with respect to such Pool Aircraft and such Grantor, as follows:</w:t>
      </w:r>
    </w:p>
    <w:p>
      <w:pPr>
        <w:spacing w:after="0" w:line="229" w:lineRule="exact"/>
        <w:rPr>
          <w:sz w:val="20"/>
          <w:szCs w:val="20"/>
          <w:color w:val="auto"/>
        </w:rPr>
      </w:pPr>
    </w:p>
    <w:p>
      <w:pPr>
        <w:ind w:firstLine="1304"/>
        <w:spacing w:after="0" w:line="343" w:lineRule="auto"/>
        <w:tabs>
          <w:tab w:leader="none" w:pos="1603"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Grantors are the legal and beneficial owners of the Collateral. None of the Collateral has been pledged, assigned, sold or otherwise encumbered other than pursuant to the terms of the Loan Documents and except for Permitted Liens.</w:t>
      </w:r>
    </w:p>
    <w:p>
      <w:pPr>
        <w:spacing w:after="0" w:line="131" w:lineRule="exact"/>
        <w:rPr>
          <w:rFonts w:ascii="Arial" w:cs="Arial" w:eastAsia="Arial" w:hAnsi="Arial"/>
          <w:sz w:val="19"/>
          <w:szCs w:val="19"/>
          <w:color w:val="auto"/>
        </w:rPr>
      </w:pPr>
    </w:p>
    <w:p>
      <w:pPr>
        <w:jc w:val="both"/>
        <w:ind w:firstLine="1304"/>
        <w:spacing w:after="0" w:line="259" w:lineRule="auto"/>
        <w:tabs>
          <w:tab w:leader="none" w:pos="1629"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This Agreement creates a valid and (upon the taking of the actions required hereby and under the Credit Agreement, provided that only the Express Perfection Requirements shall be required to be satisfied) perfected security interest in favor of the Administrative Agent for the benefit of the Secured Parties in the Collateral as security for the Obligations, subject in priority to no other Liens (other than Permitted Liens), and all filings and other actions necessary to perfect and protect such security interest as a first priority security interest of the Administrative Agent have been (or, in the case of future Collateral or actions expressly permitted to be taken at a later date pursuant to the Loan Documents, will be) duly taken (except that only the Express Perfection Requirements shall be required to be satisfied), enforceable against the applicable Grantors and creditors of and purchasers from such Grantors.</w:t>
      </w:r>
    </w:p>
    <w:p>
      <w:pPr>
        <w:spacing w:after="0" w:line="210" w:lineRule="exact"/>
        <w:rPr>
          <w:rFonts w:ascii="Arial" w:cs="Arial" w:eastAsia="Arial" w:hAnsi="Arial"/>
          <w:sz w:val="21"/>
          <w:szCs w:val="21"/>
          <w:color w:val="auto"/>
        </w:rPr>
      </w:pPr>
    </w:p>
    <w:p>
      <w:pPr>
        <w:ind w:left="1600" w:hanging="296"/>
        <w:spacing w:after="0"/>
        <w:tabs>
          <w:tab w:leader="none" w:pos="16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Grantor has any trade names.</w:t>
      </w:r>
    </w:p>
    <w:p>
      <w:pPr>
        <w:spacing w:after="0" w:line="246" w:lineRule="exact"/>
        <w:rPr>
          <w:rFonts w:ascii="Arial" w:cs="Arial" w:eastAsia="Arial" w:hAnsi="Arial"/>
          <w:sz w:val="22"/>
          <w:szCs w:val="22"/>
          <w:color w:val="auto"/>
        </w:rPr>
      </w:pPr>
    </w:p>
    <w:p>
      <w:pPr>
        <w:jc w:val="both"/>
        <w:ind w:firstLine="1304"/>
        <w:spacing w:after="0" w:line="247" w:lineRule="auto"/>
        <w:tabs>
          <w:tab w:leader="none" w:pos="1615" w:val="left"/>
        </w:tabs>
        <w:numPr>
          <w:ilvl w:val="0"/>
          <w:numId w:val="92"/>
        </w:numPr>
        <w:rPr>
          <w:rFonts w:ascii="Arial" w:cs="Arial" w:eastAsia="Arial" w:hAnsi="Arial"/>
          <w:sz w:val="22"/>
          <w:szCs w:val="22"/>
          <w:color w:val="auto"/>
        </w:rPr>
      </w:pPr>
      <w:r>
        <w:rPr>
          <w:rFonts w:ascii="Arial" w:cs="Arial" w:eastAsia="Arial" w:hAnsi="Arial"/>
          <w:sz w:val="22"/>
          <w:szCs w:val="22"/>
          <w:color w:val="auto"/>
        </w:rPr>
        <w:t>Subject to the Express Perfection Requirements which are required to be complied with, no consent of any other Person and no authorization, approval or other action by, and no notice to or filing with, any governmental authority or regulatory body or other third party (including, for the avoidance of doubt, the International Registry) is required under the laws of the United States, Bermuda or Ireland or (if not the United States, Bermuda, or Ireland) the law of the jurisdiction of incorporation or organization of such Grantor either (i) for the grant by such Grantor of the pledge, assignment and security interest granted hereby, (ii) for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302" w:lineRule="auto"/>
        <w:rPr>
          <w:sz w:val="20"/>
          <w:szCs w:val="20"/>
          <w:color w:val="auto"/>
        </w:rPr>
      </w:pPr>
      <w:r>
        <w:rPr>
          <w:rFonts w:ascii="Arial" w:cs="Arial" w:eastAsia="Arial" w:hAnsi="Arial"/>
          <w:sz w:val="19"/>
          <w:szCs w:val="19"/>
          <w:color w:val="auto"/>
        </w:rPr>
        <w:t>delivery or performance of this Agreement by such Grantor or (iii) for the perfection or maintenance of the pledge, assignment and security interest created hereby, except for (A) the Required Cape Town Registrations, (B) the filing of financing and continuation statements under the UCC, and (C) any consent, authorization, approval, action or notice of filing required under the law of the jurisdiction of incorporation or organization of such Grantor (if not Ireland, Bermuda or the United States).</w:t>
      </w:r>
    </w:p>
    <w:p>
      <w:pPr>
        <w:spacing w:after="0" w:line="169" w:lineRule="exact"/>
        <w:rPr>
          <w:sz w:val="20"/>
          <w:szCs w:val="20"/>
          <w:color w:val="auto"/>
        </w:rPr>
      </w:pPr>
    </w:p>
    <w:p>
      <w:pPr>
        <w:jc w:val="both"/>
        <w:ind w:firstLine="1304"/>
        <w:spacing w:after="0" w:line="288" w:lineRule="auto"/>
        <w:tabs>
          <w:tab w:leader="none" w:pos="1617"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Grantor’s name, jurisdiction of incorporation, organization or formation, the chief place of business, organizational identification number (if applicable) and chief executive or registered office of such Grantor and the office where such Grantor keeps records of the Collateral are located at the address specified opposite the name of such Grantor on the attached Schedule II. If such Grantor is the lessor under a Cape Town Lease, it has the right to assign the International Interest provided for in such Cape Town Lease and all associated rights in respect of such Cape Town Lease that form part of the Collateral. Such Grantor has furnished to the Administrative Agent a charter or other equivalent formation or organizational document, certified to the extent applicable, certificate of incorporation or other organizational document and short-form good standing certificate (to the extent such concept is relevant in the applicable jurisdiction) as of a date which is recent to the date hereof, provided that such charter or equivalent document, certificate of incorporation or other organizational document and short-form good standing certificate has not been amended or otherwise modified after such date and prior to the date hereof.</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2.04 Grantors Remain Liable</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Anything contained herein to the contrary notwithstanding, (a) each Grantor shall remain liable under the contracts and agreements included in the Collateral to the extent set forth therein to perform all of its duties and obligations thereunder to the same extent as if this Agreement had not been executed, (b) the exercise by the Administrative Agent of any of its rights hereunder shall not release any Grantor from any of its duties or obligations under the contracts and agreements included in the Collateral and (c) in each case, unless the Administrative Agent or any other Secured Party, expressly in writing or by operation of law, assumes or succeeds to the interests of any Grantor hereunder, no Secured Party shall have any obligation or liability under the contracts and agreements included in the Collateral by reason of this Agreement, nor shall any Secured Party be obligated to perform any of the obligations or duties of any Grantor under the contracts and agreements included in the Collateral or to take any action to collect or enforce any claim for payment assigned under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2.05 As to the Assigned Documents</w:t>
      </w:r>
    </w:p>
    <w:p>
      <w:pPr>
        <w:spacing w:after="0" w:line="220" w:lineRule="exact"/>
        <w:rPr>
          <w:sz w:val="20"/>
          <w:szCs w:val="20"/>
          <w:color w:val="auto"/>
        </w:rPr>
      </w:pPr>
    </w:p>
    <w:p>
      <w:pPr>
        <w:jc w:val="both"/>
        <w:ind w:firstLine="1304"/>
        <w:spacing w:after="0" w:line="248" w:lineRule="auto"/>
        <w:tabs>
          <w:tab w:leader="none" w:pos="1603" w:val="left"/>
        </w:tabs>
        <w:numPr>
          <w:ilvl w:val="0"/>
          <w:numId w:val="94"/>
        </w:numPr>
        <w:rPr>
          <w:rFonts w:ascii="Arial" w:cs="Arial" w:eastAsia="Arial" w:hAnsi="Arial"/>
          <w:sz w:val="22"/>
          <w:szCs w:val="22"/>
          <w:color w:val="auto"/>
        </w:rPr>
      </w:pPr>
      <w:r>
        <w:rPr>
          <w:rFonts w:ascii="Arial" w:cs="Arial" w:eastAsia="Arial" w:hAnsi="Arial"/>
          <w:sz w:val="22"/>
          <w:szCs w:val="22"/>
          <w:color w:val="auto"/>
        </w:rPr>
        <w:t>Promptly following the inclusion of any Assigned Document in the Collateral, the relevant Grantor will (i) deliver a copy thereof to the Administrative Agent, (ii) with respect to each Assigned Lease, give due notice to the Lessee under such Assigned Lease of its assignment pursuant to this Agreement, (iii) with respect to each Assigned Lease which constitutes an International Interest, register such International Interest and the assignment thereof at the International Registry to the extent required by the Required Cape 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21"/>
          <w:szCs w:val="21"/>
          <w:color w:val="auto"/>
        </w:rPr>
        <w:t>Registrations, and (iv) take such other action as may be necessary to perfect the lien of this Agreement as to such Assigned Document such that the security interest therein granted to the Administrative Agent is senior to that of any other creditor of the relevant Grantor or as otherwise reasonably requested by the Administrative Agent (provided that only the Express Perfection Requirements shall be required to be satisfied and, notwithstanding anything else to the contrary in any Loan Document, no Grantor shall be required to deliver to the Administrative Agent any letter of credit issued pursuant to an Assigned Lease). Upon the written request of any Grantor, the Administrative Agent (solely in its capacity as such) will execute such undertakings of quiet enjoyment in favor of the Lessee under any Assigned Lease as are substantially to the same effect as the undertakings of quiet enjoyment provided for in such Assigned Lease.</w:t>
      </w:r>
    </w:p>
    <w:p>
      <w:pPr>
        <w:spacing w:after="0" w:line="210" w:lineRule="exact"/>
        <w:rPr>
          <w:sz w:val="20"/>
          <w:szCs w:val="20"/>
          <w:color w:val="auto"/>
        </w:rPr>
      </w:pPr>
    </w:p>
    <w:p>
      <w:pPr>
        <w:jc w:val="both"/>
        <w:ind w:firstLine="567"/>
        <w:spacing w:after="0" w:line="297" w:lineRule="auto"/>
        <w:tabs>
          <w:tab w:leader="none" w:pos="873" w:val="left"/>
        </w:tabs>
        <w:numPr>
          <w:ilvl w:val="0"/>
          <w:numId w:val="95"/>
        </w:numPr>
        <w:rPr>
          <w:rFonts w:ascii="Arial" w:cs="Arial" w:eastAsia="Arial" w:hAnsi="Arial"/>
          <w:sz w:val="19"/>
          <w:szCs w:val="19"/>
          <w:color w:val="auto"/>
        </w:rPr>
      </w:pPr>
      <w:r>
        <w:rPr>
          <w:rFonts w:ascii="Arial" w:cs="Arial" w:eastAsia="Arial" w:hAnsi="Arial"/>
          <w:sz w:val="19"/>
          <w:szCs w:val="19"/>
          <w:color w:val="auto"/>
        </w:rPr>
        <w:t>Upon the amendment or replacement of any Assigned Document or the entering into of any new Assigned Document, the relevant Grantor will deliver a copy thereof to the Administrative Agent and will take such other action as may be necessary to perfect the lien of this Agreement as to such Assigned Document such that the security interest therein granted to the Administrative Agent is senior to that of any other creditor of the relevant Grantor or as otherwise reasonably requested by the Administrative Agent (provided that only the Express Perfection Requirements shall be required to be satisfied).</w:t>
      </w:r>
    </w:p>
    <w:p>
      <w:pPr>
        <w:spacing w:after="0" w:line="173" w:lineRule="exact"/>
        <w:rPr>
          <w:rFonts w:ascii="Arial" w:cs="Arial" w:eastAsia="Arial" w:hAnsi="Arial"/>
          <w:sz w:val="19"/>
          <w:szCs w:val="19"/>
          <w:color w:val="auto"/>
        </w:rPr>
      </w:pPr>
    </w:p>
    <w:p>
      <w:pPr>
        <w:ind w:firstLine="1304"/>
        <w:spacing w:after="0" w:line="343" w:lineRule="auto"/>
        <w:tabs>
          <w:tab w:leader="none" w:pos="1603" w:val="left"/>
        </w:tabs>
        <w:numPr>
          <w:ilvl w:val="1"/>
          <w:numId w:val="95"/>
        </w:numPr>
        <w:rPr>
          <w:rFonts w:ascii="Arial" w:cs="Arial" w:eastAsia="Arial" w:hAnsi="Arial"/>
          <w:sz w:val="19"/>
          <w:szCs w:val="19"/>
          <w:color w:val="auto"/>
        </w:rPr>
      </w:pPr>
      <w:r>
        <w:rPr>
          <w:rFonts w:ascii="Arial" w:cs="Arial" w:eastAsia="Arial" w:hAnsi="Arial"/>
          <w:sz w:val="19"/>
          <w:szCs w:val="19"/>
          <w:color w:val="auto"/>
        </w:rPr>
        <w:t>Each Grantor shall, at its expense, furnish to the Administrative Agent promptly upon receipt copies of each material amendment, supplement or waiver to a Lease received by such Grantor under or pursuant to the Assigned Documents.</w:t>
      </w:r>
    </w:p>
    <w:p>
      <w:pPr>
        <w:spacing w:after="0" w:line="131" w:lineRule="exact"/>
        <w:rPr>
          <w:rFonts w:ascii="Arial" w:cs="Arial" w:eastAsia="Arial" w:hAnsi="Arial"/>
          <w:sz w:val="19"/>
          <w:szCs w:val="19"/>
          <w:color w:val="auto"/>
        </w:rPr>
      </w:pPr>
    </w:p>
    <w:p>
      <w:pPr>
        <w:jc w:val="both"/>
        <w:ind w:firstLine="1304"/>
        <w:spacing w:after="0" w:line="286" w:lineRule="auto"/>
        <w:tabs>
          <w:tab w:leader="none" w:pos="1615" w:val="left"/>
        </w:tabs>
        <w:numPr>
          <w:ilvl w:val="1"/>
          <w:numId w:val="95"/>
        </w:numPr>
        <w:rPr>
          <w:rFonts w:ascii="Arial" w:cs="Arial" w:eastAsia="Arial" w:hAnsi="Arial"/>
          <w:sz w:val="19"/>
          <w:szCs w:val="19"/>
          <w:color w:val="auto"/>
        </w:rPr>
      </w:pPr>
      <w:r>
        <w:rPr>
          <w:rFonts w:ascii="Arial" w:cs="Arial" w:eastAsia="Arial" w:hAnsi="Arial"/>
          <w:sz w:val="19"/>
          <w:szCs w:val="19"/>
          <w:color w:val="auto"/>
        </w:rPr>
        <w:t>So long as no Event of Default shall have occurred and be continuing, and notwithstanding any provision to the contrary in this Agreement, each Grantor shall be entitled, to the exclusion of the Administrative Agent but subject always to the terms of the Loan Documents (x) to exercise and receive, directly or indirectly through one or more agents, any of the claims, rights, powers, privileges, remedies and other benefits under, pursuant to, with respect to or arising out of the Assigned Documents and (y) to take any action or to not take any action, directly or indirectly through one or more agents, related to the Assigned Documents and the lessees or counterparties thereunder, including entering into, amending, supplementing, terminating, performing, enforcing, compelling performance of, exercising all remedies (whether arising under any Assigned Document or by statute or at law or in equity or otherwise) under, exercising rights, elections or options or taking any other action under or in respect of, granting or withholding notices, waivers, approvals and consents in respect of, receiving all payments under, dealing with any credit support or collateral security in respect of, or taking any other action in respect of, the Assigned Documents and contacting or otherwise having any dealings with any lessee or counterparty thereunder, provided, however, that (i) so long as any Assigned Lease remains in effect, no Grantor will abrogate any right, power or privilege granted expressly in favor of the Administrative Agent or any other Secured Party under any Assigned Lease and (ii) during the continuance of an Event of Default, all such rights of each Grantor shall cease, and all such rights shall become vested in the Administrative Agent, which shall thereupon have the sole right to exercise or refrain from exercising such rights.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2.06 Further Assurances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32" w:name="page133"/>
    <w:bookmarkEnd w:id="132"/>
    <w:p>
      <w:pPr>
        <w:jc w:val="both"/>
        <w:ind w:left="-440" w:firstLine="1304"/>
        <w:spacing w:after="0" w:line="286" w:lineRule="auto"/>
        <w:tabs>
          <w:tab w:leader="none" w:pos="1177" w:val="left"/>
        </w:tabs>
        <w:numPr>
          <w:ilvl w:val="1"/>
          <w:numId w:val="96"/>
        </w:numPr>
        <w:rPr>
          <w:rFonts w:ascii="Arial" w:cs="Arial" w:eastAsia="Arial" w:hAnsi="Arial"/>
          <w:sz w:val="19"/>
          <w:szCs w:val="19"/>
          <w:color w:val="auto"/>
        </w:rPr>
      </w:pPr>
      <w:r>
        <w:rPr>
          <w:rFonts w:ascii="Arial" w:cs="Arial" w:eastAsia="Arial" w:hAnsi="Arial"/>
          <w:sz w:val="19"/>
          <w:szCs w:val="19"/>
          <w:color w:val="auto"/>
        </w:rPr>
        <w:t>Each Grantor agrees that from time to time, at the expense of such Grantor, such Grantor shall promptly execute and deliver all further instruments and documents, and take all further action (including under the laws of any foreign jurisdiction), that may be necessary, or that the Administrative Agent may reasonably request, in order to perfect and protect any pledge, assignment or security interest granted or purported to be granted hereby or to enable the Administrative Agent to exercise and enforce its rights and remedies hereunder with respect to any Collateral (except that (x) with respect to the perfection of liens, only the Express Perfection Requirements shall be required to be satisfied and (y) no local law aircraft mortgages, security assignments, security agreements or like instruments shall be required to be provided). Each Grantor shall (i) execute and file such UCC financing or continuation statements, or amendments thereto, and such other instruments or notices, that may be necessary, or as the Administrative Agent may reasonably request, in order to perfect and preserve the pledge, assignment and security interest granted or purported to be granted hereby and (ii) execute, file, record, or register such additional documents and supplements to this Agreement, including any further assignments, security agreements, pledges, grants and transfers, as may be required under the laws of any foreign jurisdiction or as the Administrative Agent may reasonably request, to create, attach, perfect, validate, render enforceable, protect or establish the priority of the security interest and lien of this Agreement (except that (x) with respect to the perfection of liens, only the Express Perfection Requirements shall be required to be satisfied and (y) no local law aircraft mortgages, security assignments, security agreements or like instruments shall be required to be provided).</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left="-440" w:firstLine="1304"/>
        <w:spacing w:after="0" w:line="292" w:lineRule="auto"/>
        <w:tabs>
          <w:tab w:leader="none" w:pos="1175" w:val="left"/>
        </w:tabs>
        <w:numPr>
          <w:ilvl w:val="1"/>
          <w:numId w:val="96"/>
        </w:numPr>
        <w:rPr>
          <w:rFonts w:ascii="Arial" w:cs="Arial" w:eastAsia="Arial" w:hAnsi="Arial"/>
          <w:sz w:val="19"/>
          <w:szCs w:val="19"/>
          <w:color w:val="auto"/>
        </w:rPr>
      </w:pPr>
      <w:r>
        <w:rPr>
          <w:rFonts w:ascii="Arial" w:cs="Arial" w:eastAsia="Arial" w:hAnsi="Arial"/>
          <w:sz w:val="19"/>
          <w:szCs w:val="19"/>
          <w:color w:val="auto"/>
        </w:rPr>
        <w:t>Each Grantor hereby authorizes the Administrative Agent to file one or more UCC financing or continuation statements, and amendments thereto, relating to all or any part of the Collateral without the signature of such Grantor where permitted by law. Such financing statements may describe the Collateral in the same manner as described in this Agreement or may contain an indication or description of collateral that describes such property in any other manner as the Administrative Agent may determine, in its sole discretion, is necessary to ensure the perfection of the security interest in the Collateral granted to the Administrative Agent in connection herewith. Each Grantor hereby ratifies and authorizes the filing by the Administrative Agent of any financing statement with respect to the Collateral made prior to the date hereof.</w:t>
      </w:r>
    </w:p>
    <w:p>
      <w:pPr>
        <w:spacing w:after="0" w:line="177" w:lineRule="exact"/>
        <w:rPr>
          <w:rFonts w:ascii="Arial" w:cs="Arial" w:eastAsia="Arial" w:hAnsi="Arial"/>
          <w:sz w:val="19"/>
          <w:szCs w:val="19"/>
          <w:color w:val="auto"/>
        </w:rPr>
      </w:pPr>
    </w:p>
    <w:p>
      <w:pPr>
        <w:ind w:left="-440" w:right="20" w:firstLine="1304"/>
        <w:spacing w:after="0" w:line="263" w:lineRule="auto"/>
        <w:tabs>
          <w:tab w:leader="none" w:pos="1150" w:val="left"/>
        </w:tabs>
        <w:numPr>
          <w:ilvl w:val="1"/>
          <w:numId w:val="96"/>
        </w:numPr>
        <w:rPr>
          <w:rFonts w:ascii="Arial" w:cs="Arial" w:eastAsia="Arial" w:hAnsi="Arial"/>
          <w:sz w:val="22"/>
          <w:szCs w:val="22"/>
          <w:color w:val="auto"/>
        </w:rPr>
      </w:pPr>
      <w:r>
        <w:rPr>
          <w:rFonts w:ascii="Arial" w:cs="Arial" w:eastAsia="Arial" w:hAnsi="Arial"/>
          <w:sz w:val="22"/>
          <w:szCs w:val="22"/>
          <w:color w:val="auto"/>
        </w:rPr>
        <w:t>Each Grantor shall, prior to or simultaneously with any Person becoming a lessor of any Pool Aircraft, cause such Person to enter into a Collateral Supplement or a Grantor Supplement (as applicable).</w:t>
      </w:r>
    </w:p>
    <w:p>
      <w:pPr>
        <w:spacing w:after="0" w:line="201" w:lineRule="exact"/>
        <w:rPr>
          <w:rFonts w:ascii="Arial" w:cs="Arial" w:eastAsia="Arial" w:hAnsi="Arial"/>
          <w:sz w:val="22"/>
          <w:szCs w:val="22"/>
          <w:color w:val="auto"/>
        </w:rPr>
      </w:pPr>
    </w:p>
    <w:p>
      <w:pPr>
        <w:jc w:val="both"/>
        <w:ind w:left="-440" w:firstLine="506"/>
        <w:spacing w:after="0" w:line="292" w:lineRule="auto"/>
        <w:tabs>
          <w:tab w:leader="none" w:pos="365"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Grantor shall register or cause to be registered (or if the Administrative Agent is making such registration, without relieving each Grantor of such obligation, consent to such registration) with the International Registry (collectively, the "Required Cape Town Registrations"): (i) the International Interest provided for hereunder with respect to each Aircraft Object in respect of Pool Aircraft where the relevant Grantor is situated in a Contracting State or such Aircraft Object is registered in a Contracting State; (ii) the International Interest provided for in any Cape Town Lease under which such Grantor is a lessor or lessee; (iii) the assignment to the Administrative Agent of each International Interest described in clause (ii) and assigned to the Administrative Agent hereunder; and (iv) the Contract of Sale with respect to any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800"/>
          </w:cols>
          <w:pgMar w:left="760" w:top="1427" w:right="339" w:bottom="1440" w:gutter="0" w:footer="0" w:header="0"/>
        </w:sectPr>
      </w:pPr>
    </w:p>
    <w:bookmarkStart w:id="133" w:name="page134"/>
    <w:bookmarkEnd w:id="133"/>
    <w:p>
      <w:pPr>
        <w:jc w:val="both"/>
        <w:spacing w:after="0" w:line="289" w:lineRule="auto"/>
        <w:rPr>
          <w:sz w:val="20"/>
          <w:szCs w:val="20"/>
          <w:color w:val="auto"/>
        </w:rPr>
      </w:pPr>
      <w:r>
        <w:rPr>
          <w:rFonts w:ascii="Arial" w:cs="Arial" w:eastAsia="Arial" w:hAnsi="Arial"/>
          <w:sz w:val="19"/>
          <w:szCs w:val="19"/>
          <w:color w:val="auto"/>
        </w:rPr>
        <w:t>Aircraft by which title to such Pool Aircraft is conveyed by or to such Grantor, but only if the seller under such Contract of Sale is situated in a Contracting State or if such Aircraft Object is registered in a Contracting State and if such seller agrees to such registration; provided that any registrations described in the foregoing clauses (ii), (iii) or (iv) that require the consent of a lessee shall not be required. To the extent that (A) the Administrative Agent's consent is required for any such registration, or (B) the Administrative Agent is required to initiate any such registration, the Administrative Agent shall ensure that such consent or such initiation of such registration is effected, and no Grantor shall be in breach of this Section should the Administrative Agent fail to do so in a proper fashion (it being understood and agreed that in no event shall the Administrative Agent be liable for any failure to so register as a result of such Grantor's failure to provide any necessary information required for such registration in a timely manner or if such information is inaccurate or incomplete).</w:t>
      </w:r>
    </w:p>
    <w:p>
      <w:pPr>
        <w:spacing w:after="0" w:line="184" w:lineRule="exact"/>
        <w:rPr>
          <w:sz w:val="20"/>
          <w:szCs w:val="20"/>
          <w:color w:val="auto"/>
        </w:rPr>
      </w:pPr>
    </w:p>
    <w:p>
      <w:pPr>
        <w:jc w:val="both"/>
        <w:ind w:firstLine="1304"/>
        <w:spacing w:after="0" w:line="289" w:lineRule="auto"/>
        <w:tabs>
          <w:tab w:leader="none" w:pos="1606"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any Grantor shall (i) change its jurisdiction of organization, type of organization or the location of its sole place of business or chief executive office from that referred to in Schedule II or, if such Grantor is not a registered organization, become a registered organization (within the meaning of Section 9-307 of any Uniform Commercial Code) due to any action by such Grantor; or (ii) change its name, such Grantor shall, on or before the date that is 30 days following such change (or such longer period as the Administrative Agent may agree to in its sole discretion), give the Administrative Agent written notice thereof and deliver to the Administrative Agent all additional financing statements and other documents required or reasonably requested by the Administrative Agent to maintain the validity, perfection and priority of the security interest provided for herein after giving effect to such change. Without the prior consent of the Administrative Agent, no Grantor shall change its jurisdiction of organization or principal place of business if it would cause such Grantor not to satisfy the definition of Owner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2.07 Administrative Agent Appointed Attorney-in-Fact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Each Grantor hereby irrevocably appoints, as security for the Obligations, the Administrative Agent as such Grantor's attorney-in-fact, with full authority in the place and stead of such Grantor and in the name of such Grantor or otherwise, from time to time in the Administrative Agent's discretion during the occurrence and continuance of an Event of Default, to take any action and to execute any instrument that the Administrative Agent may deem necessary or advisable to accomplish the purposes of this Agreement, including:</w:t>
      </w:r>
    </w:p>
    <w:p>
      <w:pPr>
        <w:spacing w:after="0" w:line="219" w:lineRule="exact"/>
        <w:rPr>
          <w:sz w:val="20"/>
          <w:szCs w:val="20"/>
          <w:color w:val="auto"/>
        </w:rPr>
      </w:pPr>
    </w:p>
    <w:p>
      <w:pPr>
        <w:ind w:firstLine="1304"/>
        <w:spacing w:after="0" w:line="263" w:lineRule="auto"/>
        <w:tabs>
          <w:tab w:leader="none" w:pos="159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to ask for, demand, collect, sue for, recover, compromise, receive and give acquittance and receipts for moneys due and to become due under or in respect of any of the Collateral;</w:t>
      </w:r>
    </w:p>
    <w:p>
      <w:pPr>
        <w:spacing w:after="0" w:line="201" w:lineRule="exact"/>
        <w:rPr>
          <w:rFonts w:ascii="Arial" w:cs="Arial" w:eastAsia="Arial" w:hAnsi="Arial"/>
          <w:sz w:val="22"/>
          <w:szCs w:val="22"/>
          <w:color w:val="auto"/>
        </w:rPr>
      </w:pPr>
    </w:p>
    <w:p>
      <w:pPr>
        <w:ind w:left="1600" w:hanging="296"/>
        <w:spacing w:after="0"/>
        <w:tabs>
          <w:tab w:leader="none" w:pos="16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to receive, indorse and collect any drafts or other instruments and documents in connection with the Collateral;</w:t>
      </w:r>
    </w:p>
    <w:p>
      <w:pPr>
        <w:spacing w:after="0" w:line="281" w:lineRule="exact"/>
        <w:rPr>
          <w:rFonts w:ascii="Arial" w:cs="Arial" w:eastAsia="Arial" w:hAnsi="Arial"/>
          <w:sz w:val="19"/>
          <w:szCs w:val="19"/>
          <w:color w:val="auto"/>
        </w:rPr>
      </w:pPr>
    </w:p>
    <w:p>
      <w:pPr>
        <w:ind w:firstLine="1304"/>
        <w:spacing w:after="0" w:line="263" w:lineRule="auto"/>
        <w:tabs>
          <w:tab w:leader="none" w:pos="161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to file any claims or take any action or institute any proceedings that the Administrative Agent may deem necessary for the collection of any of the Collateral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otherwise to enforce the rights of the Administrative Agent with respect to any of the Collateral; and</w:t>
      </w:r>
    </w:p>
    <w:p>
      <w:pPr>
        <w:spacing w:after="0" w:line="247" w:lineRule="exact"/>
        <w:rPr>
          <w:sz w:val="20"/>
          <w:szCs w:val="20"/>
          <w:color w:val="auto"/>
        </w:rPr>
      </w:pPr>
    </w:p>
    <w:p>
      <w:pPr>
        <w:jc w:val="both"/>
        <w:ind w:firstLine="1304"/>
        <w:spacing w:after="0" w:line="253" w:lineRule="auto"/>
        <w:tabs>
          <w:tab w:leader="none" w:pos="163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to execute and file any UCC financing or continuation statements, or amendments thereto, and such other instruments or notices, as may be necessary, in order to perfect and preserve the pledge, assignment and security interest granted hereby;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provided that the Administrative Agent's exercise of any such power shall be subject to Section 2.05(d).</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2.08 Administrative Agent May Perform</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any Grantor fails to perform any agreement contained in this Agreement, the Administrative Agent may (but shall not be obligated to) after such prior notice as may be reasonable under the circumstances, itself perform, or cause performance of, such agreement, and the expenses of the Administrative Agent incurred in connection with doing so shall be payable by the Grantors.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2.09 Delivery of Collateral Supplements</w:t>
      </w:r>
    </w:p>
    <w:p>
      <w:pPr>
        <w:spacing w:after="0" w:line="2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Upon the addition of any Pool Aircraft, each relevant Grantor shall promptly execute and deliver to the Administrative Agent a Collateral Supplement duly completed with respect to such Collateral and shall take such steps with respect to the perfection of such Collateral as are called for by this Agreement for Collateral of the same type (except that only the Express Perfection Requirements shall be required to be satisfied), provided that the foregoing shall not be construed to impair or otherwise derogate from any restriction on any such action in any Loan Document, and provided further that the failure of any Grantor to deliver any Collateral Supplement as to any such Collateral shall not impair the lien of this Agreement as to such Collateral.</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2.10 Covenants Related to Addition of Pool Aircraft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Each Grantor hereby covenants that, as of the date hereof, they have delivered or will deliver to the Administrative Agent the following;</w:t>
      </w:r>
    </w:p>
    <w:p>
      <w:pPr>
        <w:spacing w:after="0" w:line="202" w:lineRule="exact"/>
        <w:rPr>
          <w:sz w:val="20"/>
          <w:szCs w:val="20"/>
          <w:color w:val="auto"/>
        </w:rPr>
      </w:pPr>
    </w:p>
    <w:p>
      <w:pPr>
        <w:jc w:val="both"/>
        <w:ind w:firstLine="1304"/>
        <w:spacing w:after="0" w:line="265" w:lineRule="auto"/>
        <w:tabs>
          <w:tab w:leader="none" w:pos="159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opinions in the customary form and satisfactory to the Administrative Agent of (i) counsel in the jurisdiction of organization of the applicable Grantor, (ii) with respect to the laws of the State of New York, counsel to the applicable Grantor regarding authorization, enforceability and perfection as to the security interests granted hereunder and (iii) counsel to the applicable Grantor in respect of the registration and filing of the Required Cape Town Filings;</w:t>
      </w:r>
    </w:p>
    <w:p>
      <w:pPr>
        <w:spacing w:after="0" w:line="202" w:lineRule="exact"/>
        <w:rPr>
          <w:rFonts w:ascii="Arial" w:cs="Arial" w:eastAsia="Arial" w:hAnsi="Arial"/>
          <w:sz w:val="21"/>
          <w:szCs w:val="21"/>
          <w:color w:val="auto"/>
        </w:rPr>
      </w:pPr>
    </w:p>
    <w:p>
      <w:pPr>
        <w:ind w:firstLine="1304"/>
        <w:spacing w:after="0" w:line="287" w:lineRule="auto"/>
        <w:tabs>
          <w:tab w:leader="none" w:pos="162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applicable Insurance; provided that that if any Pool Aircraft is not subject to an Assigned Lease, such insurance shall be in an amount and on substantially similar terms as the prior Insurance for such Pool Aircraft;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135" w:name="page136"/>
    <w:bookmarkEnd w:id="135"/>
    <w:p>
      <w:pPr>
        <w:ind w:left="1300"/>
        <w:spacing w:after="0"/>
        <w:rPr>
          <w:sz w:val="20"/>
          <w:szCs w:val="20"/>
          <w:color w:val="auto"/>
        </w:rPr>
      </w:pPr>
      <w:r>
        <w:rPr>
          <w:rFonts w:ascii="Arial" w:cs="Arial" w:eastAsia="Arial" w:hAnsi="Arial"/>
          <w:sz w:val="19"/>
          <w:szCs w:val="19"/>
          <w:color w:val="auto"/>
        </w:rPr>
        <w:t>(c) in respect of each Pool Aircraft, copies of the certificate of registration, each Lease and all other material Lease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2.11 Application of Proceeds</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All proceeds collected by the Administrative Agent upon any collection, sale, foreclosure or other realization upon any Collateral (including any distribution pursuant to a plan of reorganization), including any Collateral consisting of cash, shall be applied in accordance with Section 7.2 of the Credit Agreement.</w:t>
      </w: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REMEDIES</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3.01 Remedies</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anything herein or in any other Loan Document to the contrary, if any Event of Default shall have occurred and be continuing, and, in each case, subject to the quiet enjoyment rights of the applicable Lessee of any Pool Aircraft:</w:t>
      </w:r>
    </w:p>
    <w:p>
      <w:pPr>
        <w:spacing w:after="0" w:line="212" w:lineRule="exact"/>
        <w:rPr>
          <w:sz w:val="20"/>
          <w:szCs w:val="20"/>
          <w:color w:val="auto"/>
        </w:rPr>
      </w:pPr>
    </w:p>
    <w:p>
      <w:pPr>
        <w:jc w:val="both"/>
        <w:ind w:firstLine="1304"/>
        <w:spacing w:after="0" w:line="286" w:lineRule="auto"/>
        <w:tabs>
          <w:tab w:leader="none" w:pos="160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Administrative Agent may exercise in respect of the Collateral, in addition to other rights and remedies provided for herein (including, for the avoidance of doubt, the rights and remedies of the Administrative Agent provided for in Section 2.07(c)), all of the rights and remedies of a secured party upon default under the UCC (whether or not the UCC applies to the affected Collateral) and all of the rights and remedies under applicable law and also may (i) require any Grantor to, and such Grantor hereby agrees that it shall at its expense and upon request of the Administrative Agent forthwith, assemble all or any part of the Collateral as directed by the Administrative Agent and make it available to the Administrative Agent at a place to be designated by the Administrative Agent that is reasonably convenient to both parties and (ii) without notice except as specified below, sell or cause the sale of the Collateral or any part thereof in one or more parcels at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jc w:val="both"/>
        <w:ind w:firstLine="1304"/>
        <w:spacing w:after="0" w:line="265" w:lineRule="auto"/>
        <w:tabs>
          <w:tab w:leader="none" w:pos="160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Administrative Agent may, in addition to or in connection with any other remedies available hereunder or under any other applicable law, exercise any and all remedies granted under the Cape Town Convention as it shall determine in its sole discretion. In connection therewith, the parties hereby agree to the extent permitted by the UCC that (i) Article 9(1) and Article 9(2) of the Convention, wherein the parties may agree or the court may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136" w:name="page137"/>
    <w:bookmarkEnd w:id="136"/>
    <w:p>
      <w:pPr>
        <w:jc w:val="both"/>
        <w:spacing w:after="0" w:line="246" w:lineRule="auto"/>
        <w:rPr>
          <w:sz w:val="20"/>
          <w:szCs w:val="20"/>
          <w:color w:val="auto"/>
        </w:rPr>
      </w:pPr>
      <w:r>
        <w:rPr>
          <w:rFonts w:ascii="Arial" w:cs="Arial" w:eastAsia="Arial" w:hAnsi="Arial"/>
          <w:sz w:val="22"/>
          <w:szCs w:val="22"/>
          <w:color w:val="auto"/>
        </w:rPr>
        <w:t>that any Collateral shall vest in the Administrative Agent in or towards satisfaction of the Obligations, shall not preclude the Administrative Agent from obtaining title to any Collateral pursuant to any other remedies available under applicable law (including but not limited to Article 9-620 of the UCC); (ii) any surplus of cash or cash proceeds held by the Administrative Agent and remaining after payment in full of the Obligations shall be paid as specified in Section 7.2 of the Credit Agreement; and (iii) the Administrative Agent may obtain from any applicable court, pending final determination of any claim resulting from an Event of Default, speedy relief in the form of any of the orders specified in Article 13 of the Convention and Article X of the Protocol as the Administrative Agent shall determine in its sole and absolute discretion, subject to any procedural requirements prescribed by applicable laws</w:t>
      </w:r>
    </w:p>
    <w:p>
      <w:pPr>
        <w:spacing w:after="0" w:line="22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SECURITY INTEREST ABSOLUTE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4.01 Security Interest Absolute</w:t>
      </w:r>
    </w:p>
    <w:p>
      <w:pPr>
        <w:spacing w:after="0" w:line="20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A separate action or actions may be brought and prosecuted against each Grantor to enforce this Agreement, irrespective of whether any action is brought against any other Grantor or whether any other Grantor is joined in any such action or actions. Except as otherwise provided in the Loan Documents, all rights of the Administrative Agent and the security interests and Liens granted under, and all obligations of each Grantor under, until payment in full of the Obligations, the expiration or termination of the Commitments and the expiration or termination of all Letters of Credit (except those that have been cash collateralized or backstopped, in each case, in a manner reasonably satisfactory to each applicable Issuing Bank), this Agreement and each other Loan Document shall be absolute and unconditional, irrespective of:</w:t>
      </w:r>
    </w:p>
    <w:p>
      <w:pPr>
        <w:spacing w:after="0" w:line="178" w:lineRule="exact"/>
        <w:rPr>
          <w:sz w:val="20"/>
          <w:szCs w:val="20"/>
          <w:color w:val="auto"/>
        </w:rPr>
      </w:pPr>
    </w:p>
    <w:p>
      <w:pPr>
        <w:ind w:firstLine="1304"/>
        <w:spacing w:after="0" w:line="263" w:lineRule="auto"/>
        <w:tabs>
          <w:tab w:leader="none" w:pos="160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lack of validity or enforceability of any Loan Document, Assigned Document or any other agreement or instrument relating thereto;</w:t>
      </w:r>
    </w:p>
    <w:p>
      <w:pPr>
        <w:spacing w:after="0" w:line="201" w:lineRule="exact"/>
        <w:rPr>
          <w:rFonts w:ascii="Arial" w:cs="Arial" w:eastAsia="Arial" w:hAnsi="Arial"/>
          <w:sz w:val="22"/>
          <w:szCs w:val="22"/>
          <w:color w:val="auto"/>
        </w:rPr>
      </w:pPr>
    </w:p>
    <w:p>
      <w:pPr>
        <w:jc w:val="both"/>
        <w:ind w:firstLine="1304"/>
        <w:spacing w:after="0" w:line="253" w:lineRule="auto"/>
        <w:tabs>
          <w:tab w:leader="none" w:pos="160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the security for, or in any other term of, all or any of the Obligations, or any other amendment or waiver of or any consent to any departure from any Loan Document or Assigned Document or any other agreement or instrument relating thereto;</w:t>
      </w:r>
    </w:p>
    <w:p>
      <w:pPr>
        <w:spacing w:after="0" w:line="212" w:lineRule="exact"/>
        <w:rPr>
          <w:rFonts w:ascii="Arial" w:cs="Arial" w:eastAsia="Arial" w:hAnsi="Arial"/>
          <w:sz w:val="22"/>
          <w:szCs w:val="22"/>
          <w:color w:val="auto"/>
        </w:rPr>
      </w:pPr>
    </w:p>
    <w:p>
      <w:pPr>
        <w:ind w:firstLine="1304"/>
        <w:spacing w:after="0" w:line="263" w:lineRule="auto"/>
        <w:tabs>
          <w:tab w:leader="none" w:pos="160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taking, exchange, release or non-perfection of the Collateral or any other collateral or taking, release or amendment or waiver of or consent to departure from any guaranty, for all or any of the Obligations;</w:t>
      </w:r>
    </w:p>
    <w:p>
      <w:pPr>
        <w:spacing w:after="0" w:line="201" w:lineRule="exact"/>
        <w:rPr>
          <w:rFonts w:ascii="Arial" w:cs="Arial" w:eastAsia="Arial" w:hAnsi="Arial"/>
          <w:sz w:val="22"/>
          <w:szCs w:val="22"/>
          <w:color w:val="auto"/>
        </w:rPr>
      </w:pPr>
    </w:p>
    <w:p>
      <w:pPr>
        <w:ind w:firstLine="1304"/>
        <w:spacing w:after="0" w:line="263" w:lineRule="auto"/>
        <w:tabs>
          <w:tab w:leader="none" w:pos="160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manner of application of Collateral, or proceeds thereof, to the Obligations, or any manner of sale or other disposition of any Collateral for the Obligations or any other assets of the Grantors;</w:t>
      </w:r>
    </w:p>
    <w:p>
      <w:pPr>
        <w:spacing w:after="0" w:line="201" w:lineRule="exact"/>
        <w:rPr>
          <w:rFonts w:ascii="Arial" w:cs="Arial" w:eastAsia="Arial" w:hAnsi="Arial"/>
          <w:sz w:val="22"/>
          <w:szCs w:val="22"/>
          <w:color w:val="auto"/>
        </w:rPr>
      </w:pPr>
    </w:p>
    <w:p>
      <w:pPr>
        <w:ind w:left="1600" w:hanging="296"/>
        <w:spacing w:after="0"/>
        <w:tabs>
          <w:tab w:leader="none" w:pos="16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change, restructuring or termination of the corporate structure or existence of any Grantor;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137" w:name="page138"/>
    <w:bookmarkEnd w:id="137"/>
    <w:p>
      <w:pPr>
        <w:spacing w:after="0" w:line="231" w:lineRule="exact"/>
        <w:rPr>
          <w:sz w:val="20"/>
          <w:szCs w:val="20"/>
          <w:color w:val="auto"/>
        </w:rPr>
      </w:pPr>
    </w:p>
    <w:p>
      <w:pPr>
        <w:ind w:right="20" w:firstLine="1304"/>
        <w:spacing w:after="0" w:line="263" w:lineRule="auto"/>
        <w:tabs>
          <w:tab w:leader="none" w:pos="157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other circumstance that might otherwise constitute a defense available to, or a discharge of, any Grantor or a third-party grantor of a security interest or a Person deemed to be a surety.</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ADMINISTRATIVE AGENT</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5.01 Cape Town Convention</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Administrative Agent, during the term of this Agreement, shall establish and maintain a valid and existing account as a Transacting User Entity with the International Registry and appoint an Administrator and/or a Professional User Entity to make registrations in regard to the Collateral as required by this Agreement.</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5.02 No Individual Liability</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Administrative Agent shall not have any individual liability in respect of all or any part of the Obligations, and all shall look, subject to the lien and priorities of payment provided herein and in the Loan Documents, only to the property of the Grantors (to the extent provided in the Loan Documents) for payment or satisfaction of the Obligations pursuant to this Agreement and the other Loan Documents.</w:t>
      </w:r>
    </w:p>
    <w:p>
      <w:pPr>
        <w:spacing w:after="0" w:line="21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INDEMNITY AND EXPENSES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6.01 Secured Parties' Indemnity</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Administrative Agent shall be entitled to be indemnified (subject to the limitations and requirements described in Section 9.5 of the Credit Agreement) by the Lenders to the sole satisfaction of the Administrative Agent before proceeding to exercise any right or power under this Agreement at the request or direction of the Administrative Agent.</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6.02 Survival</w:t>
      </w:r>
    </w:p>
    <w:p>
      <w:pPr>
        <w:spacing w:after="0" w:line="22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provisions of Section 6.01 shall survive the termination of this Agreement or, if earlier, the resignation of the Administrative Agent hereunder.</w:t>
      </w:r>
    </w:p>
    <w:p>
      <w:pPr>
        <w:spacing w:after="0" w:line="20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7.01 Amendments;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38" w:name="page139"/>
    <w:bookmarkEnd w:id="138"/>
    <w:p>
      <w:pPr>
        <w:jc w:val="both"/>
        <w:ind w:firstLine="1304"/>
        <w:spacing w:after="0" w:line="292" w:lineRule="auto"/>
        <w:tabs>
          <w:tab w:leader="none" w:pos="159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Upon the execution and delivery by any Person of a Grantor Supplement, (i) such Person shall be referred to as an "Additional Grantor" and shall be and become a Grantor hereunder, and each reference in this Agreement to "Grantor" shall also mean and be a reference to such Additional Grantor, (ii) Annexes I and II attached to each Grantor Supplement shall be incorporated into, become a part of and supplement Schedules I and II hereto, respectively, and the Administrative Agent may attach such Annexes as supplements to such Schedules; and each reference to such Schedules shall be a reference to such Schedules as so supplemented and (iii) such Additional Grantor shall be a Grantor for all purposes under this Agreement and shall be bound by the obligations of the Grantors hereunder.</w:t>
      </w:r>
    </w:p>
    <w:p>
      <w:pPr>
        <w:spacing w:after="0" w:line="177" w:lineRule="exact"/>
        <w:rPr>
          <w:rFonts w:ascii="Arial" w:cs="Arial" w:eastAsia="Arial" w:hAnsi="Arial"/>
          <w:sz w:val="19"/>
          <w:szCs w:val="19"/>
          <w:color w:val="auto"/>
        </w:rPr>
      </w:pPr>
    </w:p>
    <w:p>
      <w:pPr>
        <w:jc w:val="both"/>
        <w:ind w:firstLine="1304"/>
        <w:spacing w:after="0" w:line="250" w:lineRule="auto"/>
        <w:tabs>
          <w:tab w:leader="none" w:pos="164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Upon the execution and delivery by a Grantor of a Collateral Supplement, Annex I to each Collateral Supplement shall be incorporated into, become a part of and supplement Schedule I, and the Administrative Agent may attach such Annexes as supplements to such Schedule; and each reference to such Schedule shall be a reference to such Schedule as so supplemented.</w:t>
      </w:r>
    </w:p>
    <w:p>
      <w:pPr>
        <w:spacing w:after="0" w:line="214" w:lineRule="exact"/>
        <w:rPr>
          <w:rFonts w:ascii="Arial" w:cs="Arial" w:eastAsia="Arial" w:hAnsi="Arial"/>
          <w:sz w:val="22"/>
          <w:szCs w:val="22"/>
          <w:color w:val="auto"/>
        </w:rPr>
      </w:pPr>
    </w:p>
    <w:p>
      <w:pPr>
        <w:ind w:firstLine="1304"/>
        <w:spacing w:after="0" w:line="263" w:lineRule="auto"/>
        <w:tabs>
          <w:tab w:leader="none" w:pos="162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None of the terms or provisions of this Agreement may be amended, supplemented or otherwise modified except in accordance with Section 9.1 of the Credit Agreement.</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7.02 Addresses for Notices</w:t>
      </w:r>
    </w:p>
    <w:p>
      <w:pPr>
        <w:spacing w:after="0" w:line="2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All notices and other communications provided for hereunder shall be in writing (including telecopier or email) and telecopied, emailed or delivered to the intended recipient to the address, telecopier number, electronic mail address or telephone number specified for such Person in Section 9.2 of the Credit Agreement or in a Grantor Supplement, or to such other address as shall be designated by such Person in a written notice to each other party to this Agreement complying as to delivery with the terms of this Section 7.02. Each such notice shall be effective (a) on the date personally delivered to an authorized officer of the party to which sent, or (b) on the date transmitted by legible telecopier or email transmission with a confirmation of receipt.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7.03 No Waiver; Cumulative Remedies</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No failure to exercise and no delay in exercising, on the part of the Administrative Agent or any Secured Party,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7.04 Severability</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Any provision of this Agreement that is prohibited or unenforceable in any jurisdiction shall, as to such jurisdiction, be ineffective to the extent of such prohibition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139" w:name="page140"/>
    <w:bookmarkEnd w:id="139"/>
    <w:p>
      <w:pPr>
        <w:spacing w:after="0" w:line="263" w:lineRule="auto"/>
        <w:rPr>
          <w:sz w:val="20"/>
          <w:szCs w:val="20"/>
          <w:color w:val="auto"/>
        </w:rPr>
      </w:pPr>
      <w:r>
        <w:rPr>
          <w:rFonts w:ascii="Arial" w:cs="Arial" w:eastAsia="Arial" w:hAnsi="Arial"/>
          <w:sz w:val="22"/>
          <w:szCs w:val="22"/>
          <w:color w:val="auto"/>
        </w:rPr>
        <w:t>unenforceability without invalidating the remaining provisions hereof, and any such prohibition or unenforceability in any jurisdiction shall not invalidate or render unenforceable such provision in any other jurisdiction.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7.05 Continuing Security Interest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Subject to Section 7.06, this Agreement shall create a continuing security interest in the Collateral and shall</w:t>
      </w:r>
    </w:p>
    <w:p>
      <w:pPr>
        <w:spacing w:after="0" w:line="56" w:lineRule="exact"/>
        <w:rPr>
          <w:sz w:val="20"/>
          <w:szCs w:val="20"/>
          <w:color w:val="auto"/>
        </w:rPr>
      </w:pPr>
    </w:p>
    <w:p>
      <w:pPr>
        <w:jc w:val="both"/>
        <w:ind w:firstLine="8"/>
        <w:spacing w:after="0" w:line="292" w:lineRule="auto"/>
        <w:tabs>
          <w:tab w:leader="none" w:pos="30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remain in full force and effect until the payment in full in cash of all of the Obligations, the expiration or termination of the Commitments and the expiration or termination of all Letters of Credit (except those that have been cash collateralized or backstopped, in each case, in a manner reasonably satisfactory to each applicable Issuing Bank), (b) be binding upon each Grantor, its successors and assigns and (c) inure, together with the rights and remedies of the Administrative Agent hereunder, to the benefit of the Secured Parties and their respective successors, permitted transferees and permitted assigns.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7.06 Release and Termination</w:t>
      </w:r>
    </w:p>
    <w:p>
      <w:pPr>
        <w:spacing w:after="0" w:line="220" w:lineRule="exact"/>
        <w:rPr>
          <w:sz w:val="20"/>
          <w:szCs w:val="20"/>
          <w:color w:val="auto"/>
        </w:rPr>
      </w:pPr>
    </w:p>
    <w:p>
      <w:pPr>
        <w:jc w:val="both"/>
        <w:ind w:firstLine="1304"/>
        <w:spacing w:after="0" w:line="289" w:lineRule="auto"/>
        <w:tabs>
          <w:tab w:leader="none" w:pos="160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Upon any release of a Pool Aircraft pursuant to the Credit Agreement, such Pool Aircraft and the Collateral related solely to such Pool Aircraft will be deemed released from the Lien hereof, and the Administrative Agent will, at such Grantor's expense, execute and deliver to the Grantor of such Collateral such documents as such Grantor shall reasonably request and provide to the Administrative Agent to evidence the release of such Collateral from the pledge, assignment and security interest granted hereby, and to the extent that (A) the Administrative Agent's consent is required for any deregistration of the interests in such released Collateral from the International Registry or other registry or (B) the Administrative Agent is required to initiate any such deregistration, the Administrative Agent shall ensure that such consent or such initiation of such deregistration is affected, subject in each case, to receipt by the Administrative Agent of an officer’s certificate of the Borrower certifying as to such matters reasonably requested by the Administrative Agent.</w:t>
      </w:r>
    </w:p>
    <w:p>
      <w:pPr>
        <w:spacing w:after="0" w:line="183" w:lineRule="exact"/>
        <w:rPr>
          <w:rFonts w:ascii="Arial" w:cs="Arial" w:eastAsia="Arial" w:hAnsi="Arial"/>
          <w:sz w:val="19"/>
          <w:szCs w:val="19"/>
          <w:color w:val="auto"/>
        </w:rPr>
      </w:pPr>
    </w:p>
    <w:p>
      <w:pPr>
        <w:jc w:val="both"/>
        <w:ind w:firstLine="1304"/>
        <w:spacing w:after="0" w:line="292" w:lineRule="auto"/>
        <w:tabs>
          <w:tab w:leader="none" w:pos="160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at any time the Incremental Aviation Borrowing Amount is zero and no Event of Default has occurred and is continuing, upon written request by the Borrower the pledge, assignment and security interest granted by Section 2.01 hereof shall terminate, the Administrative Agent shall cease to be a party to this agreement, and all provisions of this Agreement (except for this Section 7.06(b)) relating to the Obligations, the Secured Parties or the Administrative Agent shall cease to be of any effect insofar as they relate to the Obligations, the Secured Parties or the Administrative Agent. Upon any such termination, the Administrative Agent will, at the relevant Grantor's expense, execute and deliver to each relevant Grantor such documents as such Grantor shall prepare and reasonably request to evidence such termination.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7.07 Conversion of Currencies</w:t>
      </w:r>
    </w:p>
    <w:p>
      <w:pPr>
        <w:spacing w:after="0" w:line="220" w:lineRule="exact"/>
        <w:rPr>
          <w:sz w:val="20"/>
          <w:szCs w:val="20"/>
          <w:color w:val="auto"/>
        </w:rPr>
      </w:pPr>
    </w:p>
    <w:p>
      <w:pPr>
        <w:jc w:val="both"/>
        <w:ind w:firstLine="1304"/>
        <w:spacing w:after="0" w:line="253" w:lineRule="auto"/>
        <w:tabs>
          <w:tab w:leader="none" w:pos="159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140" w:name="page141"/>
    <w:bookmarkEnd w:id="140"/>
    <w:p>
      <w:pPr>
        <w:spacing w:after="0" w:line="263" w:lineRule="auto"/>
        <w:rPr>
          <w:sz w:val="20"/>
          <w:szCs w:val="20"/>
          <w:color w:val="auto"/>
        </w:rPr>
      </w:pPr>
      <w:r>
        <w:rPr>
          <w:rFonts w:ascii="Arial" w:cs="Arial" w:eastAsia="Arial" w:hAnsi="Arial"/>
          <w:sz w:val="22"/>
          <w:szCs w:val="22"/>
          <w:color w:val="auto"/>
        </w:rPr>
        <w:t>which, in accordance with normal banking procedures in the jurisdiction, the first currency could be purchased with such other currency on the Business Day immediately preceding the day on which final judgment is given.</w:t>
      </w:r>
    </w:p>
    <w:p>
      <w:pPr>
        <w:spacing w:after="0" w:line="202" w:lineRule="exact"/>
        <w:rPr>
          <w:sz w:val="20"/>
          <w:szCs w:val="20"/>
          <w:color w:val="auto"/>
        </w:rPr>
      </w:pPr>
    </w:p>
    <w:p>
      <w:pPr>
        <w:jc w:val="both"/>
        <w:ind w:firstLine="1304"/>
        <w:spacing w:after="0" w:line="258" w:lineRule="auto"/>
        <w:tabs>
          <w:tab w:leader="none" w:pos="161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obligations of the Grantor in respect of any sum due to any party hereto or any holder of the obligations owing hereunder (the “</w:t>
      </w:r>
      <w:r>
        <w:rPr>
          <w:rFonts w:ascii="Arial" w:cs="Arial" w:eastAsia="Arial" w:hAnsi="Arial"/>
          <w:sz w:val="21"/>
          <w:szCs w:val="21"/>
          <w:b w:val="1"/>
          <w:bCs w:val="1"/>
          <w:color w:val="auto"/>
        </w:rPr>
        <w:t>Applicable Creditor</w:t>
      </w:r>
      <w:r>
        <w:rPr>
          <w:rFonts w:ascii="Arial" w:cs="Arial" w:eastAsia="Arial" w:hAnsi="Arial"/>
          <w:sz w:val="21"/>
          <w:szCs w:val="21"/>
          <w:color w:val="auto"/>
        </w:rPr>
        <w:t>”) shall, notwithstanding any judgment in a currency (the “</w:t>
      </w:r>
      <w:r>
        <w:rPr>
          <w:rFonts w:ascii="Arial" w:cs="Arial" w:eastAsia="Arial" w:hAnsi="Arial"/>
          <w:sz w:val="21"/>
          <w:szCs w:val="21"/>
          <w:b w:val="1"/>
          <w:bCs w:val="1"/>
          <w:color w:val="auto"/>
        </w:rPr>
        <w:t>Judgment Currency</w:t>
      </w:r>
      <w:r>
        <w:rPr>
          <w:rFonts w:ascii="Arial" w:cs="Arial" w:eastAsia="Arial" w:hAnsi="Arial"/>
          <w:sz w:val="21"/>
          <w:szCs w:val="21"/>
          <w:color w:val="auto"/>
        </w:rPr>
        <w:t>”) other than the currency in which such sum is stated to be due hereunder (the “</w:t>
      </w:r>
      <w:r>
        <w:rPr>
          <w:rFonts w:ascii="Arial" w:cs="Arial" w:eastAsia="Arial" w:hAnsi="Arial"/>
          <w:sz w:val="21"/>
          <w:szCs w:val="21"/>
          <w:b w:val="1"/>
          <w:bCs w:val="1"/>
          <w:color w:val="auto"/>
        </w:rPr>
        <w:t>Agreement Currency</w:t>
      </w:r>
      <w:r>
        <w:rPr>
          <w:rFonts w:ascii="Arial" w:cs="Arial" w:eastAsia="Arial" w:hAnsi="Arial"/>
          <w:sz w:val="21"/>
          <w:szCs w:val="21"/>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Grantor agrees, as a separate obligation and notwithstanding any such judgment, to indemnify the Applicable Creditor against such loss. The obligations of the Grantor contained in this Section 7.07 shall survive the termination of the Credit Agreement and the payment of all other amounts owing thereunder.</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7.08 Governing Law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AND THE RIGHTS AND OBLIGATIONS OF THE PARTIES UNDER THIS AGREEMENT SHALL BE GOVERNED BY, AND CONSTRUED AND INTERPRETED IN ACCORDANCE WITH, THE LAW OF THE STATE OF NEW YORK.</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7.09 Jurisdiction; Consent to Service of Process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party hereto hereby irrevocably and unconditionally:</w:t>
      </w:r>
    </w:p>
    <w:p>
      <w:pPr>
        <w:spacing w:after="0" w:line="247" w:lineRule="exact"/>
        <w:rPr>
          <w:sz w:val="20"/>
          <w:szCs w:val="20"/>
          <w:color w:val="auto"/>
        </w:rPr>
      </w:pPr>
    </w:p>
    <w:p>
      <w:pPr>
        <w:jc w:val="both"/>
        <w:ind w:firstLine="1304"/>
        <w:spacing w:after="0" w:line="302" w:lineRule="auto"/>
        <w:tabs>
          <w:tab w:leader="none" w:pos="160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169" w:lineRule="exact"/>
        <w:rPr>
          <w:rFonts w:ascii="Arial" w:cs="Arial" w:eastAsia="Arial" w:hAnsi="Arial"/>
          <w:sz w:val="19"/>
          <w:szCs w:val="19"/>
          <w:color w:val="auto"/>
        </w:rPr>
      </w:pPr>
    </w:p>
    <w:p>
      <w:pPr>
        <w:jc w:val="both"/>
        <w:ind w:firstLine="1304"/>
        <w:spacing w:after="0" w:line="253" w:lineRule="auto"/>
        <w:tabs>
          <w:tab w:leader="none" w:pos="161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12" w:lineRule="exact"/>
        <w:rPr>
          <w:rFonts w:ascii="Arial" w:cs="Arial" w:eastAsia="Arial" w:hAnsi="Arial"/>
          <w:sz w:val="22"/>
          <w:szCs w:val="22"/>
          <w:color w:val="auto"/>
        </w:rPr>
      </w:pPr>
    </w:p>
    <w:p>
      <w:pPr>
        <w:jc w:val="both"/>
        <w:ind w:firstLine="1304"/>
        <w:spacing w:after="0" w:line="250" w:lineRule="auto"/>
        <w:tabs>
          <w:tab w:leader="none" w:pos="160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its address set forth in Section 9.2 of the Credit Agreement or at such other address of which the Administrative Agent (or in the case of the Administrative Agent, the other parties hereto) shall have been notified pursuant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7" w:right="339" w:bottom="1440" w:gutter="0" w:footer="0" w:header="0"/>
        </w:sectPr>
      </w:pPr>
    </w:p>
    <w:bookmarkStart w:id="141" w:name="page142"/>
    <w:bookmarkEnd w:id="141"/>
    <w:p>
      <w:pPr>
        <w:spacing w:after="0" w:line="231" w:lineRule="exact"/>
        <w:rPr>
          <w:sz w:val="20"/>
          <w:szCs w:val="20"/>
          <w:color w:val="auto"/>
        </w:rPr>
      </w:pPr>
    </w:p>
    <w:p>
      <w:pPr>
        <w:jc w:val="both"/>
        <w:ind w:firstLine="1304"/>
        <w:spacing w:after="0" w:line="253" w:lineRule="auto"/>
        <w:tabs>
          <w:tab w:leader="none" w:pos="161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agrees that the Administrative Agent, the Issuing Bank and the Lenders retain the right to bring proceedings against any Loan Party in the courts of any other jurisdiction in connection with the exercise of any rights under any Security Document or the enforcement of any judgment;</w:t>
      </w:r>
    </w:p>
    <w:p>
      <w:pPr>
        <w:spacing w:after="0" w:line="212" w:lineRule="exact"/>
        <w:rPr>
          <w:rFonts w:ascii="Arial" w:cs="Arial" w:eastAsia="Arial" w:hAnsi="Arial"/>
          <w:sz w:val="22"/>
          <w:szCs w:val="22"/>
          <w:color w:val="auto"/>
        </w:rPr>
      </w:pPr>
    </w:p>
    <w:p>
      <w:pPr>
        <w:ind w:left="1620" w:hanging="316"/>
        <w:spacing w:after="0"/>
        <w:tabs>
          <w:tab w:leader="none" w:pos="16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agrees that nothing herein shall affect the right to effect service of process in any other manner permitted by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 and</w:t>
      </w:r>
    </w:p>
    <w:p>
      <w:pPr>
        <w:spacing w:after="0" w:line="228" w:lineRule="exact"/>
        <w:rPr>
          <w:rFonts w:ascii="Arial" w:cs="Arial" w:eastAsia="Arial" w:hAnsi="Arial"/>
          <w:sz w:val="19"/>
          <w:szCs w:val="19"/>
          <w:color w:val="auto"/>
        </w:rPr>
      </w:pPr>
    </w:p>
    <w:p>
      <w:pPr>
        <w:ind w:firstLine="1304"/>
        <w:spacing w:after="0" w:line="287" w:lineRule="auto"/>
        <w:tabs>
          <w:tab w:leader="none" w:pos="1583" w:val="left"/>
        </w:tabs>
        <w:numPr>
          <w:ilvl w:val="0"/>
          <w:numId w:val="111"/>
        </w:numPr>
        <w:rPr>
          <w:rFonts w:ascii="Arial" w:cs="Arial" w:eastAsia="Arial" w:hAnsi="Arial"/>
          <w:sz w:val="21"/>
          <w:szCs w:val="21"/>
          <w:color w:val="auto"/>
        </w:rPr>
      </w:pPr>
      <w:r>
        <w:rPr>
          <w:rFonts w:ascii="Arial" w:cs="Arial" w:eastAsia="Arial" w:hAnsi="Arial"/>
          <w:sz w:val="21"/>
          <w:szCs w:val="21"/>
          <w:color w:val="auto"/>
        </w:rPr>
        <w:t>waives, to the maximum extent not prohibited by law, any right it may have to claim or recover in any legal action or proceeding referred to in this Section 7.09 any special, exemplary, punitive or consequential damages.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7.10 Counterparts</w:t>
      </w:r>
    </w:p>
    <w:p>
      <w:pPr>
        <w:spacing w:after="0" w:line="220" w:lineRule="exact"/>
        <w:rPr>
          <w:sz w:val="20"/>
          <w:szCs w:val="20"/>
          <w:color w:val="auto"/>
        </w:rPr>
      </w:pPr>
    </w:p>
    <w:p>
      <w:pPr>
        <w:jc w:val="both"/>
        <w:ind w:firstLine="1304"/>
        <w:spacing w:after="0" w:line="248" w:lineRule="auto"/>
        <w:tabs>
          <w:tab w:leader="none" w:pos="160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218" w:lineRule="exact"/>
        <w:rPr>
          <w:rFonts w:ascii="Arial" w:cs="Arial" w:eastAsia="Arial" w:hAnsi="Arial"/>
          <w:sz w:val="22"/>
          <w:szCs w:val="22"/>
          <w:color w:val="auto"/>
        </w:rPr>
      </w:pPr>
    </w:p>
    <w:p>
      <w:pPr>
        <w:jc w:val="both"/>
        <w:ind w:firstLine="1304"/>
        <w:spacing w:after="0" w:line="290" w:lineRule="auto"/>
        <w:tabs>
          <w:tab w:leader="none" w:pos="16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7.11 Table of Contents, Headings, Etc.</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Table of Contents and headings of the Articles and Sections of this Agreement have been inserted for convenience of reference only, are not to be considered a part hereof and shall in no way modify or restrict any of the terms and provisions hereof.</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Section 7.12 Non-Invasive Provisions</w:t>
      </w:r>
    </w:p>
    <w:p>
      <w:pPr>
        <w:spacing w:after="0" w:line="220" w:lineRule="exact"/>
        <w:rPr>
          <w:sz w:val="20"/>
          <w:szCs w:val="20"/>
          <w:color w:val="auto"/>
        </w:rPr>
      </w:pPr>
    </w:p>
    <w:p>
      <w:pPr>
        <w:jc w:val="both"/>
        <w:ind w:firstLine="1304"/>
        <w:spacing w:after="0" w:line="253" w:lineRule="auto"/>
        <w:tabs>
          <w:tab w:leader="none" w:pos="159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Notwithstanding any other provision of the Loan Documents, the Administrative Agent agrees that, so long as no Event of Default shall have occurred and be continuing, not to take any action or cause to be taken any action, or permit any person claiming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42" w:name="page143"/>
    <w:bookmarkEnd w:id="142"/>
    <w:p>
      <w:pPr>
        <w:jc w:val="both"/>
        <w:spacing w:after="0" w:line="297" w:lineRule="auto"/>
        <w:rPr>
          <w:sz w:val="20"/>
          <w:szCs w:val="20"/>
          <w:color w:val="auto"/>
        </w:rPr>
      </w:pPr>
      <w:r>
        <w:rPr>
          <w:rFonts w:ascii="Arial" w:cs="Arial" w:eastAsia="Arial" w:hAnsi="Arial"/>
          <w:sz w:val="19"/>
          <w:szCs w:val="19"/>
          <w:color w:val="auto"/>
        </w:rPr>
        <w:t>by, through or on behalf of it to take any action or cause any action, that would interfere with the possession, use, operation and quiet enjoyment of and other rights with respect to any Pool Aircraft or Collateral related thereto and all rents, revenues, profits and income therefrom, including, without limitation, the right to enforce manufacturers' warranties, the right to apply or obtain insurance proceeds for damage to the Pool Aircraft to the repair of the Pool Aircraft and the right to engage in pooling, leasing and similar actions, in each case in accordance with the terms of this Agreement.</w:t>
      </w:r>
    </w:p>
    <w:p>
      <w:pPr>
        <w:spacing w:after="0" w:line="174" w:lineRule="exact"/>
        <w:rPr>
          <w:sz w:val="20"/>
          <w:szCs w:val="20"/>
          <w:color w:val="auto"/>
        </w:rPr>
      </w:pPr>
    </w:p>
    <w:p>
      <w:pPr>
        <w:jc w:val="both"/>
        <w:ind w:firstLine="494"/>
        <w:spacing w:after="0" w:line="259" w:lineRule="auto"/>
        <w:tabs>
          <w:tab w:leader="none" w:pos="79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Notwithstanding any other provision of the Loan Documents, the Administrative Agent agrees that, so long as no "Event of Default" (or similar term) under a Lease (as defined in such Lease) shall have occurred and be continuing, not to take any action or cause to be taken any action, or permit any person claiming by, through or on behalf of it to take any action or cause any action, that would interfere with the possession, use, operation and quiet enjoyment of and other rights of the Lessee with respect to any Pool Aircraft or Collateral related thereto and all rents, revenues, profits and income therefrom, including, without limitation, the right to enforce manufacturers' warranties, the right to apply or obtain insurance proceeds for damage to the Pool Aircraft to the repair of the Pool Aircraft and the right to engage in pooling, leasing and similar actions, in each case in accordance with the terms of such Lease.</w:t>
      </w:r>
    </w:p>
    <w:p>
      <w:pPr>
        <w:spacing w:after="0" w:line="210" w:lineRule="exact"/>
        <w:rPr>
          <w:rFonts w:ascii="Arial" w:cs="Arial" w:eastAsia="Arial" w:hAnsi="Arial"/>
          <w:sz w:val="21"/>
          <w:szCs w:val="21"/>
          <w:color w:val="auto"/>
        </w:rPr>
      </w:pPr>
    </w:p>
    <w:p>
      <w:pPr>
        <w:jc w:val="both"/>
        <w:ind w:firstLine="602"/>
        <w:spacing w:after="0" w:line="272" w:lineRule="auto"/>
        <w:tabs>
          <w:tab w:leader="none" w:pos="89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Administrative Agent agrees to release any Lien the Administrative Agent may have upon any Engine upon (i) a Grantor providing the Administrative Agent with written notice of a transfer thereof promptly after receipt of a notice thereof from the relevant Lessee and with a copy of the bill of sale or other instrument evidencing the transfer of title of such replacement Engine to a Grantor, (ii) in the case of the transfer of title to an Engine initiated by a Grantor, the Grantor providing the Administrative Agent with a certificate of such transfer and a copy of the bill of sale or other instrument evidencing the transfer of title of a replacement Engine to a Grantor, or (iii) upon the total loss payment or Loan repayment being received (or replacement aircraft being provided) in a case where the Airframe, but not such Engine, was the subject of a total loss, provided that, for the avoidance of doubt, the Administrative Agent shall not release any Lien upon an engine that is not replaced by a Grantor or a Lessee, unless such Engine is associated with an aircraft that was subject to a total loss or otherwise removed from the Designated Pool. The applicable Grantor shall at the request of the Administrative Agent execute a supplement to this Agreement to evidence that any such replacement engine has become subject to the Lien of this Agreement and the Administrative Agent shall, at the request of the applicable Grantor, execute a supplement to this Agreement to evidence the release of the applicable Engine from the Lien of the Administrative Agent.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670"/>
        <w:spacing w:after="0" w:line="238" w:lineRule="auto"/>
        <w:tabs>
          <w:tab w:leader="none" w:pos="983" w:val="left"/>
        </w:tabs>
        <w:numPr>
          <w:ilvl w:val="2"/>
          <w:numId w:val="114"/>
        </w:numPr>
        <w:rPr>
          <w:rFonts w:ascii="Arial" w:cs="Arial" w:eastAsia="Arial" w:hAnsi="Arial"/>
          <w:sz w:val="22"/>
          <w:szCs w:val="22"/>
          <w:color w:val="auto"/>
        </w:rPr>
      </w:pPr>
      <w:r>
        <w:rPr>
          <w:rFonts w:ascii="Arial" w:cs="Arial" w:eastAsia="Arial" w:hAnsi="Arial"/>
          <w:sz w:val="22"/>
          <w:szCs w:val="22"/>
          <w:color w:val="auto"/>
        </w:rPr>
        <w:t>The Lenders and the Administrative Agent agree that they will not claim, and upon the request of any Grantor, the Administrative Agent will confirm in writing that it does not claim, any right, title or interest in any engine or part (including any audio visual, telephonic, entertainment or similar equipment) that is installed on a Pool Aircraft which does not constitute an "engine" or "part" as defined in the applicable Lease.</w:t>
      </w:r>
    </w:p>
    <w:p>
      <w:pPr>
        <w:spacing w:after="0" w:line="225" w:lineRule="exact"/>
        <w:rPr>
          <w:rFonts w:ascii="Arial" w:cs="Arial" w:eastAsia="Arial" w:hAnsi="Arial"/>
          <w:sz w:val="22"/>
          <w:szCs w:val="22"/>
          <w:color w:val="auto"/>
        </w:rPr>
      </w:pPr>
    </w:p>
    <w:p>
      <w:pPr>
        <w:ind w:right="20" w:firstLine="674"/>
        <w:spacing w:after="0" w:line="250" w:lineRule="auto"/>
        <w:tabs>
          <w:tab w:leader="none" w:pos="98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For the avoidance of doubt, the Administrative Agent agrees that each Grantor may from time to time lease out an engine that is part of a Pool Aircraft or lease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143" w:name="page144"/>
    <w:bookmarkEnd w:id="143"/>
    <w:p>
      <w:pPr>
        <w:spacing w:after="0" w:line="231" w:lineRule="exact"/>
        <w:rPr>
          <w:sz w:val="20"/>
          <w:szCs w:val="20"/>
          <w:color w:val="auto"/>
        </w:rPr>
      </w:pPr>
    </w:p>
    <w:p>
      <w:pPr>
        <w:ind w:left="2080" w:right="1159" w:hanging="3185"/>
        <w:spacing w:after="0" w:line="343" w:lineRule="auto"/>
        <w:rPr>
          <w:sz w:val="20"/>
          <w:szCs w:val="20"/>
          <w:color w:val="auto"/>
        </w:rPr>
      </w:pPr>
      <w:r>
        <w:rPr>
          <w:rFonts w:ascii="Arial" w:cs="Arial" w:eastAsia="Arial" w:hAnsi="Arial"/>
          <w:sz w:val="19"/>
          <w:szCs w:val="19"/>
          <w:color w:val="auto"/>
        </w:rPr>
        <w:t>engine that is not part of a Pool Aircraft as it determines in accordance with Leasing Company Practice. [</w:t>
      </w:r>
      <w:r>
        <w:rPr>
          <w:rFonts w:ascii="Arial" w:cs="Arial" w:eastAsia="Arial" w:hAnsi="Arial"/>
          <w:sz w:val="19"/>
          <w:szCs w:val="19"/>
          <w:i w:val="1"/>
          <w:iCs w:val="1"/>
          <w:color w:val="auto"/>
        </w:rPr>
        <w:t>The Remainder of this Page is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9019"/>
          </w:cols>
          <w:pgMar w:left="1440" w:top="1440" w:right="1440" w:bottom="1440" w:gutter="0" w:footer="0" w:header="0"/>
        </w:sectPr>
      </w:pPr>
    </w:p>
    <w:bookmarkStart w:id="144" w:name="page145"/>
    <w:bookmarkEnd w:id="144"/>
    <w:p>
      <w:pPr>
        <w:ind w:firstLine="1296"/>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its representative or officer thereunto duly authorized as of the date first above written.</w:t>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[GRANTOR], as a Grantor</w:t>
      </w:r>
    </w:p>
    <w:p>
      <w:pPr>
        <w:spacing w:after="0" w:line="200" w:lineRule="exact"/>
        <w:rPr>
          <w:sz w:val="20"/>
          <w:szCs w:val="20"/>
          <w:color w:val="auto"/>
        </w:rPr>
      </w:pPr>
    </w:p>
    <w:p>
      <w:pPr>
        <w:spacing w:after="0" w:line="27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_____________________________________</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80"/>
        <w:spacing w:after="0" w:line="263" w:lineRule="auto"/>
        <w:rPr>
          <w:sz w:val="20"/>
          <w:szCs w:val="20"/>
          <w:color w:val="auto"/>
        </w:rPr>
      </w:pPr>
      <w:r>
        <w:rPr>
          <w:rFonts w:ascii="Arial" w:cs="Arial" w:eastAsia="Arial" w:hAnsi="Arial"/>
          <w:sz w:val="22"/>
          <w:szCs w:val="22"/>
          <w:color w:val="auto"/>
        </w:rPr>
        <w:t>JPMORGAN CHASE BANK, N.A., not in its individual capacity but solely as the Administrative Agent</w:t>
      </w:r>
    </w:p>
    <w:p>
      <w:pPr>
        <w:spacing w:after="0" w:line="200" w:lineRule="exact"/>
        <w:rPr>
          <w:sz w:val="20"/>
          <w:szCs w:val="20"/>
          <w:color w:val="auto"/>
        </w:rPr>
      </w:pPr>
    </w:p>
    <w:p>
      <w:pPr>
        <w:spacing w:after="0" w:line="24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_____________________________________</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t>SCHEDULE I</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MORTGAGE AND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AIRCRAFT OBJECTS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97"/>
        </w:trPr>
        <w:tc>
          <w:tcPr>
            <w:tcW w:w="820" w:type="dxa"/>
            <w:vAlign w:val="bottom"/>
            <w:tcBorders>
              <w:top w:val="single" w:sz="8" w:color="auto"/>
              <w:left w:val="single" w:sz="8" w:color="auto"/>
              <w:right w:val="single" w:sz="8" w:color="auto"/>
            </w:tcBorders>
          </w:tcPr>
          <w:p>
            <w:pPr>
              <w:spacing w:after="0"/>
              <w:rPr>
                <w:sz w:val="24"/>
                <w:szCs w:val="24"/>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Airframe Manufacturer</w:t>
            </w:r>
          </w:p>
        </w:tc>
        <w:tc>
          <w:tcPr>
            <w:tcW w:w="1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8"/>
              </w:rPr>
              <w:t>Airframe MSN</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Engine Manufacturer and</w:t>
            </w:r>
          </w:p>
        </w:tc>
        <w:tc>
          <w:tcPr>
            <w:tcW w:w="15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2"/>
                <w:szCs w:val="22"/>
                <w:color w:val="auto"/>
                <w:w w:val="99"/>
              </w:rPr>
              <w:t>Engine MSNs</w:t>
            </w:r>
          </w:p>
        </w:tc>
        <w:tc>
          <w:tcPr>
            <w:tcW w:w="23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Registration Mark</w:t>
            </w:r>
          </w:p>
        </w:tc>
      </w:tr>
      <w:tr>
        <w:trPr>
          <w:trHeight w:val="274"/>
        </w:trPr>
        <w:tc>
          <w:tcPr>
            <w:tcW w:w="820" w:type="dxa"/>
            <w:vAlign w:val="bottom"/>
            <w:tcBorders>
              <w:left w:val="single" w:sz="8" w:color="auto"/>
              <w:right w:val="single" w:sz="8" w:color="auto"/>
            </w:tcBorders>
          </w:tcPr>
          <w:p>
            <w:pPr>
              <w:spacing w:after="0"/>
              <w:rPr>
                <w:sz w:val="23"/>
                <w:szCs w:val="23"/>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and Model</w:t>
            </w:r>
          </w:p>
        </w:tc>
        <w:tc>
          <w:tcPr>
            <w:tcW w:w="146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Model</w:t>
            </w:r>
          </w:p>
        </w:tc>
        <w:tc>
          <w:tcPr>
            <w:tcW w:w="154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r>
      <w:tr>
        <w:trPr>
          <w:trHeight w:val="476"/>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r>
      <w:tr>
        <w:trPr>
          <w:trHeight w:val="250"/>
        </w:trPr>
        <w:tc>
          <w:tcPr>
            <w:tcW w:w="82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40"/>
          </w:cols>
          <w:pgMar w:left="320" w:top="1427"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Name of Grantor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[Grantor]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color w:val="auto"/>
        </w:rPr>
        <w:t>SCHEDULE II</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MORTGAGE AND SECURITY AGREEMENT</w:t>
      </w:r>
    </w:p>
    <w:p>
      <w:pPr>
        <w:spacing w:after="0" w:line="215"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Registered Office and Company Registration Number or Organizational ID (if applicable)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Registration No. [•]</w:t>
      </w:r>
    </w:p>
    <w:p>
      <w:pPr>
        <w:sectPr>
          <w:pgSz w:w="11900" w:h="16838" w:orient="portrait"/>
          <w:cols w:equalWidth="0" w:num="2">
            <w:col w:w="3900" w:space="720"/>
            <w:col w:w="6600"/>
          </w:cols>
          <w:pgMar w:left="340" w:top="142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EXHIBIT A-1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MORTGAGE AND SECURITY AGREEMENT</w:t>
      </w:r>
    </w:p>
    <w:p>
      <w:pPr>
        <w:spacing w:after="0" w:line="229"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FORM OF COLLATERAL SUPPLEMENT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 as the Administrative Agent</w:t>
      </w:r>
    </w:p>
    <w:p>
      <w:pPr>
        <w:spacing w:after="0" w:line="207" w:lineRule="auto"/>
        <w:rPr>
          <w:sz w:val="20"/>
          <w:szCs w:val="20"/>
          <w:color w:val="auto"/>
        </w:rPr>
      </w:pPr>
      <w:r>
        <w:rPr>
          <w:rFonts w:ascii="Arial" w:cs="Arial" w:eastAsia="Arial" w:hAnsi="Arial"/>
          <w:sz w:val="22"/>
          <w:szCs w:val="22"/>
          <w:color w:val="auto"/>
        </w:rPr>
        <w:t>500 Stanton Christiana Road, Ops 2,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Newark, Delaware 19713</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 Aircraft Mortgage and Security Agreement, dated as of [__], 2020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firstLine="603"/>
        <w:spacing w:after="0" w:line="263" w:lineRule="auto"/>
        <w:rPr>
          <w:sz w:val="20"/>
          <w:szCs w:val="20"/>
          <w:color w:val="auto"/>
        </w:rPr>
      </w:pPr>
      <w:r>
        <w:rPr>
          <w:rFonts w:ascii="Arial" w:cs="Arial" w:eastAsia="Arial" w:hAnsi="Arial"/>
          <w:sz w:val="21"/>
          <w:szCs w:val="21"/>
          <w:color w:val="auto"/>
        </w:rPr>
        <w:t>Reference is made to the Aircraft Mortgage and Security Agreement, dated as of [__], 2020 (the "Aircraft Mortgage and Security Agreement"), among the Grantors named on the signature pages thereto and the Additional Grantors who become grantors under the Aircraft Mortgage and Security Agreement from time to time (collectively, the "Grantors") and JPMorgan Chase Bank, N.A., as the Administrative Agent. Capitalized terms used herein and not otherwise defined herein shall have the meanings assigned to them in the Aircraft Mortgage and Security Agreement.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undersigned hereby delivers, as of the date first above written, the attached Annex I pursuant to Section 2.09 of the Aircraft Mortgage and Security Agreement.</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undersigned Grantor hereby confirms that the property included in the attached Annex constitutes part of the Collateral and hereby makes each representation and warranty set forth in Section 2.03 of the Aircraft Mortgage and Security Agreement (as supplemented by the attached Annex).</w:t>
      </w:r>
    </w:p>
    <w:p>
      <w:pPr>
        <w:spacing w:after="0" w:line="21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This Collateral Supplement shall in all respects be governed by, and construed in accordance with, the laws of the State of New York, including all matters of construction, validity and performance.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40"/>
          </w:cols>
          <w:pgMar w:left="320" w:top="1427" w:right="33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Acknowledged and agreed to as of the date first above written: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not in its individual capacity, but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solely as the Administrative Agent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39"/>
          </w:cols>
          <w:pgMar w:left="320" w:top="1427"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57"/>
        </w:trPr>
        <w:tc>
          <w:tcPr>
            <w:tcW w:w="16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920" w:type="dxa"/>
            <w:vAlign w:val="bottom"/>
          </w:tcPr>
          <w:p>
            <w:pPr>
              <w:jc w:val="right"/>
              <w:spacing w:after="0"/>
              <w:rPr>
                <w:sz w:val="20"/>
                <w:szCs w:val="20"/>
                <w:color w:val="auto"/>
              </w:rPr>
            </w:pPr>
            <w:r>
              <w:rPr>
                <w:rFonts w:ascii="Arial" w:cs="Arial" w:eastAsia="Arial" w:hAnsi="Arial"/>
                <w:sz w:val="22"/>
                <w:szCs w:val="22"/>
                <w:color w:val="auto"/>
              </w:rPr>
              <w:t>ANNEX I</w:t>
            </w:r>
          </w:p>
        </w:tc>
        <w:tc>
          <w:tcPr>
            <w:tcW w:w="0" w:type="dxa"/>
            <w:vAlign w:val="bottom"/>
          </w:tcPr>
          <w:p>
            <w:pPr>
              <w:spacing w:after="0"/>
              <w:rPr>
                <w:sz w:val="1"/>
                <w:szCs w:val="1"/>
                <w:color w:val="auto"/>
              </w:rPr>
            </w:pPr>
          </w:p>
        </w:tc>
      </w:tr>
      <w:tr>
        <w:trPr>
          <w:trHeight w:val="274"/>
        </w:trPr>
        <w:tc>
          <w:tcPr>
            <w:tcW w:w="16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920" w:type="dxa"/>
            <w:vAlign w:val="bottom"/>
          </w:tcPr>
          <w:p>
            <w:pPr>
              <w:jc w:val="right"/>
              <w:spacing w:after="0"/>
              <w:rPr>
                <w:sz w:val="20"/>
                <w:szCs w:val="20"/>
                <w:color w:val="auto"/>
              </w:rPr>
            </w:pPr>
            <w:r>
              <w:rPr>
                <w:rFonts w:ascii="Arial" w:cs="Arial" w:eastAsia="Arial" w:hAnsi="Arial"/>
                <w:sz w:val="22"/>
                <w:szCs w:val="22"/>
                <w:color w:val="auto"/>
              </w:rPr>
              <w:t>COLLATERAL SUPPLEMENT</w:t>
            </w:r>
          </w:p>
        </w:tc>
        <w:tc>
          <w:tcPr>
            <w:tcW w:w="0" w:type="dxa"/>
            <w:vAlign w:val="bottom"/>
          </w:tcPr>
          <w:p>
            <w:pPr>
              <w:spacing w:after="0"/>
              <w:rPr>
                <w:sz w:val="1"/>
                <w:szCs w:val="1"/>
                <w:color w:val="auto"/>
              </w:rPr>
            </w:pPr>
          </w:p>
        </w:tc>
      </w:tr>
      <w:tr>
        <w:trPr>
          <w:trHeight w:val="499"/>
        </w:trPr>
        <w:tc>
          <w:tcPr>
            <w:tcW w:w="1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80" w:type="dxa"/>
            <w:vAlign w:val="bottom"/>
          </w:tcPr>
          <w:p>
            <w:pPr>
              <w:ind w:left="360"/>
              <w:spacing w:after="0"/>
              <w:rPr>
                <w:sz w:val="20"/>
                <w:szCs w:val="20"/>
                <w:color w:val="auto"/>
              </w:rPr>
            </w:pPr>
            <w:r>
              <w:rPr>
                <w:rFonts w:ascii="Arial" w:cs="Arial" w:eastAsia="Arial" w:hAnsi="Arial"/>
                <w:sz w:val="22"/>
                <w:szCs w:val="22"/>
                <w:color w:val="auto"/>
              </w:rPr>
              <w:t>AIRCRAFT OBJECTS</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1"/>
        </w:trPr>
        <w:tc>
          <w:tcPr>
            <w:tcW w:w="1640" w:type="dxa"/>
            <w:vAlign w:val="bottom"/>
            <w:vMerge w:val="restart"/>
          </w:tcPr>
          <w:p>
            <w:pPr>
              <w:spacing w:after="0"/>
              <w:rPr>
                <w:sz w:val="20"/>
                <w:szCs w:val="20"/>
                <w:color w:val="auto"/>
              </w:rPr>
            </w:pPr>
            <w:r>
              <w:rPr>
                <w:rFonts w:ascii="Arial" w:cs="Arial" w:eastAsia="Arial" w:hAnsi="Arial"/>
                <w:sz w:val="22"/>
                <w:szCs w:val="22"/>
                <w:color w:val="auto"/>
              </w:rPr>
              <w:t>Airframe MSN</w:t>
            </w:r>
          </w:p>
        </w:tc>
        <w:tc>
          <w:tcPr>
            <w:tcW w:w="5280" w:type="dxa"/>
            <w:vAlign w:val="bottom"/>
            <w:gridSpan w:val="2"/>
          </w:tcPr>
          <w:p>
            <w:pPr>
              <w:jc w:val="center"/>
              <w:ind w:right="2092"/>
              <w:spacing w:after="0"/>
              <w:rPr>
                <w:sz w:val="20"/>
                <w:szCs w:val="20"/>
                <w:color w:val="auto"/>
              </w:rPr>
            </w:pPr>
            <w:r>
              <w:rPr>
                <w:rFonts w:ascii="Arial" w:cs="Arial" w:eastAsia="Arial" w:hAnsi="Arial"/>
                <w:sz w:val="22"/>
                <w:szCs w:val="22"/>
                <w:color w:val="auto"/>
                <w:w w:val="91"/>
              </w:rPr>
              <w:t>Airframe Manufacturer and</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40" w:type="dxa"/>
            <w:vAlign w:val="bottom"/>
            <w:vMerge w:val="continue"/>
          </w:tcPr>
          <w:p>
            <w:pPr>
              <w:spacing w:after="0"/>
              <w:rPr>
                <w:sz w:val="15"/>
                <w:szCs w:val="15"/>
                <w:color w:val="auto"/>
              </w:rPr>
            </w:pPr>
          </w:p>
        </w:tc>
        <w:tc>
          <w:tcPr>
            <w:tcW w:w="2200" w:type="dxa"/>
            <w:vAlign w:val="bottom"/>
            <w:vMerge w:val="restart"/>
          </w:tcPr>
          <w:p>
            <w:pPr>
              <w:jc w:val="center"/>
              <w:ind w:left="772"/>
              <w:spacing w:after="0"/>
              <w:rPr>
                <w:sz w:val="20"/>
                <w:szCs w:val="20"/>
                <w:color w:val="auto"/>
              </w:rPr>
            </w:pPr>
            <w:r>
              <w:rPr>
                <w:rFonts w:ascii="Arial" w:cs="Arial" w:eastAsia="Arial" w:hAnsi="Arial"/>
                <w:sz w:val="22"/>
                <w:szCs w:val="22"/>
                <w:color w:val="auto"/>
                <w:w w:val="93"/>
              </w:rPr>
              <w:t>Model</w:t>
            </w:r>
          </w:p>
        </w:tc>
        <w:tc>
          <w:tcPr>
            <w:tcW w:w="3080" w:type="dxa"/>
            <w:vAlign w:val="bottom"/>
            <w:vMerge w:val="restart"/>
          </w:tcPr>
          <w:p>
            <w:pPr>
              <w:ind w:left="1380"/>
              <w:spacing w:after="0"/>
              <w:rPr>
                <w:sz w:val="20"/>
                <w:szCs w:val="20"/>
                <w:color w:val="auto"/>
              </w:rPr>
            </w:pPr>
            <w:r>
              <w:rPr>
                <w:rFonts w:ascii="Arial" w:cs="Arial" w:eastAsia="Arial" w:hAnsi="Arial"/>
                <w:sz w:val="22"/>
                <w:szCs w:val="22"/>
                <w:color w:val="auto"/>
              </w:rPr>
              <w:t>Engine MSNs</w:t>
            </w:r>
          </w:p>
        </w:tc>
        <w:tc>
          <w:tcPr>
            <w:tcW w:w="3920" w:type="dxa"/>
            <w:vAlign w:val="bottom"/>
            <w:vMerge w:val="restart"/>
          </w:tcPr>
          <w:p>
            <w:pPr>
              <w:jc w:val="right"/>
              <w:ind w:right="532"/>
              <w:spacing w:after="0"/>
              <w:rPr>
                <w:sz w:val="20"/>
                <w:szCs w:val="20"/>
                <w:color w:val="auto"/>
              </w:rPr>
            </w:pPr>
            <w:r>
              <w:rPr>
                <w:rFonts w:ascii="Arial" w:cs="Arial" w:eastAsia="Arial" w:hAnsi="Arial"/>
                <w:sz w:val="22"/>
                <w:szCs w:val="22"/>
                <w:color w:val="auto"/>
              </w:rPr>
              <w:t>Engine Manufacturer and Model</w:t>
            </w:r>
          </w:p>
        </w:tc>
        <w:tc>
          <w:tcPr>
            <w:tcW w:w="0" w:type="dxa"/>
            <w:vAlign w:val="bottom"/>
          </w:tcPr>
          <w:p>
            <w:pPr>
              <w:spacing w:after="0"/>
              <w:rPr>
                <w:sz w:val="1"/>
                <w:szCs w:val="1"/>
                <w:color w:val="auto"/>
              </w:rPr>
            </w:pPr>
          </w:p>
        </w:tc>
      </w:tr>
      <w:tr>
        <w:trPr>
          <w:trHeight w:val="95"/>
        </w:trPr>
        <w:tc>
          <w:tcPr>
            <w:tcW w:w="16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720" w:top="142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color w:val="auto"/>
        </w:rPr>
        <w:t>EXHIBIT A-2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MORTGAGE AND SECURITY AGREEMENT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FORM OF GRANTOR SUPPLEMENT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 as the Administrative Agent</w:t>
      </w:r>
    </w:p>
    <w:p>
      <w:pPr>
        <w:spacing w:after="0" w:line="207" w:lineRule="auto"/>
        <w:rPr>
          <w:sz w:val="20"/>
          <w:szCs w:val="20"/>
          <w:color w:val="auto"/>
        </w:rPr>
      </w:pPr>
      <w:r>
        <w:rPr>
          <w:rFonts w:ascii="Arial" w:cs="Arial" w:eastAsia="Arial" w:hAnsi="Arial"/>
          <w:sz w:val="22"/>
          <w:szCs w:val="22"/>
          <w:color w:val="auto"/>
        </w:rPr>
        <w:t>500 Stanton Christiana Road, Ops 2,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Newark, Delaware 19713</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 Aircraft Mortgage and Security Agreement, dated as of [__], 2020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Reference is made to the Aircraft Mortgage and Security Agreement, dated as of [__], 2020 (the "Aircraft Mortgage and Security Agreement"), among the Grantors named on the signature pages thereto and the Additional Grantors who become grantors under the Aircraft Mortgage and Security Agreement from time to time (collectively, the "Grantors") and JPMorgan Chase Bank, N.A., as the Administrative Agent. Capitalized terms used herein and not otherwise defined herein shall have the meanings assigned to them in the Aircraft Mortgage and Security Agreement.</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undersigned hereby agrees, as of the date first above written, to become a Grantor under the Aircraft Mortgage and Security Agreement as if it were an original party thereto and agrees that each reference in the Aircraft Mortgage and Security Agreement to "Grantor" shall also mean and be a reference to the undersigned.</w:t>
      </w:r>
    </w:p>
    <w:p>
      <w:pPr>
        <w:spacing w:after="0" w:line="21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Grant of Security Interest. To secure the Obligations, the undersigned Grantor hereby assigns and pledges to the Administrative Agent for its benefit and the benefit of the other Secured Parties and hereby grants to the Administrative Agent for its benefit and the benefit of the other Secured Parties a first priority security interest in, all of its right, title and interest in and to the following (collectively, the "Supplementary Collateral"):</w:t>
      </w:r>
    </w:p>
    <w:p>
      <w:pPr>
        <w:spacing w:after="0" w:line="215" w:lineRule="exact"/>
        <w:rPr>
          <w:sz w:val="20"/>
          <w:szCs w:val="20"/>
          <w:color w:val="auto"/>
        </w:rPr>
      </w:pPr>
    </w:p>
    <w:p>
      <w:pPr>
        <w:jc w:val="both"/>
        <w:ind w:firstLine="1304"/>
        <w:spacing w:after="0" w:line="294" w:lineRule="auto"/>
        <w:tabs>
          <w:tab w:leader="none" w:pos="159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all of such Grantor's right, title and interest in and to each Pool Aircraft, including each Airframe and Engine as the same are now and will hereafter be constituted, and in the case of such Engines, whether or not any such Engine shall be installed in or attached to any Airframe or any other airframe, together with (i) all Parts of whatever nature, which are from time to time included within the definitions of "Airframe" or "Engines", including all substitutions, renewals and replacements of and additions, improvements, accessions and accumulations to the Airframes and Engines (other than additions, improvements, accessions and accumulations which constitute appliances, parts, instruments, appurtenances, accessories,</w:t>
      </w:r>
    </w:p>
    <w:p>
      <w:pPr>
        <w:sectPr>
          <w:pgSz w:w="11900" w:h="16838" w:orient="portrait"/>
          <w:cols w:equalWidth="0" w:num="1">
            <w:col w:w="11240"/>
          </w:cols>
          <w:pgMar w:left="320" w:top="1427" w:right="339" w:bottom="1440" w:gutter="0" w:footer="0" w:header="0"/>
        </w:sectPr>
      </w:pPr>
    </w:p>
    <w:bookmarkStart w:id="151" w:name="page152"/>
    <w:bookmarkEnd w:id="151"/>
    <w:p>
      <w:pPr>
        <w:jc w:val="both"/>
        <w:spacing w:after="0" w:line="253" w:lineRule="auto"/>
        <w:rPr>
          <w:sz w:val="20"/>
          <w:szCs w:val="20"/>
          <w:color w:val="auto"/>
        </w:rPr>
      </w:pPr>
      <w:r>
        <w:rPr>
          <w:rFonts w:ascii="Arial" w:cs="Arial" w:eastAsia="Arial" w:hAnsi="Arial"/>
          <w:sz w:val="22"/>
          <w:szCs w:val="22"/>
          <w:color w:val="auto"/>
        </w:rPr>
        <w:t>furnishings or other equipment excluded from the definition of Parts), (ii) all Aircraft Documents with respect to such Pool Aircraft, (iii) each bill of sale or any contract of sale with respect to such Pool Aircraft, and (iv) all proceeds from any sale or other disposition of such Pool Aircraft;</w:t>
      </w:r>
    </w:p>
    <w:p>
      <w:pPr>
        <w:spacing w:after="0" w:line="212" w:lineRule="exact"/>
        <w:rPr>
          <w:sz w:val="20"/>
          <w:szCs w:val="20"/>
          <w:color w:val="auto"/>
        </w:rPr>
      </w:pPr>
    </w:p>
    <w:p>
      <w:pPr>
        <w:jc w:val="both"/>
        <w:ind w:firstLine="1304"/>
        <w:spacing w:after="0" w:line="287" w:lineRule="auto"/>
        <w:tabs>
          <w:tab w:leader="none" w:pos="160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all of such Grantor's right, title and interest in and to all Leases to which such Grantor is or may from time to time be party with respect to the Pool Aircraft and any leasing arrangements among Grantors with respect to such Leases together with all Related Collateral Documents (all such Leases and Related Collateral Documents, the "Assigned Leases"), including without limitation (i) all rights of such Grantor to receive moneys due and to become due under or pursuant to such Assigned Leases, (ii) all rights of such Grantor to receive proceeds of any indemnity, warranty or guaranty with respect to such Assigned Leases, (iii) claims of such Grantor for damages arising out of or for breach or default under such Assigned Leases, (iv) all rights under any such Assigned Lease with respect to any subleases of the Pool Aircraft subject to such Assigned Leases, (v) all rights of such Grantor to discharge any registration of an International Interest with respect to such Pool Aircraft or Engine or any such Assigned Lease made with the International Registry and (vi) the right of such Grantor to terminate such Assigned Leases and to compel performance of, and otherwise to exercise all remedies under, any Assigned Lease, whether arising under such Assigned Leases or by statute or at law or in equity (the "Lease Collateral");</w:t>
      </w:r>
    </w:p>
    <w:p>
      <w:pPr>
        <w:spacing w:after="0" w:line="190" w:lineRule="exact"/>
        <w:rPr>
          <w:rFonts w:ascii="Arial" w:cs="Arial" w:eastAsia="Arial" w:hAnsi="Arial"/>
          <w:sz w:val="19"/>
          <w:szCs w:val="19"/>
          <w:color w:val="auto"/>
        </w:rPr>
      </w:pPr>
    </w:p>
    <w:p>
      <w:pPr>
        <w:ind w:left="1600" w:hanging="296"/>
        <w:spacing w:after="0"/>
        <w:tabs>
          <w:tab w:leader="none" w:pos="16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of the following (the "Assigned Agreement Collateral"):</w:t>
      </w:r>
    </w:p>
    <w:p>
      <w:pPr>
        <w:spacing w:after="0" w:line="246" w:lineRule="exact"/>
        <w:rPr>
          <w:rFonts w:ascii="Arial" w:cs="Arial" w:eastAsia="Arial" w:hAnsi="Arial"/>
          <w:sz w:val="22"/>
          <w:szCs w:val="22"/>
          <w:color w:val="auto"/>
        </w:rPr>
      </w:pPr>
    </w:p>
    <w:p>
      <w:pPr>
        <w:jc w:val="both"/>
        <w:ind w:left="660" w:firstLine="1292"/>
        <w:spacing w:after="0" w:line="265" w:lineRule="auto"/>
        <w:tabs>
          <w:tab w:leader="none" w:pos="2214" w:val="left"/>
        </w:tabs>
        <w:numPr>
          <w:ilvl w:val="1"/>
          <w:numId w:val="116"/>
        </w:numPr>
        <w:rPr>
          <w:rFonts w:ascii="Arial" w:cs="Arial" w:eastAsia="Arial" w:hAnsi="Arial"/>
          <w:sz w:val="21"/>
          <w:szCs w:val="21"/>
          <w:color w:val="auto"/>
        </w:rPr>
      </w:pPr>
      <w:r>
        <w:rPr>
          <w:rFonts w:ascii="Arial" w:cs="Arial" w:eastAsia="Arial" w:hAnsi="Arial"/>
          <w:sz w:val="21"/>
          <w:szCs w:val="21"/>
          <w:color w:val="auto"/>
        </w:rPr>
        <w:t>all of such Grantor's right, title and interest in and to all security assignments, cash deposit agreements and other security agreements executed in its favor in respect of any Pool Aircraft (including any Airframe and any Engine) or in respect of or pursuant to any Assigned Lease, in each case, as such agreements may be amended or otherwise modified from time to time (collectively, the "Assigned Agreements"); and</w:t>
      </w:r>
    </w:p>
    <w:p>
      <w:pPr>
        <w:spacing w:after="0" w:line="202" w:lineRule="exact"/>
        <w:rPr>
          <w:rFonts w:ascii="Arial" w:cs="Arial" w:eastAsia="Arial" w:hAnsi="Arial"/>
          <w:sz w:val="21"/>
          <w:szCs w:val="21"/>
          <w:color w:val="auto"/>
        </w:rPr>
      </w:pPr>
    </w:p>
    <w:p>
      <w:pPr>
        <w:ind w:left="660" w:firstLine="1292"/>
        <w:spacing w:after="0" w:line="343" w:lineRule="auto"/>
        <w:tabs>
          <w:tab w:leader="none" w:pos="2301" w:val="left"/>
        </w:tabs>
        <w:numPr>
          <w:ilvl w:val="1"/>
          <w:numId w:val="116"/>
        </w:numPr>
        <w:rPr>
          <w:rFonts w:ascii="Arial" w:cs="Arial" w:eastAsia="Arial" w:hAnsi="Arial"/>
          <w:sz w:val="19"/>
          <w:szCs w:val="19"/>
          <w:color w:val="auto"/>
        </w:rPr>
      </w:pPr>
      <w:r>
        <w:rPr>
          <w:rFonts w:ascii="Arial" w:cs="Arial" w:eastAsia="Arial" w:hAnsi="Arial"/>
          <w:sz w:val="19"/>
          <w:szCs w:val="19"/>
          <w:color w:val="auto"/>
        </w:rPr>
        <w:t>all of such Grantor's right, title and interest in and to all property of whatever nature, in each case pledged, assigned or transferred to it or mortgaged or charged in its favor pursuant to any Assigned Agreement;</w:t>
      </w:r>
    </w:p>
    <w:p>
      <w:pPr>
        <w:spacing w:after="0" w:line="131" w:lineRule="exact"/>
        <w:rPr>
          <w:rFonts w:ascii="Arial" w:cs="Arial" w:eastAsia="Arial" w:hAnsi="Arial"/>
          <w:sz w:val="19"/>
          <w:szCs w:val="19"/>
          <w:color w:val="auto"/>
        </w:rPr>
      </w:pPr>
    </w:p>
    <w:p>
      <w:pPr>
        <w:ind w:firstLine="1304"/>
        <w:spacing w:after="0" w:line="263" w:lineRule="auto"/>
        <w:tabs>
          <w:tab w:leader="none" w:pos="160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of such Grantor's right, title and interest in and to the personal property identified in a Grantor Supplement or a Collateral Supplement executed and delivered by such Grantor to the Administrative Agent; and</w:t>
      </w:r>
    </w:p>
    <w:p>
      <w:pPr>
        <w:spacing w:after="0" w:line="201" w:lineRule="exact"/>
        <w:rPr>
          <w:rFonts w:ascii="Arial" w:cs="Arial" w:eastAsia="Arial" w:hAnsi="Arial"/>
          <w:sz w:val="22"/>
          <w:szCs w:val="22"/>
          <w:color w:val="auto"/>
        </w:rPr>
      </w:pPr>
    </w:p>
    <w:p>
      <w:pPr>
        <w:ind w:firstLine="1304"/>
        <w:spacing w:after="0" w:line="263" w:lineRule="auto"/>
        <w:tabs>
          <w:tab w:leader="none" w:pos="159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proceeds of any and all of the foregoing Collateral (including proceeds that constitute property of the types described in subsections (a), (b), (c) and (d) above),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excluding, however, all Excluded Property and the right to specifically enforce the same or to sue for damages for breach thereof, as the case may be.</w:t>
      </w:r>
    </w:p>
    <w:p>
      <w:pPr>
        <w:spacing w:after="0" w:line="20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undersigned Grantor hereby makes each representation and warranty set forth in Section 2.03 of the Aircraft Mortgage and Security Agreement (as supplemented by the attached Annexes) and hereby agrees to be bound as a Grantor by all of the terms and provisions of the Aircraft Mortgage and Security Agreement. Each reference in the Aircraft Mortgage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152" w:name="page153"/>
    <w:bookmarkEnd w:id="152"/>
    <w:p>
      <w:pPr>
        <w:jc w:val="both"/>
        <w:spacing w:after="0" w:line="253" w:lineRule="auto"/>
        <w:rPr>
          <w:sz w:val="20"/>
          <w:szCs w:val="20"/>
          <w:color w:val="auto"/>
        </w:rPr>
      </w:pPr>
      <w:r>
        <w:rPr>
          <w:rFonts w:ascii="Arial" w:cs="Arial" w:eastAsia="Arial" w:hAnsi="Arial"/>
          <w:sz w:val="22"/>
          <w:szCs w:val="22"/>
          <w:color w:val="auto"/>
        </w:rPr>
        <w:t>Security Agreement to the Assigned Agreements, the Assigned Agreement Collateral, the Assigned Leases, the Lease Collateral, the Assigned Documents and the Assigned Agreement Collateral shall be construed to include a reference to the corresponding Collateral hereunder.</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notice details of the undersigned Grantor are as follows:</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This Grantor Supplement shall in all respects be governed by, and construed in accordance with, the laws of the State of New York, including all matters of construction, validity and performance.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[NAME OF GRANTOR]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 to as of the date first above written: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not in its individual capacity, but solely as the Administrative Agent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28"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57"/>
        </w:trPr>
        <w:tc>
          <w:tcPr>
            <w:tcW w:w="17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220" w:type="dxa"/>
            <w:vAlign w:val="bottom"/>
          </w:tcPr>
          <w:p>
            <w:pPr>
              <w:jc w:val="right"/>
              <w:spacing w:after="0"/>
              <w:rPr>
                <w:sz w:val="20"/>
                <w:szCs w:val="20"/>
                <w:color w:val="auto"/>
              </w:rPr>
            </w:pPr>
            <w:r>
              <w:rPr>
                <w:rFonts w:ascii="Arial" w:cs="Arial" w:eastAsia="Arial" w:hAnsi="Arial"/>
                <w:sz w:val="22"/>
                <w:szCs w:val="22"/>
                <w:color w:val="auto"/>
              </w:rPr>
              <w:t>ANNEX I</w:t>
            </w: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220" w:type="dxa"/>
            <w:vAlign w:val="bottom"/>
          </w:tcPr>
          <w:p>
            <w:pPr>
              <w:jc w:val="right"/>
              <w:spacing w:after="0"/>
              <w:rPr>
                <w:sz w:val="20"/>
                <w:szCs w:val="20"/>
                <w:color w:val="auto"/>
              </w:rPr>
            </w:pPr>
            <w:r>
              <w:rPr>
                <w:rFonts w:ascii="Arial" w:cs="Arial" w:eastAsia="Arial" w:hAnsi="Arial"/>
                <w:sz w:val="22"/>
                <w:szCs w:val="22"/>
                <w:color w:val="auto"/>
              </w:rPr>
              <w:t>GRANTOR SUPPLEMENT</w:t>
            </w:r>
          </w:p>
        </w:tc>
        <w:tc>
          <w:tcPr>
            <w:tcW w:w="0" w:type="dxa"/>
            <w:vAlign w:val="bottom"/>
          </w:tcPr>
          <w:p>
            <w:pPr>
              <w:spacing w:after="0"/>
              <w:rPr>
                <w:sz w:val="1"/>
                <w:szCs w:val="1"/>
                <w:color w:val="auto"/>
              </w:rPr>
            </w:pPr>
          </w:p>
        </w:tc>
      </w:tr>
      <w:tr>
        <w:trPr>
          <w:trHeight w:val="743"/>
        </w:trPr>
        <w:tc>
          <w:tcPr>
            <w:tcW w:w="1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40" w:type="dxa"/>
            <w:vAlign w:val="bottom"/>
          </w:tcPr>
          <w:p>
            <w:pPr>
              <w:ind w:left="120"/>
              <w:spacing w:after="0"/>
              <w:rPr>
                <w:sz w:val="20"/>
                <w:szCs w:val="20"/>
                <w:color w:val="auto"/>
              </w:rPr>
            </w:pPr>
            <w:r>
              <w:rPr>
                <w:rFonts w:ascii="Arial" w:cs="Arial" w:eastAsia="Arial" w:hAnsi="Arial"/>
                <w:sz w:val="22"/>
                <w:szCs w:val="22"/>
                <w:color w:val="auto"/>
              </w:rPr>
              <w:t>AIRCRAFT OBJECTS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1"/>
        </w:trPr>
        <w:tc>
          <w:tcPr>
            <w:tcW w:w="1760" w:type="dxa"/>
            <w:vAlign w:val="bottom"/>
            <w:vMerge w:val="restart"/>
          </w:tcPr>
          <w:p>
            <w:pPr>
              <w:spacing w:after="0"/>
              <w:rPr>
                <w:sz w:val="20"/>
                <w:szCs w:val="20"/>
                <w:color w:val="auto"/>
              </w:rPr>
            </w:pPr>
            <w:r>
              <w:rPr>
                <w:rFonts w:ascii="Arial" w:cs="Arial" w:eastAsia="Arial" w:hAnsi="Arial"/>
                <w:sz w:val="22"/>
                <w:szCs w:val="22"/>
                <w:color w:val="auto"/>
              </w:rPr>
              <w:t>Airframe MSN</w:t>
            </w:r>
          </w:p>
        </w:tc>
        <w:tc>
          <w:tcPr>
            <w:tcW w:w="5600" w:type="dxa"/>
            <w:vAlign w:val="bottom"/>
            <w:gridSpan w:val="2"/>
          </w:tcPr>
          <w:p>
            <w:pPr>
              <w:jc w:val="center"/>
              <w:ind w:right="2192"/>
              <w:spacing w:after="0"/>
              <w:rPr>
                <w:sz w:val="20"/>
                <w:szCs w:val="20"/>
                <w:color w:val="auto"/>
              </w:rPr>
            </w:pPr>
            <w:r>
              <w:rPr>
                <w:rFonts w:ascii="Arial" w:cs="Arial" w:eastAsia="Arial" w:hAnsi="Arial"/>
                <w:sz w:val="22"/>
                <w:szCs w:val="22"/>
                <w:color w:val="auto"/>
                <w:w w:val="90"/>
              </w:rPr>
              <w:t>Airframe Manufacturer and</w:t>
            </w:r>
          </w:p>
        </w:tc>
        <w:tc>
          <w:tcPr>
            <w:tcW w:w="3220" w:type="dxa"/>
            <w:vAlign w:val="bottom"/>
          </w:tcPr>
          <w:p>
            <w:pPr>
              <w:jc w:val="right"/>
              <w:ind w:right="392"/>
              <w:spacing w:after="0"/>
              <w:rPr>
                <w:sz w:val="20"/>
                <w:szCs w:val="20"/>
                <w:color w:val="auto"/>
              </w:rPr>
            </w:pPr>
            <w:r>
              <w:rPr>
                <w:rFonts w:ascii="Arial" w:cs="Arial" w:eastAsia="Arial" w:hAnsi="Arial"/>
                <w:sz w:val="22"/>
                <w:szCs w:val="22"/>
                <w:color w:val="auto"/>
              </w:rPr>
              <w:t>Engine Manufacturer and</w:t>
            </w:r>
          </w:p>
        </w:tc>
        <w:tc>
          <w:tcPr>
            <w:tcW w:w="0" w:type="dxa"/>
            <w:vAlign w:val="bottom"/>
          </w:tcPr>
          <w:p>
            <w:pPr>
              <w:spacing w:after="0"/>
              <w:rPr>
                <w:sz w:val="1"/>
                <w:szCs w:val="1"/>
                <w:color w:val="auto"/>
              </w:rPr>
            </w:pPr>
          </w:p>
        </w:tc>
      </w:tr>
      <w:tr>
        <w:trPr>
          <w:trHeight w:val="180"/>
        </w:trPr>
        <w:tc>
          <w:tcPr>
            <w:tcW w:w="1760" w:type="dxa"/>
            <w:vAlign w:val="bottom"/>
            <w:vMerge w:val="continue"/>
          </w:tcPr>
          <w:p>
            <w:pPr>
              <w:spacing w:after="0"/>
              <w:rPr>
                <w:sz w:val="15"/>
                <w:szCs w:val="15"/>
                <w:color w:val="auto"/>
              </w:rPr>
            </w:pPr>
          </w:p>
        </w:tc>
        <w:tc>
          <w:tcPr>
            <w:tcW w:w="2060" w:type="dxa"/>
            <w:vAlign w:val="bottom"/>
            <w:vMerge w:val="restart"/>
          </w:tcPr>
          <w:p>
            <w:pPr>
              <w:jc w:val="center"/>
              <w:ind w:left="1132"/>
              <w:spacing w:after="0"/>
              <w:rPr>
                <w:sz w:val="20"/>
                <w:szCs w:val="20"/>
                <w:color w:val="auto"/>
              </w:rPr>
            </w:pPr>
            <w:r>
              <w:rPr>
                <w:rFonts w:ascii="Arial" w:cs="Arial" w:eastAsia="Arial" w:hAnsi="Arial"/>
                <w:sz w:val="22"/>
                <w:szCs w:val="22"/>
                <w:color w:val="auto"/>
                <w:w w:val="96"/>
              </w:rPr>
              <w:t>Model</w:t>
            </w:r>
          </w:p>
        </w:tc>
        <w:tc>
          <w:tcPr>
            <w:tcW w:w="3540" w:type="dxa"/>
            <w:vAlign w:val="bottom"/>
            <w:vMerge w:val="restart"/>
          </w:tcPr>
          <w:p>
            <w:pPr>
              <w:ind w:left="1820"/>
              <w:spacing w:after="0"/>
              <w:rPr>
                <w:sz w:val="20"/>
                <w:szCs w:val="20"/>
                <w:color w:val="auto"/>
              </w:rPr>
            </w:pPr>
            <w:r>
              <w:rPr>
                <w:rFonts w:ascii="Arial" w:cs="Arial" w:eastAsia="Arial" w:hAnsi="Arial"/>
                <w:sz w:val="22"/>
                <w:szCs w:val="22"/>
                <w:color w:val="auto"/>
              </w:rPr>
              <w:t>Engine MSNs</w:t>
            </w:r>
          </w:p>
        </w:tc>
        <w:tc>
          <w:tcPr>
            <w:tcW w:w="3220" w:type="dxa"/>
            <w:vAlign w:val="bottom"/>
            <w:vMerge w:val="restart"/>
          </w:tcPr>
          <w:p>
            <w:pPr>
              <w:jc w:val="right"/>
              <w:ind w:right="1212"/>
              <w:spacing w:after="0"/>
              <w:rPr>
                <w:sz w:val="20"/>
                <w:szCs w:val="20"/>
                <w:color w:val="auto"/>
              </w:rPr>
            </w:pPr>
            <w:r>
              <w:rPr>
                <w:rFonts w:ascii="Arial" w:cs="Arial" w:eastAsia="Arial" w:hAnsi="Arial"/>
                <w:sz w:val="22"/>
                <w:szCs w:val="22"/>
                <w:color w:val="auto"/>
              </w:rPr>
              <w:t>Model</w:t>
            </w: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3540" w:type="dxa"/>
            <w:vAlign w:val="bottom"/>
            <w:vMerge w:val="continue"/>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980" w:top="1428"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color w:val="auto"/>
        </w:rPr>
        <w:t>ANNEX II</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GRANTOR SUPPLEMENT</w:t>
      </w:r>
    </w:p>
    <w:p>
      <w:pPr>
        <w:spacing w:after="0" w:line="200" w:lineRule="exact"/>
        <w:rPr>
          <w:sz w:val="20"/>
          <w:szCs w:val="20"/>
          <w:color w:val="auto"/>
        </w:rPr>
      </w:pP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360" w:type="dxa"/>
            <w:vAlign w:val="bottom"/>
            <w:vMerge w:val="restart"/>
          </w:tcPr>
          <w:p>
            <w:pPr>
              <w:spacing w:after="0"/>
              <w:rPr>
                <w:sz w:val="20"/>
                <w:szCs w:val="20"/>
                <w:color w:val="auto"/>
              </w:rPr>
            </w:pPr>
            <w:r>
              <w:rPr>
                <w:rFonts w:ascii="Arial" w:cs="Arial" w:eastAsia="Arial" w:hAnsi="Arial"/>
                <w:sz w:val="22"/>
                <w:szCs w:val="22"/>
                <w:color w:val="auto"/>
              </w:rPr>
              <w:t>Name of Grantor</w:t>
            </w:r>
          </w:p>
        </w:tc>
        <w:tc>
          <w:tcPr>
            <w:tcW w:w="6860" w:type="dxa"/>
            <w:vAlign w:val="bottom"/>
          </w:tcPr>
          <w:p>
            <w:pPr>
              <w:jc w:val="center"/>
              <w:ind w:left="772"/>
              <w:spacing w:after="0"/>
              <w:rPr>
                <w:sz w:val="20"/>
                <w:szCs w:val="20"/>
                <w:color w:val="auto"/>
              </w:rPr>
            </w:pPr>
            <w:r>
              <w:rPr>
                <w:rFonts w:ascii="Arial" w:cs="Arial" w:eastAsia="Arial" w:hAnsi="Arial"/>
                <w:sz w:val="22"/>
                <w:szCs w:val="22"/>
                <w:color w:val="auto"/>
                <w:w w:val="91"/>
              </w:rPr>
              <w:t>Chief Executive Office, Chief Place of</w:t>
            </w:r>
          </w:p>
        </w:tc>
        <w:tc>
          <w:tcPr>
            <w:tcW w:w="0" w:type="dxa"/>
            <w:vAlign w:val="bottom"/>
          </w:tcPr>
          <w:p>
            <w:pPr>
              <w:spacing w:after="0"/>
              <w:rPr>
                <w:sz w:val="1"/>
                <w:szCs w:val="1"/>
                <w:color w:val="auto"/>
              </w:rPr>
            </w:pPr>
          </w:p>
        </w:tc>
      </w:tr>
      <w:tr>
        <w:trPr>
          <w:trHeight w:val="274"/>
        </w:trPr>
        <w:tc>
          <w:tcPr>
            <w:tcW w:w="2360" w:type="dxa"/>
            <w:vAlign w:val="bottom"/>
            <w:vMerge w:val="continue"/>
          </w:tcPr>
          <w:p>
            <w:pPr>
              <w:spacing w:after="0"/>
              <w:rPr>
                <w:sz w:val="23"/>
                <w:szCs w:val="23"/>
                <w:color w:val="auto"/>
              </w:rPr>
            </w:pPr>
          </w:p>
        </w:tc>
        <w:tc>
          <w:tcPr>
            <w:tcW w:w="6860" w:type="dxa"/>
            <w:vAlign w:val="bottom"/>
          </w:tcPr>
          <w:p>
            <w:pPr>
              <w:jc w:val="center"/>
              <w:ind w:left="792"/>
              <w:spacing w:after="0"/>
              <w:rPr>
                <w:sz w:val="20"/>
                <w:szCs w:val="20"/>
                <w:color w:val="auto"/>
              </w:rPr>
            </w:pPr>
            <w:r>
              <w:rPr>
                <w:rFonts w:ascii="Arial" w:cs="Arial" w:eastAsia="Arial" w:hAnsi="Arial"/>
                <w:sz w:val="22"/>
                <w:szCs w:val="22"/>
                <w:color w:val="auto"/>
                <w:w w:val="89"/>
              </w:rPr>
              <w:t>Business and Registered Office and Organizational ID (if applicable)</w:t>
            </w:r>
          </w:p>
        </w:tc>
        <w:tc>
          <w:tcPr>
            <w:tcW w:w="0" w:type="dxa"/>
            <w:vAlign w:val="bottom"/>
          </w:tcPr>
          <w:p>
            <w:pPr>
              <w:spacing w:after="0"/>
              <w:rPr>
                <w:sz w:val="1"/>
                <w:szCs w:val="1"/>
                <w:color w:val="auto"/>
              </w:rPr>
            </w:pPr>
          </w:p>
        </w:tc>
      </w:tr>
    </w:tbl>
    <w:p>
      <w:pPr>
        <w:sectPr>
          <w:pgSz w:w="11900" w:h="16838" w:orient="portrait"/>
          <w:cols w:equalWidth="0" w:num="1">
            <w:col w:w="10120"/>
          </w:cols>
          <w:pgMar w:left="1440" w:top="1428"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21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0" w:hanging="652"/>
        <w:spacing w:after="0" w:line="260" w:lineRule="auto"/>
        <w:tabs>
          <w:tab w:leader="none" w:pos="19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22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89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99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919"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90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20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89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89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July 31, 2020</w:t>
            </w:r>
          </w:p>
        </w:tc>
        <w:tc>
          <w:tcPr>
            <w:tcW w:w="5360" w:type="dxa"/>
            <w:vAlign w:val="bottom"/>
          </w:tcPr>
          <w:p>
            <w:pPr>
              <w:spacing w:after="0"/>
              <w:rPr>
                <w:sz w:val="18"/>
                <w:szCs w:val="18"/>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23"/>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2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43"/>
        </w:trPr>
        <w:tc>
          <w:tcPr>
            <w:tcW w:w="21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21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0" w:hanging="652"/>
        <w:spacing w:after="0" w:line="260" w:lineRule="auto"/>
        <w:tabs>
          <w:tab w:leader="none" w:pos="19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22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896" w:val="left"/>
        </w:tabs>
        <w:numPr>
          <w:ilvl w:val="2"/>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997" w:val="left"/>
        </w:tabs>
        <w:numPr>
          <w:ilvl w:val="2"/>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919" w:val="left"/>
        </w:tabs>
        <w:numPr>
          <w:ilvl w:val="2"/>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908" w:val="left"/>
        </w:tabs>
        <w:numPr>
          <w:ilvl w:val="2"/>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2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897"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893"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July 31, 2020</w:t>
            </w:r>
          </w:p>
        </w:tc>
        <w:tc>
          <w:tcPr>
            <w:tcW w:w="5540" w:type="dxa"/>
            <w:vAlign w:val="bottom"/>
          </w:tcPr>
          <w:p>
            <w:pPr>
              <w:spacing w:after="0"/>
              <w:rPr>
                <w:sz w:val="18"/>
                <w:szCs w:val="18"/>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23"/>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2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43"/>
        </w:trPr>
        <w:tc>
          <w:tcPr>
            <w:tcW w:w="194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2020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240" w:hanging="232"/>
        <w:spacing w:after="0"/>
        <w:tabs>
          <w:tab w:leader="none" w:pos="2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40" w:hanging="232"/>
        <w:spacing w:after="0"/>
        <w:tabs>
          <w:tab w:leader="none" w:pos="2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31, 2020</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2020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240" w:hanging="232"/>
        <w:spacing w:after="0"/>
        <w:tabs>
          <w:tab w:leader="none" w:pos="2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40" w:hanging="232"/>
        <w:spacing w:after="0"/>
        <w:tabs>
          <w:tab w:leader="none" w:pos="2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31, 2020</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1)"/>
      <w:numFmt w:val="decimal"/>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1"/>
    </w:lvl>
    <w:lvl w:ilvl="1">
      <w:lvlJc w:val="left"/>
      <w:lvlText w:val="(%2)"/>
      <w:numFmt w:val="lowerRoman"/>
      <w:start w:val="3"/>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1)"/>
      <w:numFmt w:val="decimal"/>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decimal"/>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lvl w:ilvl="1">
      <w:lvlJc w:val="left"/>
      <w:lvlText w:val="(%2)"/>
      <w:numFmt w:val="lowerRoman"/>
      <w:start w:val="2"/>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1)"/>
      <w:numFmt w:val="decimal"/>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1"/>
      <w:numFmt w:val="decimal"/>
      <w:start w:val="101"/>
    </w:lvl>
  </w:abstractNum>
  <w:abstractNum w:abstractNumId="42">
    <w:nsid w:val="6A5EE64"/>
    <w:multiLevelType w:val="hybridMultilevel"/>
    <w:lvl w:ilvl="0">
      <w:lvlJc w:val="left"/>
      <w:lvlText w:val="†"/>
      <w:numFmt w:val="bullet"/>
      <w:start w:val="1"/>
    </w:lvl>
    <w:lvl w:ilvl="1">
      <w:lvlJc w:val="left"/>
      <w:lvlText w:val="%2"/>
      <w:numFmt w:val="decimal"/>
      <w:start w:val="104"/>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1)"/>
      <w:numFmt w:val="lowerLetter"/>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1"/>
    </w:lvl>
    <w:lvl w:ilvl="1">
      <w:lvlJc w:val="left"/>
      <w:lvlText w:val="(%2)"/>
      <w:numFmt w:val="lowerLetter"/>
      <w:start w:val="1"/>
    </w:lvl>
  </w:abstractNum>
  <w:abstractNum w:abstractNumId="47">
    <w:nsid w:val="100F59DC"/>
    <w:multiLevelType w:val="hybridMultilevel"/>
    <w:lvl w:ilvl="0">
      <w:lvlJc w:val="left"/>
      <w:lvlText w:val="(%1)"/>
      <w:numFmt w:val="decimal"/>
      <w:start w:val="2"/>
    </w:lvl>
    <w:lvl w:ilvl="1">
      <w:lvlJc w:val="left"/>
      <w:lvlText w:val="%2"/>
      <w:numFmt w:val="lowerLetter"/>
      <w:start w:val="1"/>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1)"/>
      <w:numFmt w:val="lowerRoman"/>
      <w:start w:val="1"/>
    </w:lvl>
  </w:abstractNum>
  <w:abstractNum w:abstractNumId="52">
    <w:nsid w:val="885E1B"/>
    <w:multiLevelType w:val="hybridMultilevel"/>
    <w:lvl w:ilvl="0">
      <w:lvlJc w:val="left"/>
      <w:lvlText w:val="(%1)"/>
      <w:numFmt w:val="lowerLetter"/>
      <w:start w:val="2"/>
    </w:lvl>
  </w:abstractNum>
  <w:abstractNum w:abstractNumId="53">
    <w:nsid w:val="76272110"/>
    <w:multiLevelType w:val="hybridMultilevel"/>
    <w:lvl w:ilvl="0">
      <w:lvlJc w:val="left"/>
      <w:lvlText w:val="(%1)"/>
      <w:numFmt w:val="lowerLetter"/>
      <w:start w:val="3"/>
    </w:lvl>
  </w:abstractNum>
  <w:abstractNum w:abstractNumId="54">
    <w:nsid w:val="4C04A8AF"/>
    <w:multiLevelType w:val="hybridMultilevel"/>
    <w:lvl w:ilvl="0">
      <w:lvlJc w:val="left"/>
      <w:lvlText w:val="(%1)"/>
      <w:numFmt w:val="lowerLetter"/>
      <w:start w:val="4"/>
    </w:lvl>
    <w:lvl w:ilvl="1">
      <w:lvlJc w:val="left"/>
      <w:lvlText w:val="(%2)"/>
      <w:numFmt w:val="lowerLetter"/>
      <w:start w:val="1"/>
    </w:lvl>
  </w:abstractNum>
  <w:abstractNum w:abstractNumId="55">
    <w:nsid w:val="1716703B"/>
    <w:multiLevelType w:val="hybridMultilevel"/>
    <w:lvl w:ilvl="0">
      <w:lvlJc w:val="left"/>
      <w:lvlText w:val="%1"/>
      <w:numFmt w:val="lowerRoman"/>
      <w:start w:val="1"/>
    </w:lvl>
    <w:lvl w:ilvl="1">
      <w:lvlJc w:val="left"/>
      <w:lvlText w:val="(%2)"/>
      <w:numFmt w:val="lowerRoman"/>
      <w:start w:val="1"/>
    </w:lvl>
  </w:abstractNum>
  <w:abstractNum w:abstractNumId="56">
    <w:nsid w:val="14E17E33"/>
    <w:multiLevelType w:val="hybridMultilevel"/>
    <w:lvl w:ilvl="0">
      <w:lvlJc w:val="left"/>
      <w:lvlText w:val="(%1)"/>
      <w:numFmt w:val="lowerRoman"/>
      <w:start w:val="3"/>
    </w:lvl>
    <w:lvl w:ilvl="1">
      <w:lvlJc w:val="left"/>
      <w:lvlText w:val="%2"/>
      <w:numFmt w:val="lowerRoman"/>
      <w:start w:val="1"/>
    </w:lvl>
  </w:abstractNum>
  <w:abstractNum w:abstractNumId="57">
    <w:nsid w:val="3222E7CD"/>
    <w:multiLevelType w:val="hybridMultilevel"/>
    <w:lvl w:ilvl="0">
      <w:lvlJc w:val="left"/>
      <w:lvlText w:val="%1"/>
      <w:numFmt w:val="lowerLetter"/>
      <w:start w:val="1"/>
    </w:lvl>
    <w:lvl w:ilvl="1">
      <w:lvlJc w:val="left"/>
      <w:lvlText w:val="(%2)"/>
      <w:numFmt w:val="lowerLetter"/>
      <w:start w:val="2"/>
    </w:lvl>
  </w:abstractNum>
  <w:abstractNum w:abstractNumId="58">
    <w:nsid w:val="74DE0EE3"/>
    <w:multiLevelType w:val="hybridMultilevel"/>
    <w:lvl w:ilvl="0">
      <w:lvlJc w:val="left"/>
      <w:lvlText w:val="(%1)"/>
      <w:numFmt w:val="lowerLetter"/>
      <w:start w:val="9"/>
    </w:lvl>
    <w:lvl w:ilvl="1">
      <w:lvlJc w:val="left"/>
      <w:lvlText w:val="%2"/>
      <w:numFmt w:val="lowerLetter"/>
      <w:start w:val="1"/>
    </w:lvl>
  </w:abstractNum>
  <w:abstractNum w:abstractNumId="59">
    <w:nsid w:val="68EBC550"/>
    <w:multiLevelType w:val="hybridMultilevel"/>
    <w:lvl w:ilvl="0">
      <w:lvlJc w:val="left"/>
      <w:lvlText w:val="(%1)"/>
      <w:numFmt w:val="lowerRoman"/>
      <w:start w:val="2"/>
    </w:lvl>
  </w:abstractNum>
  <w:abstractNum w:abstractNumId="60">
    <w:nsid w:val="2DF6D648"/>
    <w:multiLevelType w:val="hybridMultilevel"/>
    <w:lvl w:ilvl="0">
      <w:lvlJc w:val="left"/>
      <w:lvlText w:val="%1"/>
      <w:numFmt w:val="lowerLetter"/>
      <w:start w:val="1"/>
    </w:lvl>
    <w:lvl w:ilvl="1">
      <w:lvlJc w:val="left"/>
      <w:lvlText w:val="(%2)"/>
      <w:numFmt w:val="lowerRoman"/>
      <w:start w:val="4"/>
    </w:lvl>
  </w:abstractNum>
  <w:abstractNum w:abstractNumId="61">
    <w:nsid w:val="46B7D447"/>
    <w:multiLevelType w:val="hybridMultilevel"/>
    <w:lvl w:ilvl="0">
      <w:lvlJc w:val="left"/>
      <w:lvlText w:val="(%1)"/>
      <w:numFmt w:val="lowerLetter"/>
      <w:start w:val="3"/>
    </w:lvl>
    <w:lvl w:ilvl="1">
      <w:lvlJc w:val="left"/>
      <w:lvlText w:val="%2"/>
      <w:numFmt w:val="lowerRoman"/>
      <w:start w:val="1"/>
    </w:lvl>
  </w:abstractNum>
  <w:abstractNum w:abstractNumId="62">
    <w:nsid w:val="4A2AC315"/>
    <w:multiLevelType w:val="hybridMultilevel"/>
    <w:lvl w:ilvl="0">
      <w:lvlJc w:val="left"/>
      <w:lvlText w:val="(%1)"/>
      <w:numFmt w:val="lowerLetter"/>
      <w:start w:val="4"/>
    </w:lvl>
  </w:abstractNum>
  <w:abstractNum w:abstractNumId="63">
    <w:nsid w:val="39EE015C"/>
    <w:multiLevelType w:val="hybridMultilevel"/>
    <w:lvl w:ilvl="0">
      <w:lvlJc w:val="left"/>
      <w:lvlText w:val="(%1)"/>
      <w:numFmt w:val="lowerRoman"/>
      <w:start w:val="3"/>
    </w:lvl>
  </w:abstractNum>
  <w:abstractNum w:abstractNumId="64">
    <w:nsid w:val="57FC4FBB"/>
    <w:multiLevelType w:val="hybridMultilevel"/>
    <w:lvl w:ilvl="0">
      <w:lvlJc w:val="left"/>
      <w:lvlText w:val="%1"/>
      <w:numFmt w:val="lowerLetter"/>
      <w:start w:val="1"/>
    </w:lvl>
    <w:lvl w:ilvl="1">
      <w:lvlJc w:val="left"/>
      <w:lvlText w:val="(%2)"/>
      <w:numFmt w:val="lowerLetter"/>
      <w:start w:val="5"/>
    </w:lvl>
  </w:abstractNum>
  <w:abstractNum w:abstractNumId="65">
    <w:nsid w:val="CC1016F"/>
    <w:multiLevelType w:val="hybridMultilevel"/>
    <w:lvl w:ilvl="0">
      <w:lvlJc w:val="left"/>
      <w:lvlText w:val="(%1)"/>
      <w:numFmt w:val="lowerLetter"/>
      <w:start w:val="5"/>
    </w:lvl>
    <w:lvl w:ilvl="1">
      <w:lvlJc w:val="left"/>
      <w:lvlText w:val="%2"/>
      <w:numFmt w:val="lowerLetter"/>
      <w:start w:val="1"/>
    </w:lvl>
  </w:abstractNum>
  <w:abstractNum w:abstractNumId="66">
    <w:nsid w:val="43F18422"/>
    <w:multiLevelType w:val="hybridMultilevel"/>
    <w:lvl w:ilvl="0">
      <w:lvlJc w:val="left"/>
      <w:lvlText w:val="(%1)"/>
      <w:numFmt w:val="lowerLetter"/>
      <w:start w:val="6"/>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lowerLetter"/>
      <w:start w:val="7"/>
    </w:lvl>
  </w:abstractNum>
  <w:abstractNum w:abstractNumId="69">
    <w:nsid w:val="7F01579B"/>
    <w:multiLevelType w:val="hybridMultilevel"/>
    <w:lvl w:ilvl="0">
      <w:lvlJc w:val="left"/>
      <w:lvlText w:val="(%1)"/>
      <w:numFmt w:val="lowerLetter"/>
      <w:start w:val="8"/>
    </w:lvl>
  </w:abstractNum>
  <w:abstractNum w:abstractNumId="70">
    <w:nsid w:val="49DA307D"/>
    <w:multiLevelType w:val="hybridMultilevel"/>
    <w:lvl w:ilvl="0">
      <w:lvlJc w:val="left"/>
      <w:lvlText w:val="(%1)"/>
      <w:numFmt w:val="lowerRoman"/>
      <w:start w:val="1"/>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1)"/>
      <w:numFmt w:val="decimal"/>
      <w:start w:val="4"/>
    </w:lvl>
  </w:abstractNum>
  <w:abstractNum w:abstractNumId="73">
    <w:nsid w:val="50801EE1"/>
    <w:multiLevelType w:val="hybridMultilevel"/>
    <w:lvl w:ilvl="0">
      <w:lvlJc w:val="left"/>
      <w:lvlText w:val="(%1)"/>
      <w:numFmt w:val="lowerLetter"/>
      <w:start w:val="10"/>
    </w:lvl>
  </w:abstractNum>
  <w:abstractNum w:abstractNumId="74">
    <w:nsid w:val="488AC1A"/>
    <w:multiLevelType w:val="hybridMultilevel"/>
    <w:lvl w:ilvl="0">
      <w:lvlJc w:val="left"/>
      <w:lvlText w:val="(%1)"/>
      <w:numFmt w:val="lowerLetter"/>
      <w:start w:val="11"/>
    </w:lvl>
  </w:abstractNum>
  <w:abstractNum w:abstractNumId="75">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6">
    <w:nsid w:val="6AA78F7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77">
    <w:nsid w:val="7672BD23"/>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8">
    <w:nsid w:val="6FC75AF8"/>
    <w:multiLevelType w:val="hybridMultilevel"/>
    <w:lvl w:ilvl="0">
      <w:lvlJc w:val="left"/>
      <w:lvlText w:val="(%1)"/>
      <w:numFmt w:val="lowerLetter"/>
      <w:start w:val="1"/>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2"/>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lowerLetter"/>
      <w:start w:val="2"/>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7"/>
    </w:lvl>
  </w:abstractNum>
  <w:abstractNum w:abstractNumId="88">
    <w:nsid w:val="71C91298"/>
    <w:multiLevelType w:val="hybridMultilevel"/>
    <w:lvl w:ilvl="0">
      <w:lvlJc w:val="left"/>
      <w:lvlText w:val="(%1)"/>
      <w:numFmt w:val="lowerLetter"/>
      <w:start w:val="1"/>
    </w:lvl>
    <w:lvl w:ilvl="1">
      <w:lvlJc w:val="left"/>
      <w:lvlText w:val="(%2)"/>
      <w:numFmt w:val="lowerLetter"/>
      <w:start w:val="9"/>
    </w:lvl>
  </w:abstractNum>
  <w:abstractNum w:abstractNumId="89">
    <w:nsid w:val="9DAF632"/>
    <w:multiLevelType w:val="hybridMultilevel"/>
    <w:lvl w:ilvl="0">
      <w:lvlJc w:val="left"/>
      <w:lvlText w:val="(%1)"/>
      <w:numFmt w:val="lowerRoman"/>
      <w:start w:val="2"/>
    </w:lvl>
    <w:lvl w:ilvl="1">
      <w:lvlJc w:val="left"/>
      <w:lvlText w:val="(%2)"/>
      <w:numFmt w:val="upperLetter"/>
      <w:start w:val="1"/>
    </w:lvl>
  </w:abstractNum>
  <w:abstractNum w:abstractNumId="90">
    <w:nsid w:val="53299938"/>
    <w:multiLevelType w:val="hybridMultilevel"/>
    <w:lvl w:ilvl="0">
      <w:lvlJc w:val="left"/>
      <w:lvlText w:val="(%1)"/>
      <w:numFmt w:val="lowerRoman"/>
      <w:start w:val="5"/>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5"/>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lowerLetter"/>
      <w:start w:val="2"/>
    </w:lvl>
    <w:lvl w:ilvl="1">
      <w:lvlJc w:val="left"/>
      <w:lvlText w:val="(%2)"/>
      <w:numFmt w:val="lowerLetter"/>
      <w:start w:val="3"/>
    </w:lvl>
  </w:abstractNum>
  <w:abstractNum w:abstractNumId="95">
    <w:nsid w:val="288F1A34"/>
    <w:multiLevelType w:val="hybridMultilevel"/>
    <w:lvl w:ilvl="0">
      <w:lvlJc w:val="left"/>
      <w:lvlText w:val="%1"/>
      <w:numFmt w:val="lowerLetter"/>
      <w:start w:val="1"/>
    </w:lvl>
    <w:lvl w:ilvl="1">
      <w:lvlJc w:val="left"/>
      <w:lvlText w:val="(%2)"/>
      <w:numFmt w:val="lowerLetter"/>
      <w:start w:val="1"/>
    </w:lvl>
  </w:abstractNum>
  <w:abstractNum w:abstractNumId="96">
    <w:nsid w:val="2A155DBC"/>
    <w:multiLevelType w:val="hybridMultilevel"/>
    <w:lvl w:ilvl="0">
      <w:lvlJc w:val="left"/>
      <w:lvlText w:val="(%1)"/>
      <w:numFmt w:val="lowerLetter"/>
      <w:start w:val="4"/>
    </w:lvl>
    <w:lvl w:ilvl="1">
      <w:lvlJc w:val="left"/>
      <w:lvlText w:val="%2"/>
      <w:numFmt w:val="lowerLetter"/>
      <w:start w:val="1"/>
    </w:lvl>
  </w:abstractNum>
  <w:abstractNum w:abstractNumId="97">
    <w:nsid w:val="1D9F6E5F"/>
    <w:multiLevelType w:val="hybridMultilevel"/>
    <w:lvl w:ilvl="0">
      <w:lvlJc w:val="left"/>
      <w:lvlText w:val="(%1)"/>
      <w:numFmt w:val="lowerLetter"/>
      <w:start w:val="5"/>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4"/>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6"/>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lowerLetter"/>
      <w:start w:val="1"/>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2"/>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lowerLetter"/>
      <w:start w:val="4"/>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2"/>
    </w:lvl>
    <w:lvl w:ilvl="1">
      <w:lvlJc w:val="left"/>
      <w:lvlText w:val="(%2)"/>
      <w:numFmt w:val="lowerRoman"/>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6" Type="http://schemas.openxmlformats.org/officeDocument/2006/relationships/image" Target="media/image109.png"/><Relationship Id="rId139" Type="http://schemas.openxmlformats.org/officeDocument/2006/relationships/image" Target="media/image110.png"/><Relationship Id="rId141" Type="http://schemas.openxmlformats.org/officeDocument/2006/relationships/image" Target="media/image111.png"/><Relationship Id="rId144" Type="http://schemas.openxmlformats.org/officeDocument/2006/relationships/image" Target="media/image112.png"/><Relationship Id="rId147" Type="http://schemas.openxmlformats.org/officeDocument/2006/relationships/image" Target="media/image113.png"/><Relationship Id="rId150" Type="http://schemas.openxmlformats.org/officeDocument/2006/relationships/image" Target="media/image114.png"/><Relationship Id="rId153"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03" Type="http://schemas.openxmlformats.org/officeDocument/2006/relationships/hyperlink" Target="http://www.sec.gov/Archives/edgar/data/1590364/000114036120000280/ex2_1.htm" TargetMode="External"/><Relationship Id="rId104" Type="http://schemas.openxmlformats.org/officeDocument/2006/relationships/hyperlink" Target="http://www.sec.gov/Archives/edgar/data/1590364/000119312515163776/d616610dex31.htm" TargetMode="External"/><Relationship Id="rId105" Type="http://schemas.openxmlformats.org/officeDocument/2006/relationships/hyperlink" Target="http://www.sec.gov/Archives/edgar/data/1590364/000114036119021576/nc10006381x2_ex3-2.htm" TargetMode="External"/><Relationship Id="rId106" Type="http://schemas.openxmlformats.org/officeDocument/2006/relationships/hyperlink" Target="http://www.sec.gov/Archives/edgar/data/1590364/000114036119016562/ex3_2.htm" TargetMode="External"/><Relationship Id="rId107" Type="http://schemas.openxmlformats.org/officeDocument/2006/relationships/hyperlink" Target="http://www.sec.gov/Archives/edgar/data/1590364/000095015717000381/ex4-1.htm" TargetMode="External"/><Relationship Id="rId108" Type="http://schemas.openxmlformats.org/officeDocument/2006/relationships/hyperlink" Target="http://www.sec.gov/Archives/edgar/data/1590364/000159036418000003/ftai12312017exhibit43.htm" TargetMode="External"/><Relationship Id="rId109" Type="http://schemas.openxmlformats.org/officeDocument/2006/relationships/hyperlink" Target="http://www.sec.gov/Archives/edgar/data/1590364/000095015717001232/ex4-1.htm" TargetMode="External"/><Relationship Id="rId110" Type="http://schemas.openxmlformats.org/officeDocument/2006/relationships/hyperlink" Target="http://www.sec.gov/Archives/edgar/data/1590364/000114036117046889/s001999x5_ex4-1.htm" TargetMode="External"/><Relationship Id="rId111" Type="http://schemas.openxmlformats.org/officeDocument/2006/relationships/hyperlink" Target="http://www.sec.gov/Archives/edgar/data/1590364/000114036118026546/ex4_1.htm" TargetMode="External"/><Relationship Id="rId112" Type="http://schemas.openxmlformats.org/officeDocument/2006/relationships/hyperlink" Target="http://www.sec.gov/Archives/edgar/data/1590364/000114036119002776/s002571x8_ex4-1.htm" TargetMode="External"/><Relationship Id="rId113" Type="http://schemas.openxmlformats.org/officeDocument/2006/relationships/hyperlink" Target="http://www.sec.gov/Archives/edgar/data/1590364/000114036118038650/ex4_1.htm" TargetMode="External"/><Relationship Id="rId114" Type="http://schemas.openxmlformats.org/officeDocument/2006/relationships/hyperlink" Target="http://www.sec.gov/Archives/edgar/data/1590364/000114036119009546/nc10001919x3_ex4-1.htm" TargetMode="External"/><Relationship Id="rId115" Type="http://schemas.openxmlformats.org/officeDocument/2006/relationships/hyperlink" Target="http://www.sec.gov/Archives/edgar/data/1590364/000114036119016562/ex3_2.htm#Exhibit4.1" TargetMode="External"/><Relationship Id="rId116" Type="http://schemas.openxmlformats.org/officeDocument/2006/relationships/hyperlink" Target="http://www.sec.gov/Archives/edgar/data/1590364/000159036420000002/ftai12312019exhibit413.htm" TargetMode="External"/><Relationship Id="rId117" Type="http://schemas.openxmlformats.org/officeDocument/2006/relationships/hyperlink" Target="http://www.sec.gov/Archives/edgar/data/1590364/000119312515197222/d931434dex101.htm" TargetMode="External"/><Relationship Id="rId118" Type="http://schemas.openxmlformats.org/officeDocument/2006/relationships/hyperlink" Target="http://www.sec.gov/Archives/edgar/data/1590364/000119312515197222/d931434dex102.htm" TargetMode="External"/><Relationship Id="rId119" Type="http://schemas.openxmlformats.org/officeDocument/2006/relationships/hyperlink" Target="http://www.sec.gov/Archives/edgar/data/1590364/000119312515163776/d616610dex103.htm" TargetMode="External"/><Relationship Id="rId120" Type="http://schemas.openxmlformats.org/officeDocument/2006/relationships/hyperlink" Target="http://www.sec.gov/Archives/edgar/data/1590364/000119312515197222/d931434dex104.htm" TargetMode="External"/><Relationship Id="rId134" Type="http://schemas.openxmlformats.org/officeDocument/2006/relationships/hyperlink" Target="http://www.sec.gov/Archives/edgar/data/1590364/000119312515163776/d616610dex105.htm" TargetMode="External"/><Relationship Id="rId135" Type="http://schemas.openxmlformats.org/officeDocument/2006/relationships/hyperlink" Target="http://www.sec.gov/Archives/edgar/data/1590364/000156761917001299/s001761x1_ex10-1.htm" TargetMode="External"/><Relationship Id="rId137" Type="http://schemas.openxmlformats.org/officeDocument/2006/relationships/hyperlink" Target="http://www.sec.gov/Archives/edgar/data/1590364/000159036418000010/creditagreement-exhibit1015.htm" TargetMode="External"/><Relationship Id="rId138" Type="http://schemas.openxmlformats.org/officeDocument/2006/relationships/hyperlink" Target="http://www.sec.gov/Archives/edgar/data/1590364/000114036119002813/s002571x9_ex10-1.htm" TargetMode="External"/><Relationship Id="rId140" Type="http://schemas.openxmlformats.org/officeDocument/2006/relationships/hyperlink" Target="http://www.sec.gov/Archives/edgar/data/1590364/000114036119014758/ex10_1.htm" TargetMode="External"/><Relationship Id="rId142" Type="http://schemas.openxmlformats.org/officeDocument/2006/relationships/hyperlink" Target="http://www.sec.gov/Archives/edgar/data/1590364/000159036419000004/epccontract-exhibit1017.htm" TargetMode="External"/><Relationship Id="rId143" Type="http://schemas.openxmlformats.org/officeDocument/2006/relationships/hyperlink" Target="http://www.sec.gov/Archives/edgar/data/1590364/000159036419000004/geequipmentsupplyagreement.htm" TargetMode="External"/><Relationship Id="rId145" Type="http://schemas.openxmlformats.org/officeDocument/2006/relationships/hyperlink" Target="http://www.sec.gov/Archives/edgar/data/1590364/000159036419000004/firstliencreditagreement-e.htm" TargetMode="External"/><Relationship Id="rId146" Type="http://schemas.openxmlformats.org/officeDocument/2006/relationships/hyperlink" Target="http://www.sec.gov/Archives/edgar/data/1590364/000159036419000004/secondliencreditagreement-.htm" TargetMode="External"/><Relationship Id="rId148" Type="http://schemas.openxmlformats.org/officeDocument/2006/relationships/hyperlink" Target="http://www.sec.gov/Archives/edgar/data/1590364/000114036118002262/s002014x3_ex10-1.htm" TargetMode="External"/><Relationship Id="rId149" Type="http://schemas.openxmlformats.org/officeDocument/2006/relationships/hyperlink" Target="http://www.sec.gov/Archives/edgar/data/1590364/000159036420000005/jeffersonintercompanyr.htm" TargetMode="External"/><Relationship Id="rId151" Type="http://schemas.openxmlformats.org/officeDocument/2006/relationships/hyperlink" Target="http://www.sec.gov/Archives/edgar/data/1590364/000159036420000005/jeffersonseniorloanagr.htm" TargetMode="External"/><Relationship Id="rId152" Type="http://schemas.openxmlformats.org/officeDocument/2006/relationships/hyperlink" Target="http://www.sec.gov/Archives/edgar/data/1590364/000159036420000005/jeffersondeedoftrust.htm" TargetMode="External"/><Relationship Id="rId154" Type="http://schemas.openxmlformats.org/officeDocument/2006/relationships/hyperlink" Target="http://www.sec.gov/Archives/edgar/data/1590364/000159036420000005/jeffersonfacilitiesl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2020-07-31T15:14:26Z</dcterms:created>
  <dcterms:modified xsi:type="dcterms:W3CDTF">2020-07-31T15:14:26Z</dcterms:modified>
</cp:coreProperties>
</file>