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0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auto"/>
                <w:w w:val="99"/>
              </w:rPr>
              <w:t>WASHINGTON, D.C. 20549</w:t>
            </w:r>
          </w:p>
        </w:tc>
        <w:tc>
          <w:tcPr>
            <w:tcW w:w="0" w:type="dxa"/>
            <w:vAlign w:val="bottom"/>
          </w:tcPr>
          <w:p>
            <w:pPr>
              <w:spacing w:after="0"/>
              <w:rPr>
                <w:sz w:val="1"/>
                <w:szCs w:val="1"/>
                <w:color w:val="auto"/>
              </w:rPr>
            </w:pPr>
          </w:p>
        </w:tc>
      </w:tr>
      <w:tr>
        <w:trPr>
          <w:trHeight w:val="375"/>
        </w:trPr>
        <w:tc>
          <w:tcPr>
            <w:tcW w:w="8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960" w:type="dxa"/>
            <w:vAlign w:val="bottom"/>
          </w:tcPr>
          <w:p>
            <w:pPr>
              <w:jc w:val="center"/>
              <w:spacing w:after="0"/>
              <w:rPr>
                <w:sz w:val="20"/>
                <w:szCs w:val="20"/>
                <w:color w:val="auto"/>
              </w:rPr>
            </w:pPr>
            <w:r>
              <w:rPr>
                <w:rFonts w:ascii="Arial" w:cs="Arial" w:eastAsia="Arial" w:hAnsi="Arial"/>
                <w:sz w:val="22"/>
                <w:szCs w:val="22"/>
                <w:b w:val="1"/>
                <w:bCs w:val="1"/>
                <w:color w:val="auto"/>
                <w:w w:val="97"/>
              </w:rPr>
              <w:t>FORM 10-K</w:t>
            </w:r>
          </w:p>
        </w:tc>
        <w:tc>
          <w:tcPr>
            <w:tcW w:w="0" w:type="dxa"/>
            <w:vAlign w:val="bottom"/>
          </w:tcPr>
          <w:p>
            <w:pPr>
              <w:spacing w:after="0"/>
              <w:rPr>
                <w:sz w:val="1"/>
                <w:szCs w:val="1"/>
                <w:color w:val="auto"/>
              </w:rPr>
            </w:pPr>
          </w:p>
        </w:tc>
      </w:tr>
      <w:tr>
        <w:trPr>
          <w:trHeight w:val="245"/>
        </w:trPr>
        <w:tc>
          <w:tcPr>
            <w:tcW w:w="860" w:type="dxa"/>
            <w:vAlign w:val="bottom"/>
            <w:vMerge w:val="continue"/>
          </w:tcPr>
          <w:p>
            <w:pPr>
              <w:spacing w:after="0"/>
              <w:rPr>
                <w:sz w:val="21"/>
                <w:szCs w:val="21"/>
                <w:color w:val="auto"/>
              </w:rPr>
            </w:pPr>
          </w:p>
        </w:tc>
        <w:tc>
          <w:tcPr>
            <w:tcW w:w="8960" w:type="dxa"/>
            <w:vAlign w:val="bottom"/>
          </w:tcPr>
          <w:p>
            <w:pPr>
              <w:jc w:val="center"/>
              <w:ind w:left="614"/>
              <w:spacing w:after="0"/>
              <w:rPr>
                <w:sz w:val="20"/>
                <w:szCs w:val="20"/>
                <w:color w:val="auto"/>
              </w:rPr>
            </w:pPr>
            <w:r>
              <w:rPr>
                <w:rFonts w:ascii="Arial" w:cs="Arial" w:eastAsia="Arial" w:hAnsi="Arial"/>
                <w:sz w:val="16"/>
                <w:szCs w:val="16"/>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374"/>
        </w:trPr>
        <w:tc>
          <w:tcPr>
            <w:tcW w:w="860" w:type="dxa"/>
            <w:vAlign w:val="bottom"/>
          </w:tcPr>
          <w:p>
            <w:pPr>
              <w:spacing w:after="0"/>
              <w:rPr>
                <w:sz w:val="24"/>
                <w:szCs w:val="24"/>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301"/>
        </w:trPr>
        <w:tc>
          <w:tcPr>
            <w:tcW w:w="8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960" w:type="dxa"/>
            <w:vAlign w:val="bottom"/>
          </w:tcPr>
          <w:p>
            <w:pPr>
              <w:jc w:val="center"/>
              <w:ind w:left="614"/>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441"/>
        </w:trPr>
        <w:tc>
          <w:tcPr>
            <w:tcW w:w="860" w:type="dxa"/>
            <w:vAlign w:val="bottom"/>
          </w:tcPr>
          <w:p>
            <w:pPr>
              <w:spacing w:after="0"/>
              <w:rPr>
                <w:sz w:val="24"/>
                <w:szCs w:val="24"/>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83"/>
        </w:trPr>
        <w:tc>
          <w:tcPr>
            <w:tcW w:w="860" w:type="dxa"/>
            <w:vAlign w:val="bottom"/>
          </w:tcPr>
          <w:p>
            <w:pPr>
              <w:spacing w:after="0"/>
              <w:rPr>
                <w:sz w:val="24"/>
                <w:szCs w:val="24"/>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63500</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FTAI AVIATION LTD.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7980" w:type="dxa"/>
            <w:vAlign w:val="bottom"/>
            <w:gridSpan w:val="4"/>
          </w:tcPr>
          <w:p>
            <w:pPr>
              <w:ind w:left="3780"/>
              <w:spacing w:after="0"/>
              <w:rPr>
                <w:sz w:val="20"/>
                <w:szCs w:val="20"/>
                <w:color w:val="auto"/>
              </w:rPr>
            </w:pPr>
            <w:r>
              <w:rPr>
                <w:rFonts w:ascii="Arial" w:cs="Arial" w:eastAsia="Arial" w:hAnsi="Arial"/>
                <w:sz w:val="16"/>
                <w:szCs w:val="16"/>
                <w:color w:val="auto"/>
              </w:rPr>
              <w:t>(Exact name of registrant as specified in its charter)</w:t>
            </w:r>
          </w:p>
        </w:tc>
        <w:tc>
          <w:tcPr>
            <w:tcW w:w="3260" w:type="dxa"/>
            <w:vAlign w:val="bottom"/>
          </w:tcPr>
          <w:p>
            <w:pPr>
              <w:spacing w:after="0"/>
              <w:rPr>
                <w:sz w:val="16"/>
                <w:szCs w:val="16"/>
                <w:color w:val="auto"/>
              </w:rPr>
            </w:pPr>
          </w:p>
        </w:tc>
      </w:tr>
      <w:tr>
        <w:trPr>
          <w:trHeight w:val="233"/>
        </w:trPr>
        <w:tc>
          <w:tcPr>
            <w:tcW w:w="5480" w:type="dxa"/>
            <w:vAlign w:val="bottom"/>
            <w:tcBorders>
              <w:bottom w:val="single" w:sz="8" w:color="auto"/>
            </w:tcBorders>
          </w:tcPr>
          <w:p>
            <w:pPr>
              <w:jc w:val="center"/>
              <w:ind w:left="2279"/>
              <w:spacing w:after="0"/>
              <w:rPr>
                <w:sz w:val="20"/>
                <w:szCs w:val="20"/>
                <w:color w:val="auto"/>
              </w:rPr>
            </w:pPr>
            <w:r>
              <w:rPr>
                <w:rFonts w:ascii="Arial" w:cs="Arial" w:eastAsia="Arial" w:hAnsi="Arial"/>
                <w:sz w:val="16"/>
                <w:szCs w:val="16"/>
                <w:b w:val="1"/>
                <w:bCs w:val="1"/>
                <w:color w:val="auto"/>
              </w:rPr>
              <w:t>Cayman Islands</w:t>
            </w:r>
          </w:p>
        </w:tc>
        <w:tc>
          <w:tcPr>
            <w:tcW w:w="1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98-1420784</w:t>
            </w:r>
          </w:p>
        </w:tc>
      </w:tr>
      <w:tr>
        <w:trPr>
          <w:trHeight w:val="206"/>
        </w:trPr>
        <w:tc>
          <w:tcPr>
            <w:tcW w:w="6740" w:type="dxa"/>
            <w:vAlign w:val="bottom"/>
            <w:gridSpan w:val="2"/>
          </w:tcPr>
          <w:p>
            <w:pPr>
              <w:jc w:val="center"/>
              <w:ind w:left="999"/>
              <w:spacing w:after="0"/>
              <w:rPr>
                <w:sz w:val="20"/>
                <w:szCs w:val="20"/>
                <w:color w:val="auto"/>
              </w:rPr>
            </w:pPr>
            <w:r>
              <w:rPr>
                <w:rFonts w:ascii="Arial" w:cs="Arial" w:eastAsia="Arial" w:hAnsi="Arial"/>
                <w:sz w:val="16"/>
                <w:szCs w:val="16"/>
                <w:color w:val="auto"/>
              </w:rPr>
              <w:t>(State or other jurisdiction of incorporation or organization)</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381"/>
        </w:trPr>
        <w:tc>
          <w:tcPr>
            <w:tcW w:w="5480" w:type="dxa"/>
            <w:vAlign w:val="bottom"/>
          </w:tcPr>
          <w:p>
            <w:pPr>
              <w:ind w:left="1140"/>
              <w:spacing w:after="0"/>
              <w:rPr>
                <w:sz w:val="20"/>
                <w:szCs w:val="20"/>
                <w:color w:val="auto"/>
              </w:rPr>
            </w:pPr>
            <w:r>
              <w:rPr>
                <w:rFonts w:ascii="Arial" w:cs="Arial" w:eastAsia="Arial" w:hAnsi="Arial"/>
                <w:sz w:val="16"/>
                <w:szCs w:val="16"/>
                <w:b w:val="1"/>
                <w:bCs w:val="1"/>
                <w:color w:val="auto"/>
              </w:rPr>
              <w:t>1345 Avenue of the Americas, 45th Floor</w:t>
            </w:r>
          </w:p>
        </w:tc>
        <w:tc>
          <w:tcPr>
            <w:tcW w:w="1260" w:type="dxa"/>
            <w:vAlign w:val="bottom"/>
          </w:tcPr>
          <w:p>
            <w:pPr>
              <w:ind w:left="160"/>
              <w:spacing w:after="0"/>
              <w:rPr>
                <w:sz w:val="20"/>
                <w:szCs w:val="20"/>
                <w:color w:val="auto"/>
              </w:rPr>
            </w:pPr>
            <w:r>
              <w:rPr>
                <w:rFonts w:ascii="Arial" w:cs="Arial" w:eastAsia="Arial" w:hAnsi="Arial"/>
                <w:sz w:val="16"/>
                <w:szCs w:val="16"/>
                <w:b w:val="1"/>
                <w:bCs w:val="1"/>
                <w:color w:val="auto"/>
              </w:rPr>
              <w:t>New York</w:t>
            </w:r>
          </w:p>
        </w:tc>
        <w:tc>
          <w:tcPr>
            <w:tcW w:w="1240" w:type="dxa"/>
            <w:vAlign w:val="bottom"/>
            <w:gridSpan w:val="2"/>
          </w:tcPr>
          <w:p>
            <w:pPr>
              <w:ind w:left="360"/>
              <w:spacing w:after="0"/>
              <w:rPr>
                <w:sz w:val="20"/>
                <w:szCs w:val="20"/>
                <w:color w:val="auto"/>
              </w:rPr>
            </w:pPr>
            <w:r>
              <w:rPr>
                <w:rFonts w:ascii="Arial" w:cs="Arial" w:eastAsia="Arial" w:hAnsi="Arial"/>
                <w:sz w:val="16"/>
                <w:szCs w:val="16"/>
                <w:b w:val="1"/>
                <w:bCs w:val="1"/>
                <w:color w:val="auto"/>
              </w:rPr>
              <w:t>NY</w:t>
            </w:r>
          </w:p>
        </w:tc>
        <w:tc>
          <w:tcPr>
            <w:tcW w:w="3260" w:type="dxa"/>
            <w:vAlign w:val="bottom"/>
          </w:tcPr>
          <w:p>
            <w:pPr>
              <w:jc w:val="right"/>
              <w:ind w:right="1319"/>
              <w:spacing w:after="0"/>
              <w:rPr>
                <w:sz w:val="20"/>
                <w:szCs w:val="20"/>
                <w:color w:val="auto"/>
              </w:rPr>
            </w:pPr>
            <w:r>
              <w:rPr>
                <w:rFonts w:ascii="Arial" w:cs="Arial" w:eastAsia="Arial" w:hAnsi="Arial"/>
                <w:sz w:val="16"/>
                <w:szCs w:val="16"/>
                <w:b w:val="1"/>
                <w:bCs w:val="1"/>
                <w:color w:val="auto"/>
              </w:rPr>
              <w:t>10105</w:t>
            </w:r>
          </w:p>
        </w:tc>
      </w:tr>
      <w:tr>
        <w:trPr>
          <w:trHeight w:val="207"/>
        </w:trPr>
        <w:tc>
          <w:tcPr>
            <w:tcW w:w="5480" w:type="dxa"/>
            <w:vAlign w:val="bottom"/>
            <w:tcBorders>
              <w:top w:val="single" w:sz="8" w:color="auto"/>
            </w:tcBorders>
          </w:tcPr>
          <w:p>
            <w:pPr>
              <w:jc w:val="center"/>
              <w:ind w:left="227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17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7700" w:type="dxa"/>
            <w:vAlign w:val="bottom"/>
            <w:gridSpan w:val="5"/>
          </w:tcPr>
          <w:p>
            <w:pPr>
              <w:ind w:left="3560"/>
              <w:spacing w:after="0"/>
              <w:rPr>
                <w:sz w:val="20"/>
                <w:szCs w:val="20"/>
                <w:color w:val="auto"/>
              </w:rPr>
            </w:pPr>
            <w:r>
              <w:rPr>
                <w:rFonts w:ascii="Arial" w:cs="Arial" w:eastAsia="Arial" w:hAnsi="Arial"/>
                <w:sz w:val="16"/>
                <w:szCs w:val="16"/>
                <w:color w:val="auto"/>
              </w:rPr>
              <w:t>Securities registered pursuant to Section 12(b) of the Act:</w:t>
            </w:r>
          </w:p>
        </w:tc>
        <w:tc>
          <w:tcPr>
            <w:tcW w:w="3540" w:type="dxa"/>
            <w:vAlign w:val="bottom"/>
          </w:tcPr>
          <w:p>
            <w:pPr>
              <w:spacing w:after="0"/>
              <w:rPr>
                <w:sz w:val="16"/>
                <w:szCs w:val="16"/>
                <w:color w:val="auto"/>
              </w:rPr>
            </w:pPr>
          </w:p>
        </w:tc>
      </w:tr>
      <w:tr>
        <w:trPr>
          <w:trHeight w:val="233"/>
        </w:trPr>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8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center"/>
              <w:ind w:right="539"/>
              <w:spacing w:after="0"/>
              <w:rPr>
                <w:sz w:val="20"/>
                <w:szCs w:val="20"/>
                <w:color w:val="auto"/>
              </w:rPr>
            </w:pPr>
            <w:r>
              <w:rPr>
                <w:rFonts w:ascii="Arial" w:cs="Arial" w:eastAsia="Arial" w:hAnsi="Arial"/>
                <w:sz w:val="16"/>
                <w:szCs w:val="16"/>
                <w:color w:val="auto"/>
              </w:rPr>
              <w:t>Name of exchange on which registered:</w:t>
            </w:r>
          </w:p>
        </w:tc>
      </w:tr>
      <w:tr>
        <w:trPr>
          <w:trHeight w:val="206"/>
        </w:trPr>
        <w:tc>
          <w:tcPr>
            <w:tcW w:w="5020" w:type="dxa"/>
            <w:vAlign w:val="bottom"/>
            <w:gridSpan w:val="2"/>
          </w:tcPr>
          <w:p>
            <w:pPr>
              <w:jc w:val="center"/>
              <w:ind w:right="80"/>
              <w:spacing w:after="0"/>
              <w:rPr>
                <w:sz w:val="20"/>
                <w:szCs w:val="20"/>
                <w:color w:val="auto"/>
              </w:rPr>
            </w:pPr>
            <w:r>
              <w:rPr>
                <w:rFonts w:ascii="Arial" w:cs="Arial" w:eastAsia="Arial" w:hAnsi="Arial"/>
                <w:sz w:val="16"/>
                <w:szCs w:val="16"/>
                <w:color w:val="auto"/>
              </w:rPr>
              <w:t>Ordinary shares, $0.01 par value per share</w:t>
            </w:r>
          </w:p>
        </w:tc>
        <w:tc>
          <w:tcPr>
            <w:tcW w:w="2680" w:type="dxa"/>
            <w:vAlign w:val="bottom"/>
            <w:gridSpan w:val="3"/>
          </w:tcPr>
          <w:p>
            <w:pPr>
              <w:jc w:val="center"/>
              <w:ind w:right="700"/>
              <w:spacing w:after="0"/>
              <w:rPr>
                <w:sz w:val="20"/>
                <w:szCs w:val="20"/>
                <w:color w:val="auto"/>
              </w:rPr>
            </w:pPr>
            <w:r>
              <w:rPr>
                <w:rFonts w:ascii="Arial" w:cs="Arial" w:eastAsia="Arial" w:hAnsi="Arial"/>
                <w:sz w:val="16"/>
                <w:szCs w:val="16"/>
                <w:color w:val="auto"/>
                <w:w w:val="97"/>
              </w:rPr>
              <w:t>FTAI</w:t>
            </w:r>
          </w:p>
        </w:tc>
        <w:tc>
          <w:tcPr>
            <w:tcW w:w="3540" w:type="dxa"/>
            <w:vAlign w:val="bottom"/>
          </w:tcPr>
          <w:p>
            <w:pPr>
              <w:jc w:val="center"/>
              <w:ind w:right="539"/>
              <w:spacing w:after="0"/>
              <w:rPr>
                <w:sz w:val="20"/>
                <w:szCs w:val="20"/>
                <w:color w:val="auto"/>
              </w:rPr>
            </w:pPr>
            <w:r>
              <w:rPr>
                <w:rFonts w:ascii="Arial" w:cs="Arial" w:eastAsia="Arial" w:hAnsi="Arial"/>
                <w:sz w:val="16"/>
                <w:szCs w:val="16"/>
                <w:color w:val="auto"/>
              </w:rPr>
              <w:t>The Nasdaq Global Select Market</w:t>
            </w:r>
          </w:p>
        </w:tc>
      </w:tr>
      <w:tr>
        <w:trPr>
          <w:trHeight w:val="183"/>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8.25% Fixed-to-Floating Rate Series A Cumulative Perpetual</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19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680" w:type="dxa"/>
            <w:vAlign w:val="bottom"/>
            <w:gridSpan w:val="3"/>
          </w:tcPr>
          <w:p>
            <w:pPr>
              <w:jc w:val="center"/>
              <w:ind w:right="700"/>
              <w:spacing w:after="0"/>
              <w:rPr>
                <w:sz w:val="20"/>
                <w:szCs w:val="20"/>
                <w:color w:val="auto"/>
              </w:rPr>
            </w:pPr>
            <w:r>
              <w:rPr>
                <w:rFonts w:ascii="Arial" w:cs="Arial" w:eastAsia="Arial" w:hAnsi="Arial"/>
                <w:sz w:val="16"/>
                <w:szCs w:val="16"/>
                <w:color w:val="auto"/>
              </w:rPr>
              <w:t>FTAIP</w:t>
            </w:r>
          </w:p>
        </w:tc>
        <w:tc>
          <w:tcPr>
            <w:tcW w:w="3540" w:type="dxa"/>
            <w:vAlign w:val="bottom"/>
          </w:tcPr>
          <w:p>
            <w:pPr>
              <w:jc w:val="center"/>
              <w:ind w:right="539"/>
              <w:spacing w:after="0"/>
              <w:rPr>
                <w:sz w:val="20"/>
                <w:szCs w:val="20"/>
                <w:color w:val="auto"/>
              </w:rPr>
            </w:pPr>
            <w:r>
              <w:rPr>
                <w:rFonts w:ascii="Arial" w:cs="Arial" w:eastAsia="Arial" w:hAnsi="Arial"/>
                <w:sz w:val="16"/>
                <w:szCs w:val="16"/>
                <w:color w:val="auto"/>
              </w:rPr>
              <w:t>The Nasdaq Global Select Market</w:t>
            </w:r>
          </w:p>
        </w:tc>
      </w:tr>
      <w:tr>
        <w:trPr>
          <w:trHeight w:val="183"/>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8.00% Fixed-to-Floating Rate Series B Cumulative Perpetual</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19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680" w:type="dxa"/>
            <w:vAlign w:val="bottom"/>
            <w:gridSpan w:val="3"/>
          </w:tcPr>
          <w:p>
            <w:pPr>
              <w:jc w:val="center"/>
              <w:ind w:right="700"/>
              <w:spacing w:after="0"/>
              <w:rPr>
                <w:sz w:val="20"/>
                <w:szCs w:val="20"/>
                <w:color w:val="auto"/>
              </w:rPr>
            </w:pPr>
            <w:r>
              <w:rPr>
                <w:rFonts w:ascii="Arial" w:cs="Arial" w:eastAsia="Arial" w:hAnsi="Arial"/>
                <w:sz w:val="16"/>
                <w:szCs w:val="16"/>
                <w:color w:val="auto"/>
                <w:w w:val="97"/>
              </w:rPr>
              <w:t>FTAIO</w:t>
            </w:r>
          </w:p>
        </w:tc>
        <w:tc>
          <w:tcPr>
            <w:tcW w:w="3540" w:type="dxa"/>
            <w:vAlign w:val="bottom"/>
          </w:tcPr>
          <w:p>
            <w:pPr>
              <w:jc w:val="center"/>
              <w:ind w:right="539"/>
              <w:spacing w:after="0"/>
              <w:rPr>
                <w:sz w:val="20"/>
                <w:szCs w:val="20"/>
                <w:color w:val="auto"/>
              </w:rPr>
            </w:pPr>
            <w:r>
              <w:rPr>
                <w:rFonts w:ascii="Arial" w:cs="Arial" w:eastAsia="Arial" w:hAnsi="Arial"/>
                <w:sz w:val="16"/>
                <w:szCs w:val="16"/>
                <w:color w:val="auto"/>
              </w:rPr>
              <w:t>The Nasdaq Global Select Market</w:t>
            </w:r>
          </w:p>
        </w:tc>
      </w:tr>
      <w:tr>
        <w:trPr>
          <w:trHeight w:val="183"/>
        </w:trPr>
        <w:tc>
          <w:tcPr>
            <w:tcW w:w="5020" w:type="dxa"/>
            <w:vAlign w:val="bottom"/>
            <w:gridSpan w:val="2"/>
          </w:tcPr>
          <w:p>
            <w:pPr>
              <w:jc w:val="center"/>
              <w:ind w:right="80"/>
              <w:spacing w:after="0"/>
              <w:rPr>
                <w:sz w:val="20"/>
                <w:szCs w:val="20"/>
                <w:color w:val="auto"/>
              </w:rPr>
            </w:pPr>
            <w:r>
              <w:rPr>
                <w:rFonts w:ascii="Arial" w:cs="Arial" w:eastAsia="Arial" w:hAnsi="Arial"/>
                <w:sz w:val="16"/>
                <w:szCs w:val="16"/>
                <w:color w:val="auto"/>
              </w:rPr>
              <w:t>8.25% Fixed-Rate Reset Series C Cumulative Perpetual</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19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680" w:type="dxa"/>
            <w:vAlign w:val="bottom"/>
            <w:gridSpan w:val="3"/>
          </w:tcPr>
          <w:p>
            <w:pPr>
              <w:jc w:val="center"/>
              <w:ind w:right="700"/>
              <w:spacing w:after="0"/>
              <w:rPr>
                <w:sz w:val="20"/>
                <w:szCs w:val="20"/>
                <w:color w:val="auto"/>
              </w:rPr>
            </w:pPr>
            <w:r>
              <w:rPr>
                <w:rFonts w:ascii="Arial" w:cs="Arial" w:eastAsia="Arial" w:hAnsi="Arial"/>
                <w:sz w:val="16"/>
                <w:szCs w:val="16"/>
                <w:color w:val="auto"/>
                <w:w w:val="99"/>
              </w:rPr>
              <w:t>FTAIN</w:t>
            </w:r>
          </w:p>
        </w:tc>
        <w:tc>
          <w:tcPr>
            <w:tcW w:w="3540" w:type="dxa"/>
            <w:vAlign w:val="bottom"/>
          </w:tcPr>
          <w:p>
            <w:pPr>
              <w:jc w:val="center"/>
              <w:ind w:right="539"/>
              <w:spacing w:after="0"/>
              <w:rPr>
                <w:sz w:val="20"/>
                <w:szCs w:val="20"/>
                <w:color w:val="auto"/>
              </w:rPr>
            </w:pPr>
            <w:r>
              <w:rPr>
                <w:rFonts w:ascii="Arial" w:cs="Arial" w:eastAsia="Arial" w:hAnsi="Arial"/>
                <w:sz w:val="16"/>
                <w:szCs w:val="16"/>
                <w:color w:val="auto"/>
              </w:rPr>
              <w:t>The Nasdaq Global Select Market</w:t>
            </w:r>
          </w:p>
        </w:tc>
      </w:tr>
    </w:tbl>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539"/>
              <w:spacing w:after="0"/>
              <w:rPr>
                <w:sz w:val="20"/>
                <w:szCs w:val="20"/>
                <w:color w:val="auto"/>
              </w:rPr>
            </w:pPr>
            <w:r>
              <w:rPr>
                <w:rFonts w:ascii="Arial" w:cs="Arial" w:eastAsia="Arial" w:hAnsi="Arial"/>
                <w:sz w:val="16"/>
                <w:szCs w:val="16"/>
                <w:color w:val="auto"/>
              </w:rPr>
              <w:t>Large accelerated filer</w:t>
            </w:r>
          </w:p>
        </w:tc>
        <w:tc>
          <w:tcPr>
            <w:tcW w:w="12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220" w:type="dxa"/>
            <w:vAlign w:val="bottom"/>
          </w:tcPr>
          <w:p>
            <w:pPr>
              <w:jc w:val="center"/>
              <w:ind w:right="539"/>
              <w:spacing w:after="0"/>
              <w:rPr>
                <w:sz w:val="20"/>
                <w:szCs w:val="20"/>
                <w:color w:val="auto"/>
              </w:rPr>
            </w:pPr>
            <w:r>
              <w:rPr>
                <w:rFonts w:ascii="Arial" w:cs="Arial" w:eastAsia="Arial" w:hAnsi="Arial"/>
                <w:sz w:val="16"/>
                <w:szCs w:val="16"/>
                <w:color w:val="auto"/>
              </w:rPr>
              <w:t>Non-accelerated filer</w:t>
            </w:r>
          </w:p>
        </w:tc>
        <w:tc>
          <w:tcPr>
            <w:tcW w:w="12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ectPr>
          <w:pgSz w:w="11900" w:h="16838" w:orient="portrait"/>
          <w:cols w:equalWidth="0" w:num="1">
            <w:col w:w="11240"/>
          </w:cols>
          <w:pgMar w:left="320" w:top="92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 w:name="page2"/>
    <w:bookmarkEnd w:id="1"/>
    <w:p>
      <w:pPr>
        <w:jc w:val="both"/>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9" w:lineRule="exact"/>
        <w:rPr>
          <w:sz w:val="20"/>
          <w:szCs w:val="20"/>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86" w:lineRule="exact"/>
        <w:rPr>
          <w:sz w:val="20"/>
          <w:szCs w:val="20"/>
          <w:color w:val="auto"/>
        </w:rPr>
      </w:pPr>
    </w:p>
    <w:p>
      <w:pPr>
        <w:jc w:val="both"/>
        <w:spacing w:after="0" w:line="201"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99" w:lineRule="exact"/>
        <w:rPr>
          <w:sz w:val="20"/>
          <w:szCs w:val="20"/>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5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aggregate market value of the voting and non-voting ordinary equity of FTAI Aviation Ltd. held by non-affiliates as of the close of business as of June 30, 2022 was approximately $1.6 billion.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There were 99,728,786 ordinary shares outstanding at February 22, 2023.</w:t>
      </w:r>
    </w:p>
    <w:p>
      <w:pPr>
        <w:spacing w:after="0" w:line="93"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Portions of the registrant's definitive proxy statement for the registrant's 2023 annual meeting, to be filed within 120 days after the close of the registrant's fiscal year, are incorporated by reference into Part III of this Annual Report on Form 10-K.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16"/>
                <w:szCs w:val="16"/>
                <w:color w:val="auto"/>
              </w:rPr>
            </w:pPr>
          </w:p>
        </w:tc>
        <w:tc>
          <w:tcPr>
            <w:tcW w:w="8640" w:type="dxa"/>
            <w:vAlign w:val="bottom"/>
          </w:tcPr>
          <w:p>
            <w:pPr>
              <w:jc w:val="center"/>
              <w:ind w:left="1108"/>
              <w:spacing w:after="0"/>
              <w:rPr>
                <w:sz w:val="20"/>
                <w:szCs w:val="20"/>
                <w:color w:val="auto"/>
              </w:rPr>
            </w:pPr>
            <w:r>
              <w:rPr>
                <w:rFonts w:ascii="Arial" w:cs="Arial" w:eastAsia="Arial" w:hAnsi="Arial"/>
                <w:sz w:val="16"/>
                <w:szCs w:val="16"/>
                <w:b w:val="1"/>
                <w:bCs w:val="1"/>
                <w:color w:val="00497F"/>
                <w:w w:val="98"/>
              </w:rPr>
              <w:t>FTAI AVIATION LTD.</w:t>
            </w:r>
          </w:p>
        </w:tc>
        <w:tc>
          <w:tcPr>
            <w:tcW w:w="1880" w:type="dxa"/>
            <w:vAlign w:val="bottom"/>
          </w:tcPr>
          <w:p>
            <w:pPr>
              <w:spacing w:after="0"/>
              <w:rPr>
                <w:sz w:val="16"/>
                <w:szCs w:val="16"/>
                <w:color w:val="auto"/>
              </w:rPr>
            </w:pPr>
          </w:p>
        </w:tc>
      </w:tr>
      <w:tr>
        <w:trPr>
          <w:trHeight w:val="215"/>
        </w:trPr>
        <w:tc>
          <w:tcPr>
            <w:tcW w:w="720" w:type="dxa"/>
            <w:vAlign w:val="bottom"/>
          </w:tcPr>
          <w:p>
            <w:pPr>
              <w:spacing w:after="0"/>
              <w:rPr>
                <w:sz w:val="18"/>
                <w:szCs w:val="18"/>
                <w:color w:val="auto"/>
              </w:rPr>
            </w:pPr>
          </w:p>
        </w:tc>
        <w:tc>
          <w:tcPr>
            <w:tcW w:w="8640" w:type="dxa"/>
            <w:vAlign w:val="bottom"/>
          </w:tcPr>
          <w:p>
            <w:pPr>
              <w:jc w:val="center"/>
              <w:ind w:left="1088"/>
              <w:spacing w:after="0"/>
              <w:rPr>
                <w:sz w:val="20"/>
                <w:szCs w:val="20"/>
                <w:color w:val="auto"/>
              </w:rPr>
            </w:pPr>
            <w:r>
              <w:rPr>
                <w:rFonts w:ascii="Arial" w:cs="Arial" w:eastAsia="Arial" w:hAnsi="Arial"/>
                <w:sz w:val="16"/>
                <w:szCs w:val="16"/>
                <w:b w:val="1"/>
                <w:bCs w:val="1"/>
                <w:color w:val="00497F"/>
              </w:rPr>
              <w:t>INDEX TO FORM 10-K</w:t>
            </w:r>
          </w:p>
        </w:tc>
        <w:tc>
          <w:tcPr>
            <w:tcW w:w="1880" w:type="dxa"/>
            <w:vAlign w:val="bottom"/>
          </w:tcPr>
          <w:p>
            <w:pPr>
              <w:spacing w:after="0"/>
              <w:rPr>
                <w:sz w:val="18"/>
                <w:szCs w:val="18"/>
                <w:color w:val="auto"/>
              </w:rPr>
            </w:pPr>
          </w:p>
        </w:tc>
      </w:tr>
      <w:tr>
        <w:trPr>
          <w:trHeight w:val="223"/>
        </w:trPr>
        <w:tc>
          <w:tcPr>
            <w:tcW w:w="720" w:type="dxa"/>
            <w:vAlign w:val="bottom"/>
          </w:tcPr>
          <w:p>
            <w:pPr>
              <w:spacing w:after="0"/>
              <w:rPr>
                <w:sz w:val="19"/>
                <w:szCs w:val="19"/>
                <w:color w:val="auto"/>
              </w:rPr>
            </w:pPr>
          </w:p>
        </w:tc>
        <w:tc>
          <w:tcPr>
            <w:tcW w:w="8640" w:type="dxa"/>
            <w:vAlign w:val="bottom"/>
          </w:tcPr>
          <w:p>
            <w:pPr>
              <w:jc w:val="center"/>
              <w:ind w:left="1148"/>
              <w:spacing w:after="0"/>
              <w:rPr>
                <w:sz w:val="20"/>
                <w:szCs w:val="20"/>
                <w:color w:val="auto"/>
              </w:rPr>
            </w:pPr>
            <w:r>
              <w:rPr>
                <w:rFonts w:ascii="Arial" w:cs="Arial" w:eastAsia="Arial" w:hAnsi="Arial"/>
                <w:sz w:val="14"/>
                <w:szCs w:val="14"/>
                <w:b w:val="1"/>
                <w:bCs w:val="1"/>
                <w:color w:val="00497F"/>
              </w:rPr>
              <w:t>PART I</w:t>
            </w:r>
          </w:p>
        </w:tc>
        <w:tc>
          <w:tcPr>
            <w:tcW w:w="1880" w:type="dxa"/>
            <w:vAlign w:val="bottom"/>
          </w:tcPr>
          <w:p>
            <w:pPr>
              <w:spacing w:after="0"/>
              <w:rPr>
                <w:sz w:val="19"/>
                <w:szCs w:val="19"/>
                <w:color w:val="auto"/>
              </w:rPr>
            </w:pPr>
          </w:p>
        </w:tc>
      </w:tr>
      <w:tr>
        <w:trPr>
          <w:trHeight w:val="203"/>
        </w:trPr>
        <w:tc>
          <w:tcPr>
            <w:tcW w:w="72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0000FF"/>
              </w:rPr>
              <w:t>Forward-Looking Statements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5</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w:t>
            </w:r>
          </w:p>
        </w:tc>
        <w:tc>
          <w:tcPr>
            <w:tcW w:w="8640" w:type="dxa"/>
            <w:vAlign w:val="bottom"/>
          </w:tcPr>
          <w:p>
            <w:pPr>
              <w:ind w:left="160"/>
              <w:spacing w:after="0"/>
              <w:rPr>
                <w:sz w:val="20"/>
                <w:szCs w:val="20"/>
                <w:color w:val="auto"/>
              </w:rPr>
            </w:pPr>
            <w:r>
              <w:rPr>
                <w:rFonts w:ascii="Arial" w:cs="Arial" w:eastAsia="Arial" w:hAnsi="Arial"/>
                <w:sz w:val="14"/>
                <w:szCs w:val="14"/>
                <w:color w:val="0000FF"/>
              </w:rPr>
              <w:t>Business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6</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1A.</w:t>
            </w:r>
          </w:p>
        </w:tc>
        <w:tc>
          <w:tcPr>
            <w:tcW w:w="8640" w:type="dxa"/>
            <w:vAlign w:val="bottom"/>
          </w:tcPr>
          <w:p>
            <w:pPr>
              <w:ind w:left="160"/>
              <w:spacing w:after="0"/>
              <w:rPr>
                <w:sz w:val="20"/>
                <w:szCs w:val="20"/>
                <w:color w:val="auto"/>
              </w:rPr>
            </w:pPr>
            <w:r>
              <w:rPr>
                <w:rFonts w:ascii="Arial" w:cs="Arial" w:eastAsia="Arial" w:hAnsi="Arial"/>
                <w:sz w:val="14"/>
                <w:szCs w:val="14"/>
                <w:color w:val="0000FF"/>
              </w:rPr>
              <w:t>Risk Factors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11</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1B.</w:t>
            </w:r>
          </w:p>
        </w:tc>
        <w:tc>
          <w:tcPr>
            <w:tcW w:w="8640" w:type="dxa"/>
            <w:vAlign w:val="bottom"/>
          </w:tcPr>
          <w:p>
            <w:pPr>
              <w:ind w:left="160"/>
              <w:spacing w:after="0"/>
              <w:rPr>
                <w:sz w:val="20"/>
                <w:szCs w:val="20"/>
                <w:color w:val="auto"/>
              </w:rPr>
            </w:pPr>
            <w:r>
              <w:rPr>
                <w:rFonts w:ascii="Arial" w:cs="Arial" w:eastAsia="Arial" w:hAnsi="Arial"/>
                <w:sz w:val="14"/>
                <w:szCs w:val="14"/>
                <w:color w:val="0000FF"/>
              </w:rPr>
              <w:t>Unresolved Staff Comments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27</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2.</w:t>
            </w:r>
          </w:p>
        </w:tc>
        <w:tc>
          <w:tcPr>
            <w:tcW w:w="8640" w:type="dxa"/>
            <w:vAlign w:val="bottom"/>
          </w:tcPr>
          <w:p>
            <w:pPr>
              <w:ind w:left="160"/>
              <w:spacing w:after="0"/>
              <w:rPr>
                <w:sz w:val="20"/>
                <w:szCs w:val="20"/>
                <w:color w:val="auto"/>
              </w:rPr>
            </w:pPr>
            <w:r>
              <w:rPr>
                <w:rFonts w:ascii="Arial" w:cs="Arial" w:eastAsia="Arial" w:hAnsi="Arial"/>
                <w:sz w:val="14"/>
                <w:szCs w:val="14"/>
                <w:color w:val="0000FF"/>
              </w:rPr>
              <w:t>Properties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28</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3.</w:t>
            </w:r>
          </w:p>
        </w:tc>
        <w:tc>
          <w:tcPr>
            <w:tcW w:w="8640" w:type="dxa"/>
            <w:vAlign w:val="bottom"/>
          </w:tcPr>
          <w:p>
            <w:pPr>
              <w:ind w:left="160"/>
              <w:spacing w:after="0"/>
              <w:rPr>
                <w:sz w:val="20"/>
                <w:szCs w:val="20"/>
                <w:color w:val="auto"/>
              </w:rPr>
            </w:pPr>
            <w:r>
              <w:rPr>
                <w:rFonts w:ascii="Arial" w:cs="Arial" w:eastAsia="Arial" w:hAnsi="Arial"/>
                <w:sz w:val="14"/>
                <w:szCs w:val="14"/>
                <w:color w:val="0000FF"/>
              </w:rPr>
              <w:t>Legal Proceedings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28</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4.</w:t>
            </w:r>
          </w:p>
        </w:tc>
        <w:tc>
          <w:tcPr>
            <w:tcW w:w="8640" w:type="dxa"/>
            <w:vAlign w:val="bottom"/>
          </w:tcPr>
          <w:p>
            <w:pPr>
              <w:ind w:left="160"/>
              <w:spacing w:after="0"/>
              <w:rPr>
                <w:sz w:val="20"/>
                <w:szCs w:val="20"/>
                <w:color w:val="auto"/>
              </w:rPr>
            </w:pPr>
            <w:r>
              <w:rPr>
                <w:rFonts w:ascii="Arial" w:cs="Arial" w:eastAsia="Arial" w:hAnsi="Arial"/>
                <w:sz w:val="14"/>
                <w:szCs w:val="14"/>
                <w:color w:val="0000FF"/>
              </w:rPr>
              <w:t>Mine Safety Disclosures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28</w:t>
            </w:r>
          </w:p>
        </w:tc>
      </w:tr>
      <w:tr>
        <w:trPr>
          <w:trHeight w:val="203"/>
        </w:trPr>
        <w:tc>
          <w:tcPr>
            <w:tcW w:w="720" w:type="dxa"/>
            <w:vAlign w:val="bottom"/>
          </w:tcPr>
          <w:p>
            <w:pPr>
              <w:spacing w:after="0"/>
              <w:rPr>
                <w:sz w:val="17"/>
                <w:szCs w:val="17"/>
                <w:color w:val="auto"/>
              </w:rPr>
            </w:pPr>
          </w:p>
        </w:tc>
        <w:tc>
          <w:tcPr>
            <w:tcW w:w="8640" w:type="dxa"/>
            <w:vAlign w:val="bottom"/>
          </w:tcPr>
          <w:p>
            <w:pPr>
              <w:jc w:val="center"/>
              <w:ind w:left="1148"/>
              <w:spacing w:after="0"/>
              <w:rPr>
                <w:sz w:val="20"/>
                <w:szCs w:val="20"/>
                <w:color w:val="auto"/>
              </w:rPr>
            </w:pPr>
            <w:r>
              <w:rPr>
                <w:rFonts w:ascii="Arial" w:cs="Arial" w:eastAsia="Arial" w:hAnsi="Arial"/>
                <w:sz w:val="14"/>
                <w:szCs w:val="14"/>
                <w:b w:val="1"/>
                <w:bCs w:val="1"/>
                <w:color w:val="00497F"/>
              </w:rPr>
              <w:t>PART II</w:t>
            </w:r>
          </w:p>
        </w:tc>
        <w:tc>
          <w:tcPr>
            <w:tcW w:w="1880" w:type="dxa"/>
            <w:vAlign w:val="bottom"/>
          </w:tcPr>
          <w:p>
            <w:pPr>
              <w:spacing w:after="0"/>
              <w:rPr>
                <w:sz w:val="17"/>
                <w:szCs w:val="17"/>
                <w:color w:val="auto"/>
              </w:rPr>
            </w:pP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5.</w:t>
            </w:r>
          </w:p>
        </w:tc>
        <w:tc>
          <w:tcPr>
            <w:tcW w:w="8640" w:type="dxa"/>
            <w:vAlign w:val="bottom"/>
          </w:tcPr>
          <w:p>
            <w:pPr>
              <w:ind w:left="160"/>
              <w:spacing w:after="0"/>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29</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6.</w:t>
            </w:r>
          </w:p>
        </w:tc>
        <w:tc>
          <w:tcPr>
            <w:tcW w:w="8640" w:type="dxa"/>
            <w:vAlign w:val="bottom"/>
          </w:tcPr>
          <w:p>
            <w:pPr>
              <w:ind w:left="160"/>
              <w:spacing w:after="0"/>
              <w:rPr>
                <w:sz w:val="20"/>
                <w:szCs w:val="20"/>
                <w:color w:val="auto"/>
              </w:rPr>
            </w:pPr>
            <w:r>
              <w:rPr>
                <w:rFonts w:ascii="Arial" w:cs="Arial" w:eastAsia="Arial" w:hAnsi="Arial"/>
                <w:sz w:val="14"/>
                <w:szCs w:val="14"/>
                <w:color w:val="0000FF"/>
              </w:rPr>
              <w:t>[Reserved]</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31</w:t>
            </w:r>
          </w:p>
        </w:tc>
      </w:tr>
      <w:tr>
        <w:trPr>
          <w:trHeight w:val="202"/>
        </w:trPr>
        <w:tc>
          <w:tcPr>
            <w:tcW w:w="720" w:type="dxa"/>
            <w:vAlign w:val="bottom"/>
          </w:tcPr>
          <w:p>
            <w:pPr>
              <w:ind w:left="20"/>
              <w:spacing w:after="0"/>
              <w:rPr>
                <w:sz w:val="20"/>
                <w:szCs w:val="20"/>
                <w:color w:val="auto"/>
              </w:rPr>
            </w:pPr>
            <w:r>
              <w:rPr>
                <w:rFonts w:ascii="Arial" w:cs="Arial" w:eastAsia="Arial" w:hAnsi="Arial"/>
                <w:sz w:val="14"/>
                <w:szCs w:val="14"/>
                <w:color w:val="0000FF"/>
              </w:rPr>
              <w:t>Item 7.</w:t>
            </w:r>
          </w:p>
        </w:tc>
        <w:tc>
          <w:tcPr>
            <w:tcW w:w="8640" w:type="dxa"/>
            <w:vAlign w:val="bottom"/>
          </w:tcPr>
          <w:p>
            <w:pPr>
              <w:ind w:left="16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31</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7A.</w:t>
            </w:r>
          </w:p>
        </w:tc>
        <w:tc>
          <w:tcPr>
            <w:tcW w:w="8640" w:type="dxa"/>
            <w:vAlign w:val="bottom"/>
          </w:tcPr>
          <w:p>
            <w:pPr>
              <w:ind w:left="160"/>
              <w:spacing w:after="0"/>
              <w:rPr>
                <w:sz w:val="20"/>
                <w:szCs w:val="20"/>
                <w:color w:val="auto"/>
              </w:rPr>
            </w:pPr>
            <w:r>
              <w:rPr>
                <w:rFonts w:ascii="Arial" w:cs="Arial" w:eastAsia="Arial" w:hAnsi="Arial"/>
                <w:sz w:val="14"/>
                <w:szCs w:val="14"/>
                <w:color w:val="0000FF"/>
              </w:rPr>
              <w:t>Quantitative and Qualitative Disclosures About Market Risk</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49</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8.</w:t>
            </w:r>
          </w:p>
        </w:tc>
        <w:tc>
          <w:tcPr>
            <w:tcW w:w="8640" w:type="dxa"/>
            <w:vAlign w:val="bottom"/>
          </w:tcPr>
          <w:p>
            <w:pPr>
              <w:ind w:left="160"/>
              <w:spacing w:after="0"/>
              <w:rPr>
                <w:sz w:val="20"/>
                <w:szCs w:val="20"/>
                <w:color w:val="auto"/>
              </w:rPr>
            </w:pPr>
            <w:r>
              <w:rPr>
                <w:rFonts w:ascii="Arial" w:cs="Arial" w:eastAsia="Arial" w:hAnsi="Arial"/>
                <w:sz w:val="14"/>
                <w:szCs w:val="14"/>
                <w:color w:val="0000FF"/>
              </w:rPr>
              <w:t>Consolidated Financial Statements of FTAI Aviation Ltd.:</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51</w:t>
            </w:r>
          </w:p>
        </w:tc>
      </w:tr>
      <w:tr>
        <w:trPr>
          <w:trHeight w:val="203"/>
        </w:trPr>
        <w:tc>
          <w:tcPr>
            <w:tcW w:w="72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0000FF"/>
              </w:rPr>
              <w:t>Report of Independent Registered Public Accounting Firm</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52</w:t>
            </w:r>
          </w:p>
        </w:tc>
      </w:tr>
      <w:tr>
        <w:trPr>
          <w:trHeight w:val="203"/>
        </w:trPr>
        <w:tc>
          <w:tcPr>
            <w:tcW w:w="72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0000FF"/>
              </w:rPr>
              <w:t>Consolidated Balance Sheets as of December 31, 2022 and 2021</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54</w:t>
            </w:r>
          </w:p>
        </w:tc>
      </w:tr>
      <w:tr>
        <w:trPr>
          <w:trHeight w:val="203"/>
        </w:trPr>
        <w:tc>
          <w:tcPr>
            <w:tcW w:w="72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0000FF"/>
              </w:rPr>
              <w:t>Consolidated Statements of Operations for the years ended December 31, 2022, 2021 and 2020</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55</w:t>
            </w:r>
          </w:p>
        </w:tc>
      </w:tr>
      <w:tr>
        <w:trPr>
          <w:trHeight w:val="203"/>
        </w:trPr>
        <w:tc>
          <w:tcPr>
            <w:tcW w:w="72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0000FF"/>
              </w:rPr>
              <w:t>Consolidated Statements of Comprehensive Loss for the years ended December 31, 2022, 2021 and 2020</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56</w:t>
            </w:r>
          </w:p>
        </w:tc>
      </w:tr>
      <w:tr>
        <w:trPr>
          <w:trHeight w:val="203"/>
        </w:trPr>
        <w:tc>
          <w:tcPr>
            <w:tcW w:w="72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0000FF"/>
              </w:rPr>
              <w:t>Consolidated Statement of Changes in Equity for the years ended December 31, 2022, 2021 and 2020</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57</w:t>
            </w:r>
          </w:p>
        </w:tc>
      </w:tr>
      <w:tr>
        <w:trPr>
          <w:trHeight w:val="203"/>
        </w:trPr>
        <w:tc>
          <w:tcPr>
            <w:tcW w:w="72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0000FF"/>
              </w:rPr>
              <w:t>Consolidated Statements of Cash Flows for the years ended December 31, 2022, 2021 and 2020</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58</w:t>
            </w:r>
          </w:p>
        </w:tc>
      </w:tr>
      <w:tr>
        <w:trPr>
          <w:trHeight w:val="203"/>
        </w:trPr>
        <w:tc>
          <w:tcPr>
            <w:tcW w:w="72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0000FF"/>
              </w:rPr>
              <w:t>Notes to Consolidated Financial Statements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60</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1: Organization</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60</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2: Summary of Significant Accounting Policies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60</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3: Discontinued Operations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64</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4: Leasing Equipment, net</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69</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5: Property, Plant and Equipment, net</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70</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6: Investments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71</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7: Intangible Assets and Liabilities, net</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72</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8: Debt, net</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73</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9: Fair Value Measurements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74</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10: Revenues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74</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11: Equity-Based Compensation</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80</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12: Income Taxes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77</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13: Management Agreement and Affiliate Transactions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79</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14: Segment Information</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80</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15: Earnings per Share and Equity</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88</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16: Commitments and Contingencies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89</w:t>
            </w:r>
          </w:p>
        </w:tc>
      </w:tr>
      <w:tr>
        <w:trPr>
          <w:trHeight w:val="203"/>
        </w:trPr>
        <w:tc>
          <w:tcPr>
            <w:tcW w:w="720" w:type="dxa"/>
            <w:vAlign w:val="bottom"/>
          </w:tcPr>
          <w:p>
            <w:pPr>
              <w:spacing w:after="0"/>
              <w:rPr>
                <w:sz w:val="17"/>
                <w:szCs w:val="17"/>
                <w:color w:val="auto"/>
              </w:rPr>
            </w:pPr>
          </w:p>
        </w:tc>
        <w:tc>
          <w:tcPr>
            <w:tcW w:w="8640" w:type="dxa"/>
            <w:vAlign w:val="bottom"/>
          </w:tcPr>
          <w:p>
            <w:pPr>
              <w:ind w:left="380"/>
              <w:spacing w:after="0"/>
              <w:rPr>
                <w:sz w:val="20"/>
                <w:szCs w:val="20"/>
                <w:color w:val="auto"/>
              </w:rPr>
            </w:pPr>
            <w:r>
              <w:rPr>
                <w:rFonts w:ascii="Arial" w:cs="Arial" w:eastAsia="Arial" w:hAnsi="Arial"/>
                <w:sz w:val="14"/>
                <w:szCs w:val="14"/>
                <w:color w:val="0000FF"/>
              </w:rPr>
              <w:t>Note 17: Subsequent Events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89</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9.</w:t>
            </w:r>
          </w:p>
        </w:tc>
        <w:tc>
          <w:tcPr>
            <w:tcW w:w="8640" w:type="dxa"/>
            <w:vAlign w:val="bottom"/>
          </w:tcPr>
          <w:p>
            <w:pPr>
              <w:ind w:left="160"/>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90</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9A.</w:t>
            </w:r>
          </w:p>
        </w:tc>
        <w:tc>
          <w:tcPr>
            <w:tcW w:w="8640" w:type="dxa"/>
            <w:vAlign w:val="bottom"/>
          </w:tcPr>
          <w:p>
            <w:pPr>
              <w:ind w:left="160"/>
              <w:spacing w:after="0"/>
              <w:rPr>
                <w:sz w:val="20"/>
                <w:szCs w:val="20"/>
                <w:color w:val="auto"/>
              </w:rPr>
            </w:pPr>
            <w:r>
              <w:rPr>
                <w:rFonts w:ascii="Arial" w:cs="Arial" w:eastAsia="Arial" w:hAnsi="Arial"/>
                <w:sz w:val="14"/>
                <w:szCs w:val="14"/>
                <w:color w:val="0000FF"/>
              </w:rPr>
              <w:t>Controls and Procedures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90</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9B.</w:t>
            </w:r>
          </w:p>
        </w:tc>
        <w:tc>
          <w:tcPr>
            <w:tcW w:w="8640" w:type="dxa"/>
            <w:vAlign w:val="bottom"/>
          </w:tcPr>
          <w:p>
            <w:pPr>
              <w:ind w:left="160"/>
              <w:spacing w:after="0"/>
              <w:rPr>
                <w:sz w:val="20"/>
                <w:szCs w:val="20"/>
                <w:color w:val="auto"/>
              </w:rPr>
            </w:pPr>
            <w:r>
              <w:rPr>
                <w:rFonts w:ascii="Arial" w:cs="Arial" w:eastAsia="Arial" w:hAnsi="Arial"/>
                <w:sz w:val="14"/>
                <w:szCs w:val="14"/>
                <w:color w:val="0000FF"/>
              </w:rPr>
              <w:t>Other Information</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91</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9C.</w:t>
            </w:r>
          </w:p>
        </w:tc>
        <w:tc>
          <w:tcPr>
            <w:tcW w:w="8640" w:type="dxa"/>
            <w:vAlign w:val="bottom"/>
          </w:tcPr>
          <w:p>
            <w:pPr>
              <w:ind w:left="160"/>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92</w:t>
            </w:r>
          </w:p>
        </w:tc>
      </w:tr>
      <w:tr>
        <w:trPr>
          <w:trHeight w:val="203"/>
        </w:trPr>
        <w:tc>
          <w:tcPr>
            <w:tcW w:w="720" w:type="dxa"/>
            <w:vAlign w:val="bottom"/>
          </w:tcPr>
          <w:p>
            <w:pPr>
              <w:spacing w:after="0"/>
              <w:rPr>
                <w:sz w:val="17"/>
                <w:szCs w:val="17"/>
                <w:color w:val="auto"/>
              </w:rPr>
            </w:pPr>
          </w:p>
        </w:tc>
        <w:tc>
          <w:tcPr>
            <w:tcW w:w="8640" w:type="dxa"/>
            <w:vAlign w:val="bottom"/>
          </w:tcPr>
          <w:p>
            <w:pPr>
              <w:jc w:val="center"/>
              <w:ind w:left="1148"/>
              <w:spacing w:after="0"/>
              <w:rPr>
                <w:sz w:val="20"/>
                <w:szCs w:val="20"/>
                <w:color w:val="auto"/>
              </w:rPr>
            </w:pPr>
            <w:r>
              <w:rPr>
                <w:rFonts w:ascii="Arial" w:cs="Arial" w:eastAsia="Arial" w:hAnsi="Arial"/>
                <w:sz w:val="14"/>
                <w:szCs w:val="14"/>
                <w:b w:val="1"/>
                <w:bCs w:val="1"/>
                <w:color w:val="00497F"/>
              </w:rPr>
              <w:t>PART III</w:t>
            </w:r>
          </w:p>
        </w:tc>
        <w:tc>
          <w:tcPr>
            <w:tcW w:w="1880" w:type="dxa"/>
            <w:vAlign w:val="bottom"/>
          </w:tcPr>
          <w:p>
            <w:pPr>
              <w:spacing w:after="0"/>
              <w:rPr>
                <w:sz w:val="17"/>
                <w:szCs w:val="17"/>
                <w:color w:val="auto"/>
              </w:rPr>
            </w:pP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10.</w:t>
            </w:r>
          </w:p>
        </w:tc>
        <w:tc>
          <w:tcPr>
            <w:tcW w:w="8640" w:type="dxa"/>
            <w:vAlign w:val="bottom"/>
          </w:tcPr>
          <w:p>
            <w:pPr>
              <w:ind w:left="160"/>
              <w:spacing w:after="0"/>
              <w:rPr>
                <w:sz w:val="20"/>
                <w:szCs w:val="20"/>
                <w:color w:val="auto"/>
              </w:rPr>
            </w:pPr>
            <w:r>
              <w:rPr>
                <w:rFonts w:ascii="Arial" w:cs="Arial" w:eastAsia="Arial" w:hAnsi="Arial"/>
                <w:sz w:val="14"/>
                <w:szCs w:val="14"/>
                <w:color w:val="0000FF"/>
              </w:rPr>
              <w:t>Directors, Executive Officers and Corporate Governance</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92</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11.</w:t>
            </w:r>
          </w:p>
        </w:tc>
        <w:tc>
          <w:tcPr>
            <w:tcW w:w="8640" w:type="dxa"/>
            <w:vAlign w:val="bottom"/>
          </w:tcPr>
          <w:p>
            <w:pPr>
              <w:ind w:left="160"/>
              <w:spacing w:after="0"/>
              <w:rPr>
                <w:sz w:val="20"/>
                <w:szCs w:val="20"/>
                <w:color w:val="auto"/>
              </w:rPr>
            </w:pPr>
            <w:r>
              <w:rPr>
                <w:rFonts w:ascii="Arial" w:cs="Arial" w:eastAsia="Arial" w:hAnsi="Arial"/>
                <w:sz w:val="14"/>
                <w:szCs w:val="14"/>
                <w:color w:val="0000FF"/>
              </w:rPr>
              <w:t>Executive Compensation</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92</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12.</w:t>
            </w:r>
          </w:p>
        </w:tc>
        <w:tc>
          <w:tcPr>
            <w:tcW w:w="8640" w:type="dxa"/>
            <w:vAlign w:val="bottom"/>
          </w:tcPr>
          <w:p>
            <w:pPr>
              <w:ind w:left="160"/>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92</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13.</w:t>
            </w:r>
          </w:p>
        </w:tc>
        <w:tc>
          <w:tcPr>
            <w:tcW w:w="8640" w:type="dxa"/>
            <w:vAlign w:val="bottom"/>
          </w:tcPr>
          <w:p>
            <w:pPr>
              <w:ind w:left="160"/>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1880" w:type="dxa"/>
            <w:vAlign w:val="bottom"/>
          </w:tcPr>
          <w:p>
            <w:pPr>
              <w:jc w:val="center"/>
              <w:ind w:left="1008"/>
              <w:spacing w:after="0"/>
              <w:rPr>
                <w:sz w:val="20"/>
                <w:szCs w:val="20"/>
                <w:color w:val="auto"/>
              </w:rPr>
            </w:pPr>
            <w:r>
              <w:rPr>
                <w:rFonts w:ascii="Arial" w:cs="Arial" w:eastAsia="Arial" w:hAnsi="Arial"/>
                <w:sz w:val="14"/>
                <w:szCs w:val="14"/>
                <w:color w:val="0000FF"/>
              </w:rPr>
              <w:t>92</w:t>
            </w:r>
          </w:p>
        </w:tc>
      </w:tr>
      <w:tr>
        <w:trPr>
          <w:trHeight w:val="918"/>
        </w:trPr>
        <w:tc>
          <w:tcPr>
            <w:tcW w:w="720" w:type="dxa"/>
            <w:vAlign w:val="bottom"/>
          </w:tcPr>
          <w:p>
            <w:pPr>
              <w:spacing w:after="0"/>
              <w:rPr>
                <w:sz w:val="24"/>
                <w:szCs w:val="24"/>
                <w:color w:val="auto"/>
              </w:rPr>
            </w:pPr>
          </w:p>
        </w:tc>
        <w:tc>
          <w:tcPr>
            <w:tcW w:w="8640" w:type="dxa"/>
            <w:vAlign w:val="bottom"/>
          </w:tcPr>
          <w:p>
            <w:pPr>
              <w:jc w:val="center"/>
              <w:ind w:left="1088"/>
              <w:spacing w:after="0"/>
              <w:rPr>
                <w:sz w:val="20"/>
                <w:szCs w:val="20"/>
                <w:color w:val="auto"/>
              </w:rPr>
            </w:pPr>
            <w:r>
              <w:rPr>
                <w:rFonts w:ascii="Arial" w:cs="Arial" w:eastAsia="Arial" w:hAnsi="Arial"/>
                <w:sz w:val="14"/>
                <w:szCs w:val="14"/>
                <w:color w:val="auto"/>
              </w:rPr>
              <w:t>3</w:t>
            </w:r>
          </w:p>
        </w:tc>
        <w:tc>
          <w:tcPr>
            <w:tcW w:w="1880" w:type="dxa"/>
            <w:vAlign w:val="bottom"/>
          </w:tcPr>
          <w:p>
            <w:pPr>
              <w:spacing w:after="0"/>
              <w:rPr>
                <w:sz w:val="24"/>
                <w:szCs w:val="24"/>
                <w:color w:val="auto"/>
              </w:rPr>
            </w:pPr>
          </w:p>
        </w:tc>
      </w:tr>
      <w:tr>
        <w:trPr>
          <w:trHeight w:val="100"/>
        </w:trPr>
        <w:tc>
          <w:tcPr>
            <w:tcW w:w="720" w:type="dxa"/>
            <w:vAlign w:val="bottom"/>
            <w:tcBorders>
              <w:bottom w:val="single" w:sz="8" w:color="9A9A9A"/>
            </w:tcBorders>
          </w:tcPr>
          <w:p>
            <w:pPr>
              <w:spacing w:after="0"/>
              <w:rPr>
                <w:sz w:val="8"/>
                <w:szCs w:val="8"/>
                <w:color w:val="auto"/>
              </w:rPr>
            </w:pPr>
          </w:p>
        </w:tc>
        <w:tc>
          <w:tcPr>
            <w:tcW w:w="864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720" w:type="dxa"/>
            <w:vAlign w:val="bottom"/>
          </w:tcPr>
          <w:p>
            <w:pPr>
              <w:ind w:left="20"/>
              <w:spacing w:after="0"/>
              <w:rPr>
                <w:sz w:val="20"/>
                <w:szCs w:val="20"/>
                <w:color w:val="auto"/>
              </w:rPr>
            </w:pPr>
            <w:r>
              <w:rPr>
                <w:rFonts w:ascii="Arial" w:cs="Arial" w:eastAsia="Arial" w:hAnsi="Arial"/>
                <w:sz w:val="14"/>
                <w:szCs w:val="14"/>
                <w:color w:val="0000FF"/>
              </w:rPr>
              <w:t>Item 14.</w:t>
            </w:r>
          </w:p>
        </w:tc>
        <w:tc>
          <w:tcPr>
            <w:tcW w:w="3680" w:type="dxa"/>
            <w:vAlign w:val="bottom"/>
          </w:tcPr>
          <w:p>
            <w:pPr>
              <w:ind w:left="160"/>
              <w:spacing w:after="0"/>
              <w:rPr>
                <w:sz w:val="20"/>
                <w:szCs w:val="20"/>
                <w:color w:val="auto"/>
              </w:rPr>
            </w:pPr>
            <w:r>
              <w:rPr>
                <w:rFonts w:ascii="Arial" w:cs="Arial" w:eastAsia="Arial" w:hAnsi="Arial"/>
                <w:sz w:val="14"/>
                <w:szCs w:val="14"/>
                <w:color w:val="0000FF"/>
              </w:rPr>
              <w:t>Principal Accountant Fees and Services</w:t>
            </w:r>
          </w:p>
        </w:tc>
        <w:tc>
          <w:tcPr>
            <w:tcW w:w="6840" w:type="dxa"/>
            <w:vAlign w:val="bottom"/>
          </w:tcPr>
          <w:p>
            <w:pPr>
              <w:jc w:val="right"/>
              <w:ind w:right="248"/>
              <w:spacing w:after="0"/>
              <w:rPr>
                <w:sz w:val="20"/>
                <w:szCs w:val="20"/>
                <w:color w:val="auto"/>
              </w:rPr>
            </w:pPr>
            <w:r>
              <w:rPr>
                <w:rFonts w:ascii="Arial" w:cs="Arial" w:eastAsia="Arial" w:hAnsi="Arial"/>
                <w:sz w:val="14"/>
                <w:szCs w:val="14"/>
                <w:color w:val="0000FF"/>
              </w:rPr>
              <w:t>92</w:t>
            </w:r>
          </w:p>
        </w:tc>
      </w:tr>
      <w:tr>
        <w:trPr>
          <w:trHeight w:val="203"/>
        </w:trPr>
        <w:tc>
          <w:tcPr>
            <w:tcW w:w="7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840" w:type="dxa"/>
            <w:vAlign w:val="bottom"/>
          </w:tcPr>
          <w:p>
            <w:pPr>
              <w:jc w:val="right"/>
              <w:ind w:right="5248"/>
              <w:spacing w:after="0"/>
              <w:rPr>
                <w:sz w:val="20"/>
                <w:szCs w:val="20"/>
                <w:color w:val="auto"/>
              </w:rPr>
            </w:pPr>
            <w:r>
              <w:rPr>
                <w:rFonts w:ascii="Arial" w:cs="Arial" w:eastAsia="Arial" w:hAnsi="Arial"/>
                <w:sz w:val="14"/>
                <w:szCs w:val="14"/>
                <w:b w:val="1"/>
                <w:bCs w:val="1"/>
                <w:color w:val="00497F"/>
              </w:rPr>
              <w:t>PART IV</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15.</w:t>
            </w:r>
          </w:p>
        </w:tc>
        <w:tc>
          <w:tcPr>
            <w:tcW w:w="3680" w:type="dxa"/>
            <w:vAlign w:val="bottom"/>
          </w:tcPr>
          <w:p>
            <w:pPr>
              <w:ind w:left="160"/>
              <w:spacing w:after="0"/>
              <w:rPr>
                <w:sz w:val="20"/>
                <w:szCs w:val="20"/>
                <w:color w:val="auto"/>
              </w:rPr>
            </w:pPr>
            <w:r>
              <w:rPr>
                <w:rFonts w:ascii="Arial" w:cs="Arial" w:eastAsia="Arial" w:hAnsi="Arial"/>
                <w:sz w:val="14"/>
                <w:szCs w:val="14"/>
                <w:color w:val="0000FF"/>
              </w:rPr>
              <w:t>Exhibits</w:t>
            </w:r>
          </w:p>
        </w:tc>
        <w:tc>
          <w:tcPr>
            <w:tcW w:w="6840" w:type="dxa"/>
            <w:vAlign w:val="bottom"/>
          </w:tcPr>
          <w:p>
            <w:pPr>
              <w:jc w:val="right"/>
              <w:ind w:right="248"/>
              <w:spacing w:after="0"/>
              <w:rPr>
                <w:sz w:val="20"/>
                <w:szCs w:val="20"/>
                <w:color w:val="auto"/>
              </w:rPr>
            </w:pPr>
            <w:r>
              <w:rPr>
                <w:rFonts w:ascii="Arial" w:cs="Arial" w:eastAsia="Arial" w:hAnsi="Arial"/>
                <w:sz w:val="14"/>
                <w:szCs w:val="14"/>
                <w:color w:val="0000FF"/>
              </w:rPr>
              <w:t>92</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16.</w:t>
            </w:r>
          </w:p>
        </w:tc>
        <w:tc>
          <w:tcPr>
            <w:tcW w:w="3680" w:type="dxa"/>
            <w:vAlign w:val="bottom"/>
          </w:tcPr>
          <w:p>
            <w:pPr>
              <w:ind w:left="160"/>
              <w:spacing w:after="0"/>
              <w:rPr>
                <w:sz w:val="20"/>
                <w:szCs w:val="20"/>
                <w:color w:val="auto"/>
              </w:rPr>
            </w:pPr>
            <w:r>
              <w:rPr>
                <w:rFonts w:ascii="Arial" w:cs="Arial" w:eastAsia="Arial" w:hAnsi="Arial"/>
                <w:sz w:val="14"/>
                <w:szCs w:val="14"/>
                <w:color w:val="0000FF"/>
              </w:rPr>
              <w:t>Form 10-K Summary</w:t>
            </w:r>
          </w:p>
        </w:tc>
        <w:tc>
          <w:tcPr>
            <w:tcW w:w="6840" w:type="dxa"/>
            <w:vAlign w:val="bottom"/>
          </w:tcPr>
          <w:p>
            <w:pPr>
              <w:jc w:val="right"/>
              <w:ind w:right="248"/>
              <w:spacing w:after="0"/>
              <w:rPr>
                <w:sz w:val="20"/>
                <w:szCs w:val="20"/>
                <w:color w:val="auto"/>
              </w:rPr>
            </w:pPr>
            <w:r>
              <w:rPr>
                <w:rFonts w:ascii="Arial" w:cs="Arial" w:eastAsia="Arial" w:hAnsi="Arial"/>
                <w:sz w:val="14"/>
                <w:szCs w:val="14"/>
                <w:color w:val="0000FF"/>
              </w:rPr>
              <w:t>94</w:t>
            </w:r>
          </w:p>
        </w:tc>
      </w:tr>
      <w:tr>
        <w:trPr>
          <w:trHeight w:val="203"/>
        </w:trPr>
        <w:tc>
          <w:tcPr>
            <w:tcW w:w="720" w:type="dxa"/>
            <w:vAlign w:val="bottom"/>
          </w:tcPr>
          <w:p>
            <w:pPr>
              <w:spacing w:after="0"/>
              <w:rPr>
                <w:sz w:val="17"/>
                <w:szCs w:val="17"/>
                <w:color w:val="auto"/>
              </w:rPr>
            </w:pPr>
          </w:p>
        </w:tc>
        <w:tc>
          <w:tcPr>
            <w:tcW w:w="3680" w:type="dxa"/>
            <w:vAlign w:val="bottom"/>
          </w:tcPr>
          <w:p>
            <w:pPr>
              <w:ind w:left="160"/>
              <w:spacing w:after="0"/>
              <w:rPr>
                <w:sz w:val="20"/>
                <w:szCs w:val="20"/>
                <w:color w:val="auto"/>
              </w:rPr>
            </w:pPr>
            <w:r>
              <w:rPr>
                <w:rFonts w:ascii="Arial" w:cs="Arial" w:eastAsia="Arial" w:hAnsi="Arial"/>
                <w:sz w:val="14"/>
                <w:szCs w:val="14"/>
                <w:color w:val="0000FF"/>
              </w:rPr>
              <w:t>Signatures</w:t>
            </w:r>
          </w:p>
        </w:tc>
        <w:tc>
          <w:tcPr>
            <w:tcW w:w="6840" w:type="dxa"/>
            <w:vAlign w:val="bottom"/>
          </w:tcPr>
          <w:p>
            <w:pPr>
              <w:jc w:val="right"/>
              <w:ind w:right="248"/>
              <w:spacing w:after="0"/>
              <w:rPr>
                <w:sz w:val="20"/>
                <w:szCs w:val="20"/>
                <w:color w:val="auto"/>
              </w:rPr>
            </w:pPr>
            <w:r>
              <w:rPr>
                <w:rFonts w:ascii="Arial" w:cs="Arial" w:eastAsia="Arial" w:hAnsi="Arial"/>
                <w:sz w:val="14"/>
                <w:szCs w:val="14"/>
                <w:color w:val="0000FF"/>
              </w:rPr>
              <w:t>94</w:t>
            </w:r>
          </w:p>
        </w:tc>
      </w:tr>
      <w:tr>
        <w:trPr>
          <w:trHeight w:val="918"/>
        </w:trPr>
        <w:tc>
          <w:tcPr>
            <w:tcW w:w="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840" w:type="dxa"/>
            <w:vAlign w:val="bottom"/>
          </w:tcPr>
          <w:p>
            <w:pPr>
              <w:jc w:val="right"/>
              <w:ind w:right="5508"/>
              <w:spacing w:after="0"/>
              <w:rPr>
                <w:sz w:val="20"/>
                <w:szCs w:val="20"/>
                <w:color w:val="auto"/>
              </w:rPr>
            </w:pPr>
            <w:r>
              <w:rPr>
                <w:rFonts w:ascii="Arial" w:cs="Arial" w:eastAsia="Arial" w:hAnsi="Arial"/>
                <w:sz w:val="14"/>
                <w:szCs w:val="14"/>
                <w:color w:val="auto"/>
              </w:rPr>
              <w:t>4</w:t>
            </w:r>
          </w:p>
        </w:tc>
      </w:tr>
      <w:tr>
        <w:trPr>
          <w:trHeight w:val="114"/>
        </w:trPr>
        <w:tc>
          <w:tcPr>
            <w:tcW w:w="72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6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00497F"/>
        </w:rPr>
        <w:t>FORWARD-LOOKING STATEMENTS AND RISK FACTORS SUMMARY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Item 1A. “Risk Factors” of this report. We believe that these factors include, but are not limited to:</w:t>
      </w:r>
    </w:p>
    <w:p>
      <w:pPr>
        <w:spacing w:after="0" w:line="284" w:lineRule="exact"/>
        <w:rPr>
          <w:sz w:val="20"/>
          <w:szCs w:val="20"/>
          <w:color w:val="auto"/>
        </w:rPr>
      </w:pPr>
    </w:p>
    <w:p>
      <w:pPr>
        <w:ind w:left="820" w:right="20" w:hanging="326"/>
        <w:spacing w:after="0" w:line="278"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the Russia-Ukraine conflict and any related responses or actions by businesses and governments;</w:t>
      </w:r>
    </w:p>
    <w:p>
      <w:pPr>
        <w:spacing w:after="0" w:line="19" w:lineRule="exact"/>
        <w:rPr>
          <w:rFonts w:ascii="Arial" w:cs="Arial" w:eastAsia="Arial" w:hAnsi="Arial"/>
          <w:sz w:val="16"/>
          <w:szCs w:val="16"/>
          <w:color w:val="auto"/>
        </w:rPr>
      </w:pPr>
    </w:p>
    <w:p>
      <w:pPr>
        <w:ind w:left="820" w:hanging="326"/>
        <w:spacing w:after="0" w:line="278"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1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sector;</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72"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278"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1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 w:name="page6"/>
    <w:bookmarkEnd w:id="5"/>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 -looking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PART 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Company</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FTAI Aviation Ltd., a Cayman Islands exempted company, was formed on December 8, 2017 and is the surviving parent company upon completion of the transactions completed in that certain Agreement and Plan of Merger (the “Merger”) on November 10, 2022 between Fortress Transportation and Infrastructure Investors LLC and FTAI Aviation Ltd. and certain other parties thereto. Except as otherwise specified, “we”, “us”, “our”, “FTAI”, “FTAI Aviation” or “the Company” refer to us and our consolidated subsidiaries. Our business has been, and will continue to be, conducted through FTAI Aviation Holdco Ltd. (“Holdco”) for the purpose of acquiring, managing and disposing of transportation and transportation-related equipment assets.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externally managed by FIG LLC (the “Manager”), an affiliate of Fortress Investment Group LLC (“Fortress”), which has a dedicated team of experienced professionals focused on the acquisition of transportation and infrastructure assets since 2002. On December 27, 2017, SoftBank Group Corp. (“SoftBank”) acquired Fortress (the “SoftBank Merger”). In connection with the SoftBank Merger, Fortress operates within SoftBank as an independent business headquartered in New York.</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own and acquire high quality aviation equipment that is essential for the transportation of goods and people globally. Additionally, we own and lease offshore energy equipment. We target assets that, on a combined basis, generate strong cash flows with potential for earnings growth. We believe that there are a large number of acquisition opportunities in our markets and that our Manager’s expertise and business and financing relationships, together with our access to capital, will allow us to take advantage of these opportunities. As of December 31, 2022, we had total consolidated assets of $2.4 billion and total equity of $19.4 million.</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2022, our operations consisted of Aviation Leasing and Aerospace Products. Our Aviation Leasing business acquires assets that are designed to carry cargo or people. Aviation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 Our Aerospace Products business develops and manufactures through a joint venture, and repairs and sells, through exclusivity arrangements, aftermarket components for aircraft engines.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Strategy</w:t>
      </w:r>
    </w:p>
    <w:p>
      <w:pPr>
        <w:spacing w:after="0" w:line="14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general, we seek to own a diverse mix of high-quality aviation assets and equipment within our target sectors that generate predictable cash flows in markets that we believe provide the potential for strong long-term growth and attractive returns on deployed capital. We believe that by investing in a diverse mix of assets, we can select from among the best risk-adjusted investment opportunities.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take a proactive investment approach by identifying key secular trends as they emerge within our target sectors and then pursuing what we believe are the most compelling opportunities within those sectors.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Within each sector, we consider investments in aviation and offshore assets, including equipment that we lease to operators. We believe that as owners of both aviation and offshore assets, we have access to more opportunities and can be a more attractive counterparty to the users of our assets. Our Manager has significant prior experience in all of our target sectors, as well as a network of industry relationships, that we believe positions us well to make successful acquisitions and to actively manage and improve operations and cash flows of our existing and newly-acquired assets. These relationships include senior executives at lessors and operators, end users of aviation and offshore energy assets, as well as banks, lenders and other asset owners.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Acquisition Process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strategy is to acquire assets that are essential to the transportation of goods and people globally. We acquire assets that are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 w:name="page7"/>
    <w:bookmarkEnd w:id="6"/>
    <w:p>
      <w:pPr>
        <w:jc w:val="both"/>
        <w:spacing w:after="0" w:line="260" w:lineRule="auto"/>
        <w:rPr>
          <w:sz w:val="20"/>
          <w:szCs w:val="20"/>
          <w:color w:val="auto"/>
        </w:rPr>
      </w:pPr>
      <w:r>
        <w:rPr>
          <w:rFonts w:ascii="Arial" w:cs="Arial" w:eastAsia="Arial" w:hAnsi="Arial"/>
          <w:sz w:val="16"/>
          <w:szCs w:val="16"/>
          <w:color w:val="auto"/>
        </w:rPr>
        <w:t>used by major operators of transportation networks. We seek to acquire assets and businesses that we believe operate in sectors with long-term macroeconomic growth opportunities and that have significant cash flow and upside potential from earnings growth and asset appreciation.</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approach markets and opportunities by first developing an asset acquisition strategy with our Manager and then pursuing optimal opportunities within that strategy. In addition to relying on our own experience, we source new opportunities through our Manager’s network of industry relationships in order to find, structure and execute attractive acquisitions. These relationships include senior executives at industry leading operators, end users of the assets as well as banks, lenders and other asset owners. We believe that sourcing assets both globally and through multiple channels will enable us to find the most attractive opportunities. We are selective in the assets we pursue and efficient in the manner in which we pursue them.</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Once attractive opportunities are identified, our Manager performs detailed due diligence on each of our potential acquisitions. Due diligence on each of our assets always includes a comprehensive review of the asset itself as well as the industry and market dynamics, competitive positioning, and financial and operational performance. Where appropriate, our Manager conducts physical inspections, a review of the credit quality of each of our counterparties, the regulatory environment, and a review of all material documentation. In some cases, third-party specialists are hired to physically inspect and/or value the target assets.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and our Manager also spend a significant amount of time on structuring our acquisitions to minimize risks while also optimizing expected returns. We employ what we believe to be reasonable amounts of leverage in connection with our acquisitions. In determining the amount of leverage for each acquisition, we consider a number of characteristics, including, but not limited to, the existing cash flow, the length of the lease or contract term, and the specific counterparty.</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Management Agreement and Services and Profit Sharing Agreement</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July 31, 2022, in connection with our spin-off, we entered into a new management agreement with the Manager (the “Management Agreement”), an affiliate of Fortress, pursuant to which 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On November 10, 2022, in connection with the closing of the Merger, we entered into a Services and Profit Sharing Agreement, pursuant to which the Master GP is entitled to receive incentive payments on substantially similar terms as it was entitled to receive such payments prior to the Merger.</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Please refer to Note 13 of our consolidated financial statements included in Item 8 in this Annual Report on Form 10-K for further details regarding our Management Agreement and Services and Profit Sharing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0497F"/>
        </w:rPr>
        <w:t>Our Portfolio</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own and acquire high quality aviation and offshore energy equipment that is essential for the transportation of goods and people globally. We currently invest across two market sectors: aviation leasing and aerospace products. We target assets that, on a combined basis, generate strong and stable cash flows with the potential for earnings growth and asset appreciation.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Aviation Leasing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2022, in our Aviation Leasing segment, we own and manage 330 aviation assets, consisting of 106 commercial aircraft and 224 engines, including four aircraft and one engine that were still located in Ukraine and eight aircraft and seventeen engines that were still located in Russia.</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of December 31, 2022, 79 of our commercial aircraft and 127 of our engines were leased to operators or other third parties. Aviation assets currently off lease are either undergoing repair and/or maintenance, being prepared to go on lease or held in short term storage awaiting a future lease. Our aviation equipment was approximately 71% utilized during the three months ended December 31, 2022, based on the percent of days on-lease in the quarter weighted by the monthly average equity value of our aviation leasing equipment, excluding airframes. Our aircraft currently have a weighted average remaining lease term of 42 months, and our engines currently on-lease have an average remaining lease term of 11 months. The table below provides additional information on the assets in our Aviation Leasing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00497F"/>
          </w:tcPr>
          <w:p>
            <w:pPr>
              <w:spacing w:after="0"/>
              <w:rPr>
                <w:sz w:val="17"/>
                <w:szCs w:val="17"/>
                <w:color w:val="auto"/>
              </w:rPr>
            </w:pPr>
          </w:p>
        </w:tc>
        <w:tc>
          <w:tcPr>
            <w:tcW w:w="574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320" w:type="dxa"/>
            <w:vAlign w:val="bottom"/>
            <w:shd w:val="clear" w:color="auto" w:fill="00497F"/>
          </w:tcPr>
          <w:p>
            <w:pPr>
              <w:ind w:left="520"/>
              <w:spacing w:after="0"/>
              <w:rPr>
                <w:sz w:val="20"/>
                <w:szCs w:val="20"/>
                <w:color w:val="auto"/>
              </w:rPr>
            </w:pPr>
            <w:r>
              <w:rPr>
                <w:rFonts w:ascii="Arial" w:cs="Arial" w:eastAsia="Arial" w:hAnsi="Arial"/>
                <w:sz w:val="14"/>
                <w:szCs w:val="14"/>
                <w:b w:val="1"/>
                <w:bCs w:val="1"/>
                <w:color w:val="FFFFFF"/>
              </w:rPr>
              <w:t>Widebody</w:t>
            </w:r>
          </w:p>
        </w:tc>
        <w:tc>
          <w:tcPr>
            <w:tcW w:w="400" w:type="dxa"/>
            <w:vAlign w:val="bottom"/>
            <w:shd w:val="clear" w:color="auto" w:fill="00497F"/>
          </w:tcPr>
          <w:p>
            <w:pPr>
              <w:spacing w:after="0"/>
              <w:rPr>
                <w:sz w:val="17"/>
                <w:szCs w:val="17"/>
                <w:color w:val="auto"/>
              </w:rPr>
            </w:pPr>
          </w:p>
        </w:tc>
        <w:tc>
          <w:tcPr>
            <w:tcW w:w="120" w:type="dxa"/>
            <w:vAlign w:val="bottom"/>
            <w:shd w:val="clear" w:color="auto" w:fill="00497F"/>
          </w:tcPr>
          <w:p>
            <w:pPr>
              <w:spacing w:after="0"/>
              <w:rPr>
                <w:sz w:val="17"/>
                <w:szCs w:val="17"/>
                <w:color w:val="auto"/>
              </w:rPr>
            </w:pPr>
          </w:p>
        </w:tc>
        <w:tc>
          <w:tcPr>
            <w:tcW w:w="1360" w:type="dxa"/>
            <w:vAlign w:val="bottom"/>
            <w:shd w:val="clear" w:color="auto" w:fill="00497F"/>
          </w:tcPr>
          <w:p>
            <w:pPr>
              <w:ind w:left="440"/>
              <w:spacing w:after="0"/>
              <w:rPr>
                <w:sz w:val="20"/>
                <w:szCs w:val="20"/>
                <w:color w:val="auto"/>
              </w:rPr>
            </w:pPr>
            <w:r>
              <w:rPr>
                <w:rFonts w:ascii="Arial" w:cs="Arial" w:eastAsia="Arial" w:hAnsi="Arial"/>
                <w:sz w:val="14"/>
                <w:szCs w:val="14"/>
                <w:b w:val="1"/>
                <w:bCs w:val="1"/>
                <w:color w:val="FFFFFF"/>
              </w:rPr>
              <w:t>Narrowbody</w:t>
            </w:r>
          </w:p>
        </w:tc>
        <w:tc>
          <w:tcPr>
            <w:tcW w:w="380" w:type="dxa"/>
            <w:vAlign w:val="bottom"/>
            <w:shd w:val="clear" w:color="auto" w:fill="00497F"/>
          </w:tcPr>
          <w:p>
            <w:pPr>
              <w:spacing w:after="0"/>
              <w:rPr>
                <w:sz w:val="17"/>
                <w:szCs w:val="17"/>
                <w:color w:val="auto"/>
              </w:rPr>
            </w:pPr>
          </w:p>
        </w:tc>
        <w:tc>
          <w:tcPr>
            <w:tcW w:w="100" w:type="dxa"/>
            <w:vAlign w:val="bottom"/>
            <w:shd w:val="clear" w:color="auto" w:fill="00497F"/>
          </w:tcPr>
          <w:p>
            <w:pPr>
              <w:spacing w:after="0"/>
              <w:rPr>
                <w:sz w:val="17"/>
                <w:szCs w:val="17"/>
                <w:color w:val="auto"/>
              </w:rPr>
            </w:pPr>
          </w:p>
        </w:tc>
        <w:tc>
          <w:tcPr>
            <w:tcW w:w="1740" w:type="dxa"/>
            <w:vAlign w:val="bottom"/>
            <w:shd w:val="clear" w:color="auto" w:fill="00497F"/>
          </w:tcPr>
          <w:p>
            <w:pPr>
              <w:jc w:val="right"/>
              <w:ind w:right="628"/>
              <w:spacing w:after="0"/>
              <w:rPr>
                <w:sz w:val="20"/>
                <w:szCs w:val="20"/>
                <w:color w:val="auto"/>
              </w:rPr>
            </w:pPr>
            <w:r>
              <w:rPr>
                <w:rFonts w:ascii="Arial" w:cs="Arial" w:eastAsia="Arial" w:hAnsi="Arial"/>
                <w:sz w:val="14"/>
                <w:szCs w:val="14"/>
                <w:b w:val="1"/>
                <w:bCs w:val="1"/>
                <w:color w:val="FFFFFF"/>
              </w:rPr>
              <w:t>Total</w:t>
            </w:r>
          </w:p>
        </w:tc>
      </w:tr>
      <w:tr>
        <w:trPr>
          <w:trHeight w:val="162"/>
        </w:trPr>
        <w:tc>
          <w:tcPr>
            <w:tcW w:w="20" w:type="dxa"/>
            <w:vAlign w:val="bottom"/>
          </w:tcPr>
          <w:p>
            <w:pPr>
              <w:spacing w:after="0"/>
              <w:rPr>
                <w:sz w:val="14"/>
                <w:szCs w:val="14"/>
                <w:color w:val="auto"/>
              </w:rPr>
            </w:pPr>
          </w:p>
        </w:tc>
        <w:tc>
          <w:tcPr>
            <w:tcW w:w="57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January 1, 2022</w:t>
            </w: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95</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r>
      <w:tr>
        <w:trPr>
          <w:trHeight w:val="197"/>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4"/>
                <w:szCs w:val="14"/>
                <w:color w:val="auto"/>
              </w:rPr>
              <w:t>Purchases</w:t>
            </w:r>
          </w:p>
        </w:tc>
        <w:tc>
          <w:tcPr>
            <w:tcW w:w="13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8"/>
        </w:trPr>
        <w:tc>
          <w:tcPr>
            <w:tcW w:w="2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w:t>
            </w: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7"/>
        </w:trPr>
        <w:tc>
          <w:tcPr>
            <w:tcW w:w="2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Transfers</w:t>
            </w:r>
          </w:p>
        </w:tc>
        <w:tc>
          <w:tcPr>
            <w:tcW w:w="1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20" w:type="dxa"/>
            <w:vAlign w:val="bottom"/>
            <w:shd w:val="clear" w:color="auto" w:fill="CCEEFF"/>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December 31, 2022</w:t>
            </w:r>
          </w:p>
        </w:tc>
        <w:tc>
          <w:tcPr>
            <w:tcW w:w="13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98</w:t>
            </w:r>
          </w:p>
        </w:tc>
        <w:tc>
          <w:tcPr>
            <w:tcW w:w="100" w:type="dxa"/>
            <w:vAlign w:val="bottom"/>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162"/>
        </w:trPr>
        <w:tc>
          <w:tcPr>
            <w:tcW w:w="20" w:type="dxa"/>
            <w:vAlign w:val="bottom"/>
            <w:shd w:val="clear" w:color="auto" w:fill="CCEEFF"/>
          </w:tcPr>
          <w:p>
            <w:pPr>
              <w:spacing w:after="0"/>
              <w:rPr>
                <w:sz w:val="14"/>
                <w:szCs w:val="14"/>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i w:val="1"/>
                <w:iCs w:val="1"/>
                <w:color w:val="auto"/>
              </w:rPr>
              <w:t>Engines</w:t>
            </w:r>
          </w:p>
        </w:tc>
        <w:tc>
          <w:tcPr>
            <w:tcW w:w="1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2022</w:t>
            </w:r>
          </w:p>
        </w:tc>
        <w:tc>
          <w:tcPr>
            <w:tcW w:w="13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207</w:t>
            </w:r>
          </w:p>
        </w:tc>
      </w:tr>
      <w:tr>
        <w:trPr>
          <w:trHeight w:val="208"/>
        </w:trPr>
        <w:tc>
          <w:tcPr>
            <w:tcW w:w="2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Purchases</w:t>
            </w: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96"/>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4"/>
                <w:szCs w:val="14"/>
                <w:color w:val="auto"/>
              </w:rPr>
              <w:t>Sales</w:t>
            </w:r>
          </w:p>
        </w:tc>
        <w:tc>
          <w:tcPr>
            <w:tcW w:w="13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09"/>
        </w:trPr>
        <w:tc>
          <w:tcPr>
            <w:tcW w:w="2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Transfers</w:t>
            </w:r>
          </w:p>
        </w:tc>
        <w:tc>
          <w:tcPr>
            <w:tcW w:w="1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0"/>
        </w:trPr>
        <w:tc>
          <w:tcPr>
            <w:tcW w:w="20" w:type="dxa"/>
            <w:vAlign w:val="bottom"/>
          </w:tcPr>
          <w:p>
            <w:pPr>
              <w:spacing w:after="0"/>
              <w:rPr>
                <w:sz w:val="16"/>
                <w:szCs w:val="16"/>
                <w:color w:val="auto"/>
              </w:rPr>
            </w:pPr>
          </w:p>
        </w:tc>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2022</w:t>
            </w:r>
          </w:p>
        </w:tc>
        <w:tc>
          <w:tcPr>
            <w:tcW w:w="1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184</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Aerospace Products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Aerospace Products segment develops and manufactures through a joint venture, and repairs and sells, through exclusivity arrangements, aircraft engines and aftermarket components primarily for the CFM56-7B and CFM56-5B commercial aircraft engines. Our engine and module sales are facilitated through The Module Factory, a dedicated commercial maintenance program, designed to focus on modular repair and refurbishment of CFM56-7B and CFM56-5B engines, performed by a third party. Used serviceable material is sold through our exclusive partnership with AAR Corp, who is responsible for the teardown, repair, marketing and sales of spare parts from our CFM56 engine pool. We also hold a 25% interest in the Advanced Engine Repair JV which focuses on developing new cost savings programs for engine repairs.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and Other</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the above investments, our Corporate and Other segment includes offshore energy related assets which consist of vessels and equipment that support offshore oil and gas activities and are typically subject to operating leases.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Management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Manager actively manages and monitors our portfolios of assets on an ongoing basis, and in some cases engages third parties to assist with the management of those assets. Our Manager frequently reviews the status of all of our assets, and in the case that any are returning from lease or undergoing repair, outlines our options, which may include the re-lease or sale of that asset. Our Manager plays a central role in developing and executing operational, finance and business development strategies. On a periodic basis, our Manager discusses the status of our acquired assets with our board of directors.</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some situations, we may acquire assets through a joint venture entity or own a minority position in an investment entity. In such circumstances, we will seek to protect our interests through appropriate levels of board representation, minority protections and other structural enhancements.</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and our Manager maintain relationships with operators worldwide and, through these relationships, hold direct conversations as to leasing needs and opportunities. Where helpful, we reach out to third parties who assist in leasing our assets. As an example, we often partner with Maintenance, Repair and Overhaul (“MRO”) facilities in the aviation sector to lease engines and support airlines’ fleet management needs.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 w:name="page9"/>
    <w:bookmarkEnd w:id="8"/>
    <w:p>
      <w:pPr>
        <w:jc w:val="both"/>
        <w:spacing w:after="0" w:line="262" w:lineRule="auto"/>
        <w:rPr>
          <w:sz w:val="20"/>
          <w:szCs w:val="20"/>
          <w:color w:val="auto"/>
        </w:rPr>
      </w:pPr>
      <w:r>
        <w:rPr>
          <w:rFonts w:ascii="Arial" w:cs="Arial" w:eastAsia="Arial" w:hAnsi="Arial"/>
          <w:sz w:val="16"/>
          <w:szCs w:val="16"/>
          <w:color w:val="auto"/>
        </w:rPr>
        <w:t>While we expect to hold our assets for extended periods of time, we and our Manager continually review our assets to assess whether we should sell or otherwise monetize them. Aspects that will factor into this process include relevant market conditions, the asset’s age, lease profile, relative concentration or remaining expected useful life.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Credit Process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and our Manager monitor the credit quality of our various lessees on an ongoing basis. This monitoring includes interacting with our customers regularly to monitor collections, review periodic financial statements and discuss their operating performance. Most of our lease agreements are written with conditions that require reporting on the part of our lessees, and we actively reach out to our lessees to maintain contact and monitor their liquidity positions. Furthermore, many of our leases and contractual arrangements include credit enhancement elements that provide us with additional collateral or credit support to strengthen our credit position.</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subject to concentrations of credit risk with respect to amounts due from customers on our direct finance leases and operating leases. We attempt to limit credit risk by performing ongoing credit evaluations. See “Customers.”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Customers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customers primarily consist of global operators of transportation networks and global industrial companies, including airlines and offshore energy service providers. We maintain ongoing relationships and discussions with our customers and seek to have consistent dialogue. In addition to helping us monitor the needs and quality of our customers, we believe these relationships help source additional opportunities and gain insight into attractive opportunities in the aviation and offshore energy sectors. A substantial portion of our revenue has historically been derived from a small number of customers. As of and for the year ended December 31, 2022, no customer accounted for more than 10% of our revenue and two of our customers accounted for 20% and 12% of total accounts receivable, net. We derive a significant percentage of our revenue within specific sectors from a limited number of customers. However, we do not think that we are dependent upon any particular customer, or that the loss of one or more of them would have a material adverse effect on our business or the relevant segment, because of our ability to re-lease assets at similar terms following the loss of any such customer. See “Risk Factors-Contractual defaults may adversely affect our business, prospects, financial condition, results of operations and cash flows by decreasing revenues and increasing storage, positioning, collection, recovery and lost equipment expenses.”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Competition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business of acquiring, managing and marketing aviation and offshore-equipment related assets is highly competitive. Market competition for acquisition opportunities includes traditional aviation and offshore energy companies, commercial and investment banks, as well as a growing number of non-traditional participants, such as hedge funds, private equity funds, and other private investors.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Additionally, the markets for our products and services are competitive, and we face competition from a number of sources. These competitors include engine and aircraft parts manufacturers, aircraft and aircraft engine lessors, airline and aircraft services and repair companies, aircraft spare parts distributors, offshore services providers, maritime equipment lessors and other transportation equipment lessors and operators.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compete with other market participants on the basis of industry knowledge, availability of capital, and deal structuring experience and flexibility, among other things. We believe our Manager’s experience in the aviation and offshore industries and our access to capital, in addition to our focus on diverse asset classes and customers, provides a competitive advantage versus competitors that maintain a single sector focus.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Governmental Regulations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Sustainability</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part of our strategy, we are focused on supporting the transition to a low-carbon economy and aim to provide sustainable aviation and offshore solutions by leveraging our Manager’s expertise and business and financing relationships, as well as our access to capital. Certain of our current sustainability solutions and investments are highlighted below, and we expect to continue to explore additional sustainability-related opportunities.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t>Aerospace</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previously announced, in December 2021 we entered into an agreement with AAR CORP. (NYSE: AIR) to create Serviceable Engine Products, an exclusive seven-year CFM56 used serviceable material (“USM”) partnership. The partnership aims to build USM inventory for the global aviation aftermarket and our own consumption at The Module Factory™, a dedicated commercial maintenance program, designed to focus on modular repair and refurbishment of CFM56-7B and CFM56-5B engines, performed by a third party. Through its worldwide network, AAR is expected to manage the teardown, repair, marketing and sales of spare parts from our CFM56 engine pool totaling over 200 engines and growing. We believe our partnership with AAR will help maximize the life of our engine assets and reduce our carbon footprint and environmental impact.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Human Capital Management</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Manager provides a management team and other professionals who are responsible for implementing our business strategy and performing certain services for us, subject to oversight by our board of directors. As of December 31, 2022, we also have approximately 40 employees at certain subsidiaries across our business segments. We consider our relationship with our employees to be good and we focus heavily on employee engagement. We have invested substantial time and resources in building our team, and our human capital management objectives include, as applicable, identifying, recruiting, retaining, incentivizing and integrating our existing and new employees. To facilitate attraction and retention, we strive to create a diverse, inclusive, and safe workplace, with opportunities for our employees to grow and develop in their careers, supported by strong compensation and benefits programs.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Insurance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leases generally require that our customers carry physical damage and liability insurance providing primary insurance coverage for loss and damage to our assets as well as for related cargo and third parties while the assets are on lease. In addition, in certain cases, we maintain contingent liability coverage for any claims or losses on our assets while they are on hire or otherwise in the possession of a third-party. Finally, we procure insurance for our assets when they are not on hire or are otherwise under our control.</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Conflicts of Interest</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One or more of our officers and directors have responsibilities and commitments to entities other than us. In addition, we do not have a policy that expressly prohibits our directors, officers, security holders or affiliates from engaging in business activities of the types conducted by us for their own account. See “Risk Factors-Risks Related to Our Manager-There are conflicts of interest in our relationship with our Manager.”</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key agreements, including our Management Agreement, the services and profit sharing agreement (the “Services and Profit Sharing Agreement”) with our subsidiary Fortress Transportation and Infrastructure Investors LLC and Fortress Worldwide Transportation and Infrastructure Master GP LLC (“Master GP”) and our amended and restated memorandum and articles of association (as amended from time to time, the ‘‘Articles’’) were negotiated among related parties, and their respective terms, including fees and other amounts payable, may not be as favorable to us as terms negotiated on an arm’s-length basis with unaffiliated parties. Our independent directors may not vigorously enforce the provisions of our Management Agreement against our Manager. For example, our independent directors may refrain from terminating our Manager because doing so could result in the loss of key personnel.</w:t>
      </w:r>
    </w:p>
    <w:p>
      <w:pPr>
        <w:spacing w:after="0" w:line="10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may compete with entities affiliated with our Manager or Fortress for certain target assets. From time to time, affiliates of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the sectors in which we acquire assets, each with significant current or expected capital commitments. We may co-invest with these funds in certain target assets. Fortress funds generally have a fee structure similar to ours, but the fees actually paid will vary depending on the size, terms and performance of each fund.</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Manager may determine, in its discretion, to make a particular acquisition through an investment vehicle other than us. Investment allocation decisions will reflect a variety of factors, such as a particular vehicle’s availability of capital (including financing), investment objectives and concentration limits, legal, regulatory, tax and other similar considerations, the source of the opportunity and other factors that the Manager, in its discretion, deems appropriate. Our Manager does not have an obligation to offer us the opportunity to participate in any particular investment, even if it meets our asset acquisition objectives. In addition, employees of Fortress or certain of its affiliates—including personnel providing services to or on behalf of our Manager—may perform services for Fortress affiliates that may acquire or seek to acquire aviation and offshore energy-related assets.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0497F"/>
        </w:rPr>
        <w:t>Where Readers Can Find Additional Information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FTAI Aviation Ltd. is a Cayman Islands exempted company. Our principal executive offices are located at 1345 Avenue of the Americas, New York, New York 10105. FTAI Aviation Ltd. files annual, quarterly and current reports, proxy statements and other information required by the Exchange Act, with the SEC. Our SEC filings are available to the public from the SEC’s internet site at http://www.sec.gov.</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internet site is http://www.www.ftaiaviation.com. We will make available free of charge through our internet 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in the ‘‘Investor Center - Corporate Governance’’ section are charters for our Audit Committee, Compensation Committee, Nominating Committee, as well as our Corporate Governance Guidelines, Code of Ethics for our officers, and our Code of Business Conduct and Ethics governing our directors, officers and employees. Information on, or accessible through, our website is not a part of, and is not incorporated into, this report.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1A. Risk Factors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10-K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the Company’s shares. However, these categories do overlap and should not be considered exclusive.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industries.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have in the past been exposed to increased credit risk from our customers and third parties who have obligations to us, which resulted in non-performance of contracts by our lessees and adversely impacted our business, financial condition, results of operations and cash flows. We cannot assure you that similar loss events may not occur in the future.</w:t>
      </w:r>
    </w:p>
    <w:p>
      <w:pPr>
        <w:spacing w:after="0" w:line="7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Instability in geographies where we have assets or where we derive revenue could have a material adverse effect on our business, customers, operations and financial results.</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including some assets in Russia and Ukraine. In late February 2022, Russian military forces launched significant military action against Ukraine. Sustained conflict and disruption in the region is likely. The impact to Russia and Ukraine, as well as actions taken by other countries, including new and stricter export controls and sanctions by Canada, the United Kingdom, the European Union, the U.S. and other countries and organizations against officials, individuals, regions, and industries in Russia and Ukraine, and each country’s potential response to such sanctions, tensions and military actions, could have a material adverse effect on our business and delay or prevent us from accessing certain of our assets. We are actively monitoring the security of our remaining assets in the region.</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aviation industry has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jc w:val="both"/>
        <w:spacing w:after="0" w:line="262"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8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restraints;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aviation lessees may redeliver our assets to locations where there is oversupply, which may lead to additional repositioning costs for us if we move them to areas with higher demand. Positioning expenses vary depending on geographic location, distance,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airline industry is heavily regulated, and if we fail to comply with applicable requirements, our results of operations could suffer.</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Federal Aviation Administration (“FAA”) and equivalent regulatory agencies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Governmental agencies throughout the world, including the FAA,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spacing w:after="0" w:line="8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Recent trends by China’s aviation authority to relax restrictions on airspace may be reversed, and anticipated new regulations loosening airspace restrictions may not materialize, which could impact sales prospects in China for our commercial aerospace businesses.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retirement or prolonged grounding of commercial aircraft could reduce our revenues and the value of any related inventory.</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spacing w:after="0" w:line="6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2" w:name="page13"/>
    <w:bookmarkEnd w:id="12"/>
    <w:p>
      <w:pPr>
        <w:jc w:val="both"/>
        <w:spacing w:after="0" w:line="258" w:lineRule="auto"/>
        <w:rPr>
          <w:sz w:val="20"/>
          <w:szCs w:val="20"/>
          <w:color w:val="auto"/>
        </w:rPr>
      </w:pPr>
      <w:r>
        <w:rPr>
          <w:rFonts w:ascii="Arial" w:cs="Arial" w:eastAsia="Arial" w:hAnsi="Arial"/>
          <w:sz w:val="16"/>
          <w:szCs w:val="16"/>
          <w:color w:val="auto"/>
        </w:rPr>
        <w:t>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acquire a high concentration of a particular type of asset, or concentrate our investments in a particular sector, and our business, prospects, financial condition, results of operations and cash flows could be adversely affected by changes in market demand or problems specific to that asset or sector.</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and our business and financial results could be adversely affected by sector-specific or asset-specific factors. If the market demand for a particular asset declines, it is redesigned or replaced by its manufacturer or it experiences design or technical problems, the value and rates relating to such asset may decline, and we may be unable to lease such asset on favorable terms, if at all. Any decrease in the value and rates of our assets may have a material adverse effect on our business, prospects, financial condition, results of operations and cash flows.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business of acquiring aviation assets is highly competitive. Market competition for opportunities includes traditional transportation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3" w:name="page14"/>
    <w:bookmarkEnd w:id="13"/>
    <w:p>
      <w:pPr>
        <w:jc w:val="both"/>
        <w:spacing w:after="0" w:line="260" w:lineRule="auto"/>
        <w:rPr>
          <w:sz w:val="20"/>
          <w:szCs w:val="20"/>
          <w:color w:val="auto"/>
        </w:rPr>
      </w:pPr>
      <w:r>
        <w:rPr>
          <w:rFonts w:ascii="Arial" w:cs="Arial" w:eastAsia="Arial" w:hAnsi="Arial"/>
          <w:sz w:val="16"/>
          <w:szCs w:val="16"/>
          <w:color w:val="auto"/>
        </w:rPr>
        <w:t>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inability to obtain certain components from suppliers could harm our business.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business is affected by the availability and price of the component parts that we use to maintain our products or to manufacture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revenues and profits, contract penalties or terminations, and damage to customer relationships. Further, increased costs of such components could reduce our profits if we were unable to pass along such price in-creases to our customers.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negatively impacted by environmental, social, and governance (ESG) and sustainability-related matters.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4" w:name="page15"/>
    <w:bookmarkEnd w:id="14"/>
    <w:p>
      <w:pPr>
        <w:jc w:val="both"/>
        <w:spacing w:after="0" w:line="258" w:lineRule="auto"/>
        <w:rPr>
          <w:sz w:val="20"/>
          <w:szCs w:val="20"/>
          <w:color w:val="auto"/>
        </w:rPr>
      </w:pPr>
      <w:r>
        <w:rPr>
          <w:rFonts w:ascii="Arial" w:cs="Arial" w:eastAsia="Arial" w:hAnsi="Arial"/>
          <w:sz w:val="16"/>
          <w:szCs w:val="16"/>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affected by fluctuating prices for fuel and energy.</w:t>
      </w:r>
    </w:p>
    <w:p>
      <w:pPr>
        <w:spacing w:after="0" w:line="133"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Volatility in energy prices could have a significant effect on a variety of items including, but not limited to, the economy and demand for transportation services.</w:t>
      </w:r>
    </w:p>
    <w:p>
      <w:pPr>
        <w:spacing w:after="0" w:line="30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International, political, and economic factors, events and conditions, including current sanctions against Russia related to its invasion of Ukraine,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7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7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constructions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aviation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8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2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aviation sectors which could result in additional risks and uncertainties for our business and unexpected regulatory compliance costs.</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While our existing portfolio primarily consists of assets in the aviation sector, we are actively evaluating potential acquisitions of assets and operating companies in sectors of the aviation market in which we do not currently operate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7" w:name="page18"/>
    <w:bookmarkEnd w:id="17"/>
    <w:p>
      <w:pPr>
        <w:jc w:val="both"/>
        <w:spacing w:after="0" w:line="256" w:lineRule="auto"/>
        <w:rPr>
          <w:sz w:val="20"/>
          <w:szCs w:val="20"/>
          <w:color w:val="auto"/>
        </w:rPr>
      </w:pPr>
      <w:r>
        <w:rPr>
          <w:rFonts w:ascii="Arial" w:cs="Arial" w:eastAsia="Arial" w:hAnsi="Arial"/>
          <w:sz w:val="16"/>
          <w:szCs w:val="16"/>
          <w:color w:val="auto"/>
        </w:rPr>
        <w:t>and regulations and may lead to increased litigation and regulatory risk. Many types of transportation assets, including certain aviation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7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agreements governing our indebtedness, including, but not limited to, the indentures governing our Senior Notes and the second amended and restated revolving credit facility entered into on September 20, 2022, as amended by Amendment No. 1, dated as of November 22, 2022 (the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89"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pay dividends on our ordinary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Terrorist attacks or other hostilities could negatively impact our operations and our profitability and may expose us to liability and reputational damage.</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Our leases and charters typically require payments in U.S. dollars, but many of our customers operate in other currencies; if foreign currencies devalue against the U.S. dollar, our lessees or charterers may be unable to meet their payment obligations to us in a timely manner.</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current leases and charters typically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8" w:name="page19"/>
    <w:bookmarkEnd w:id="18"/>
    <w:p>
      <w:pPr>
        <w:ind w:right="20"/>
        <w:spacing w:after="0" w:line="260" w:lineRule="auto"/>
        <w:rPr>
          <w:sz w:val="20"/>
          <w:szCs w:val="20"/>
          <w:color w:val="auto"/>
        </w:rPr>
      </w:pPr>
      <w:r>
        <w:rPr>
          <w:rFonts w:ascii="Arial" w:cs="Arial" w:eastAsia="Arial" w:hAnsi="Arial"/>
          <w:sz w:val="16"/>
          <w:szCs w:val="16"/>
          <w:color w:val="auto"/>
        </w:rPr>
        <w:t>assets. If the appraised value of such assets declines, we may be required to reduce the principal outstanding under our debt facilities or otherwise be unable to incur new borrowings.</w:t>
      </w:r>
    </w:p>
    <w:p>
      <w:pPr>
        <w:spacing w:after="0" w:line="10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101"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 international, regional and/or national requirements associated with climate change regulations also create economic and regulatory uncertainty.</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discontinuation of the LIBOR benchmark interest rate may have an impact on our business.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The IBA ceased publication of one-week and two-month USD LIBOR settings after December 31, 2021 and intends to cease publishing the remaining USD LIBOR settings after June 30, 2023.</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9" w:name="page20"/>
    <w:bookmarkEnd w:id="19"/>
    <w:p>
      <w:pPr>
        <w:jc w:val="both"/>
        <w:spacing w:after="0" w:line="250" w:lineRule="auto"/>
        <w:rPr>
          <w:sz w:val="20"/>
          <w:szCs w:val="20"/>
          <w:color w:val="auto"/>
        </w:rPr>
      </w:pPr>
      <w:r>
        <w:rPr>
          <w:rFonts w:ascii="Arial" w:cs="Arial" w:eastAsia="Arial" w:hAnsi="Arial"/>
          <w:sz w:val="16"/>
          <w:szCs w:val="16"/>
          <w:color w:val="auto"/>
        </w:rPr>
        <w:t>securities in the repurchase agreement market. At this time, it is not possible to predict how markets will respond to SOFR or other alternative reference rates.</w:t>
      </w:r>
    </w:p>
    <w:p>
      <w:pPr>
        <w:spacing w:after="0" w:line="2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5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corporate affairs are governed by our Articles, the Companies Act (As Revised) of the Cayman Islands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0" w:name="page21"/>
    <w:bookmarkEnd w:id="20"/>
    <w:p>
      <w:pPr>
        <w:jc w:val="both"/>
        <w:spacing w:after="0" w:line="256" w:lineRule="auto"/>
        <w:rPr>
          <w:sz w:val="20"/>
          <w:szCs w:val="20"/>
          <w:color w:val="auto"/>
        </w:rPr>
      </w:pPr>
      <w:r>
        <w:rPr>
          <w:rFonts w:ascii="Arial" w:cs="Arial" w:eastAsia="Arial" w:hAnsi="Arial"/>
          <w:sz w:val="16"/>
          <w:szCs w:val="16"/>
          <w:color w:val="auto"/>
        </w:rPr>
        <w:t>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9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Financial Action Task Force has increased monitoring of the Cayman Islands.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February 2021, the Cayman Islands was added to the Financial Action Task Force (‘‘FATF’’) list of jurisdictions whose anti-money laundering/counter-terrorist and proliferation financing practices are under increased monitoring, commonly referred to as the ‘‘FATF grey list.’’ The FATF was established in July 1989 by a Group of Seven (G-7) Summit and is a task force composed of member governments who agree to fund the FATF on temporary basis with specific goals and projects– it is an international policy-making body that sets international anti-money laundering standards and counter-terrorist financing measures. The FATF monitors countries to ensure they implement the FATF Standards fully and effectively and holds countries to account that do not comply. When the FATF places a jurisdiction under increased monitoring, it means the country has committed to resolve swiftly the identified strategic deficiencies within agreed timeframes and is subject to increased monitoring during that timeframe. Following its October 2022 plenary, it has been confirmed that the Cayman Islands has fully satisfied 62 out of 63 FATF recommendations and must now only demonstrate that it is prosecuting all types of money laundering cases in line with the jurisdiction’s risk profile. The Cayman Islands' progress towards satisfying this final recommended action will be assessed at the next FATF Plenary meeting in February 2023. Despite the progress the Cayman Islands has made on satisfying the final outstanding recommendation, it is still unclear how long this designation will remain in place and what ramifications, if any, the designation will have for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Cayman Islands are included in the EU AML High-Risk Third Countries List.</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March 13, 2022, the European Commission (‘‘EC’’) updated its list of ’high-risk third countries’ (‘‘EU AML List’’) identified as having strategic deficiencies in their anti-money laundering/counter-terrorist financing regimes to add nine countries, including the Cayman Islands. The EC has noted it is committed to there being a greater alignment between the EU AML List and the FATF listing process. The addition of the Cayman Islands to the EU AML List is a direct result of the inclusion of the Cayman Islands on the FATF grey list in February 2021. It is unclear how long this designation will remain in place and what ramifications, if any, the designation will have for the Company. Our assets are exposed to unplanned interruptions caused by events outside of our control which may disrupt our business and cause damage or losses that may not be adequately covered by insurance.</w:t>
      </w:r>
    </w:p>
    <w:p>
      <w:pPr>
        <w:spacing w:after="0" w:line="7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Projects in the aerospace products and services sector are exposed to a variety of unplanned interruptions which could cause our results of operations to suffer.</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Projects in the aerospace products and services sector are exposed to unplanned interruptions caused by breakdown or failure of equipment, aging infrastructure, employee error or contractor or subcontractor failure, limitations that may be imposed by equipment conditions or environmental, safety or other regulatory requirements, fuel supply or fuel transportation reductions or interruptions, labor disputes, difficulties with the implementation or operation of information systems,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officers and other individuals who perform services for us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payments distributed to Master GP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SoftBank Merger, Fortress operates within SoftBank as an independent business headquartered in New York.</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4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Management Agreement and the Services and Profit Sharing Agreement and our Articles were negotiated among affiliated parties, and their terms, including fees and other amounts payable, may not be as favorable to us as if they had been negotiated with an unaffiliated third-party.</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invest in aviation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some of our directors and officers are also directors or officers of FTAI Infrastructure, Inc. (“FTAI Infrastructure”). Although we have the same Manager, we may compete with entities affiliated with our Manager or Fortress for certain target assets. From time to time, entities affiliated with or managed by our Manager or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aviation assets. Fortress funds generally have a fee structure similar to ours, but the fees actually paid will vary depending on the size, terms and performance of each fund.</w:t>
      </w: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operating companies similar to us or pooled investment vehicles that invest in assets that meet our asset acquisition objectives. Our Manager has also engaged in additional transportation and infrastructure related management with FTAI Infrastructure in our recent spin-off of our infrastructure assets, and may be involved in other investment opportunities in the future, any of which may compete with us for investments or result in a change in our current investment strategy. In addition, our Articles provide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6"/>
          <w:szCs w:val="16"/>
          <w:color w:val="auto"/>
        </w:rPr>
        <w:t>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structure of our Manager’s and Master GP’s compensation arrangements may have unintended consequences for us. We have agreed to pay our Manager a management fee and Master GP is entitled to receive incentive payments from the Company or its subsidiaries that are each based on different measures of performance. Consequently, there may be conflicts in the incentives of our Manager to generate attractive risk-adjusted returns for us. In addition, because Master GP and our Manager are both affiliates of Fortress, the income incentive payment paid to Master GP may cause our Manager to place undue emphasis on the maximization of earnings, including through the use of leverage, at the expense of other objectives, such as preservation of capital, to achieve higher incentive payments. Investments with higher yield potential are generally riskier or more speculative than investments with lower yield potential. This could result in increased risk to the value of our portfolio of assets and our ordinary shares.</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will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ordinary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6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7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3" w:name="page24"/>
    <w:bookmarkEnd w:id="23"/>
    <w:p>
      <w:pPr>
        <w:jc w:val="both"/>
        <w:spacing w:after="0" w:line="254"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the Company to be a passive foreign investment company (“PFIC”) and it could be a controlled foreign corporation (“CFC”) for U.S.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 income tax purposes, which may result in adverse tax considerations for U.S. shareholders.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We expect the Company to be treated as a PFIC and it could be treated as a CFC for U.S. federal income tax purposes. If you are a U.S. person and do not make a valid qualified electing fund (“QEF”) election with respect to us and each of our PFIC subsidiaries, then, unless we are a CFC and you own 10% or more of our shares (by vote or value), you would generally be subject to special deferred tax with respect to certain distributions on our shares, any gain realized on a disposition of our shares, and certain other events. The effect of this deferred tax could be materially adverse to you. Alternatively, if you are such a shareholder and make a valid QEF election for us and each of our PFIC subsidiaries, or if we are a CFC and you own 10% or more of our shares (by vote or value), you will generally not be subject to those taxes, but could recognize taxable income in a taxable year with respect to our shares in excess of any distributions that we make to you in that year, thus giving rise to so called “phantom income” and to a potential out-of-pocket tax liability. No assurances can be given that any given shareholder will be able to make a valid QEF election with respect to us or our PFIC subsidiaries. See </w:t>
      </w:r>
      <w:r>
        <w:rPr>
          <w:rFonts w:ascii="Arial" w:cs="Arial" w:eastAsia="Arial" w:hAnsi="Arial"/>
          <w:sz w:val="16"/>
          <w:szCs w:val="16"/>
          <w:i w:val="1"/>
          <w:iCs w:val="1"/>
          <w:color w:val="auto"/>
        </w:rPr>
        <w:t>“U.S. Federal Income Tax</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 —Considerations for U.S. Holders—PFIC Status and Related Tax Considerations.”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Assuming we are a PFIC, distributions made by us to a U.S. person will generally not be eligible for taxation at reduced tax rates generally applicable to “qualified dividends” paid by certain U.S. corporations and “qualified foreign corporations” to individuals. The more favorable rates applicable to other corporate dividends could cause individuals to perceive investment in our shares to be relatively less attractive than investment in the shares of other corporations, which could adversely affect the value of our shares.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Investors should consult their tax advisors regarding the potential impact of these rules on their investment in us.</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To the extent we recognize income treated as effectively connected with a trade or business in the United States, we would be subject to U.S. federal income taxation on a net income basis, which could adversely affect our business and result in decreased cash available for distribution to our shareholders.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we are treated as engaged in a trade or business in the United States, the portion of our net income, if any, that is “effectively connected” with such trade or business would be subject to U.S. federal income taxation at maximum corporate rates, currently 21%. In addition, we may be subject to an additional U.S. federal branch profits tax on our effectively connected earnings and profits at a rate of 30%. The imposition of such taxes could adversely affect our business and would result in decreased cash available for distribution to our shareholders. Although we (or one or more of our non-U.S. corporate subsidiaries) are expected to be treated as engaged in a U.S. trade or business, it is currently expected that only a small portion of our taxable income will be treated as effectively connected with such U.S. trade or business. However, no assurance can be given that the amount of effectively connected income will not be greater than currently expected, whether due to a change in our operations or otherwise.</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If there is not sufficient trading in our shares, or if 50% of our shares are held by certain 5% shareholders, we could lose our eligibility for an exemption from U.S. federal income taxation on rental income from our aircraft or ships used in “international traffic” and could be subject to U.S. federal income taxation which would adversely affect our business and result in decreased cash available for distribution to our shareholders.</w:t>
      </w:r>
    </w:p>
    <w:p>
      <w:pPr>
        <w:spacing w:after="0" w:line="29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expect that we will be eligible for an exemption under Section 883 of the Internal Revenue Code of 1986, as amended (the “Code”), which provides an exemption from U.S. federal income taxation with respect to rental income derived from aircraft and ships used in international traffic by certain foreign corporations. No assurances can be given that we will continue to be eligible for this exemption as changes in our ownership or the amount of our shares that are traded could cause us to cease to be eligible for such exemption. To qualify for this exemption in respect of rental income, the lessor of the aircraft or ships must be organized in a country that grants a comparable exemption to U.S. lessors. The Cayman Islands and the Marshall Islands grant such exemptions. Additionally, certain other requirements must be satisfied. We can satisfy these requirements in any year if, for more than half the days of such year, our shares are primarily and regularly traded on a recognized exchange and certain shareholders, each of whom owns 5% or more of our shares (applying certain attribution rules), do not collectively own more than 50% of our shares. Our shares will be considered to be primarily and regularly traded on a recognized exchange in any year if: (i) the number of trades in our shares effected on such recognized stock exchanges exceed the number of our shares (or direct interests in our shares) that are traded during the year on all securities markets; (ii) trades in our shares are effected on such stock exchanges in more than de minimis quantities on at least 60 days during every calendar quarter in the year; and (iii) the aggregate number of our shares traded on such stock exchanges during the taxable year is at least 10% of the average number of our shares outstanding in that class during that year. If we were not eligible for the exemption under Section 883 of the Code, we expect that our U.S. source rental income would generally be subject to U.S. federal taxation, on a gross income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4" w:name="page25"/>
    <w:bookmarkEnd w:id="24"/>
    <w:p>
      <w:pPr>
        <w:jc w:val="both"/>
        <w:spacing w:after="0" w:line="256" w:lineRule="auto"/>
        <w:rPr>
          <w:sz w:val="20"/>
          <w:szCs w:val="20"/>
          <w:color w:val="auto"/>
        </w:rPr>
      </w:pPr>
      <w:r>
        <w:rPr>
          <w:rFonts w:ascii="Arial" w:cs="Arial" w:eastAsia="Arial" w:hAnsi="Arial"/>
          <w:sz w:val="16"/>
          <w:szCs w:val="16"/>
          <w:color w:val="auto"/>
        </w:rPr>
        <w:t>at a rate of not in excess of 4% as provided in Section 887 of the Code. If, contrary to expectations, we or certain of our non-U.S. subsidiaries did not comply with certain administrative guidelines of the U.S. Internal Revenue Service (the “IRS”), such that 90% or more of the U.S. source rental income of the Company or any of such subsidiaries were attributable to the activities of personnel based in the United States (in the case of bareboat leases), or from “regularly scheduled transportation” as defined in such administrative guidelines (in the case of time charter leases), our, or such subsidiary’s, U.S. source rental income would be treated as income effectively connected with the conduct of a trade or business in the United States. In such case, such U.S. source rental income would be subject to U.S. federal income taxation at the maximum corporate rate as well as state and local taxation. In addition, the Company or such subsidiary would be subject to the U.S. federal branch profits tax on its effectively connected earnings and profits at a rate of 30%. The imposition of such taxes could adversely affect our business and would result in decreased cash available for distribution to our shareholders.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subsidiaries may become subject to unanticipated tax liabilities that may have a material adverse effect on our results of operations.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we or our subsidiaries are subject to greater taxation than we currently anticipate. Further, the Organisation for Economic Co-operation and Development (the “OECD”) is conducting a project focused on base erosion and profit shifting in international structures, which seeks to establish certain international standards for taxing the worldwide income of multinational companies. In addition, the OECD is working on a “BEPS 2.0” initiative, which is aimed at (i) shifting taxing rights to the jurisdiction of the consumer and (ii) ensuring all companies pay a global minimum tax. On October 8, 2021, the OECD announced an agreement among over 140 countries delineating an implementation plan, on December 20, 2021, the OECD released model rules for the domestic implementation of a 15% global minimum tax, on December 15, 2022, the member states of the European Union unanimously voted to adopt the OECD’s minimum tax rules and phase them into national law, and on February 2, 2023 the OECD released technical guidance on the global minimum tax which was agreed by consensus of the BEPS 2.0 signatory jurisdictions. Legislatures in multiple countries outside of the EU have also drafted legislation consistent with the OECD’s minimum tax proposal.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 In addition, a portion of certain of our or our non-U.S. corporate subsidiaries’ income is treated as effectively connected with a U.S. trade or business and is accordingly subject to U.S. federal income tax or may be subject to gross-basis U.S. withholding tax. It is possible that the IRS could assert that a greater portion of our or any such non-U.S. subsidiaries’ income is effectively connected income that should be subject to U.S. federal income tax or subject to withholding tax.</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The market price and trading volume of our ordinary and preferred shares may be volatile, which could result in rapid and substantial losses for our shareholders.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market price of our ordinary and preferred shares may be highly volatile and could be subject to wide fluctuations. In addition, the trading volume in our ordinary and preferred shares may fluctuate and cause significant price variations to occur. If the market price of our ordinary or preferred shares declines significantly, you may be unable to resell your shares at or above your purchase price, if at all. The market price of our ordinary and preferred shares may fluctuate or decline significantly in the future. Some of the factors that could negatively affect our share price or result in fluctuations in the price or trading volume of our shares include:</w:t>
      </w:r>
    </w:p>
    <w:p>
      <w:pPr>
        <w:spacing w:after="0" w:line="91"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failure of securities analysts to cover our ordinary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whether we declare distributions on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5" w:name="page26"/>
    <w:bookmarkEnd w:id="25"/>
    <w:p>
      <w:pPr>
        <w:jc w:val="both"/>
        <w:spacing w:after="0" w:line="262"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ordinary and preferred shares.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increase in market interest rates may have an adverse effect on the market price of our shares.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spacing w:after="0" w:line="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3,903,010 ordinary shares in connection with equity offerings. In the future, upon the successful completion of additional offerings of our ordinary shares or other equity securities (including securities issued as consideration in an acquisition), we will grant to our Manager options to purchase ordinary shares in an amount equal to 10% of the number of ordinary shares being sold in such offerings (or if the issuance relates to equity securities other than our ordinary shares, options to purchase a number of ordinary shares equal to 10% of the gross capital raised in the equity issuance divided by the fair market value of an ordinary share as of the date of the issuance), with an exercise price equal to the offering price per share paid by the public or other ultimate purchaser or attributed to such securities in connection with an acquisition (or the fair market value of an ordinary share as of the date of the equity issuance if it relates to equity securities other than our ordinary shares), and any such offering or the exercise of the option in connection with such offering would cause dilution.</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ordinary shares for issuance under the Incentive Plan. As of December 31, 2022, rights relating to 1,720,316 of our ordinary shares were outstanding under the Incentive Plan. In the future on the date of any equity issuance by us during the remaining portion of the ten-year term of the Incentive Plan (including in respect of securities issued as consideration in an acquisition), the maximum number of shares available for issuance under the Plan will be increased to include an additional number of ordinary shares equal to ten percent (10%) of either (i) the total number of ordinary shares newly issued by us in such equity issuance or (ii) if such equity issuance relates to equity securities other than our ordinary shares, a number of our ordinary shares equal to 10% of (A) the gross capital raised in an equity issuance of equity securities other than ordinary shares during the ten-year term of the Incentive Plan, divided by (B) the fair market value of an ordinary share as of the date of such equity issuance.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ordinary shares could adversely affect the market price of our ordinary shares.</w:t>
      </w:r>
    </w:p>
    <w:p>
      <w:pPr>
        <w:spacing w:after="0" w:line="13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Sales of substantial amounts of our ordinary shares in the public market, or the perception that such sales might occur, could adversely affect the market price of our ordinary shares. The issuance of our ordinary shares in connection with property, portfolio or business acquisitions or the exercise of outstanding options or otherwise could also have an adverse effect on the market price of our ordinary shares.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6" w:name="page27"/>
    <w:bookmarkEnd w:id="26"/>
    <w:p>
      <w:pPr>
        <w:jc w:val="both"/>
        <w:spacing w:after="0" w:line="275"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ordinary shares upon our liquidation, and future issuances of equity or equity-related securities, which would dilute the holdings of our existing ordinary shareholders and may be senior to our ordinary shares for the purposes of making distributions, periodically or upon liquidation, may negatively affect the market price of our ordinary shares.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ordinary shareholders. Any future incurrence or issuance of debt would increase our interest cost and could adversely affect our results of operations and cash flows. We are not required to offer any additional equity securities to existing ordinary shareholders on a preemptive basis. Therefore, additional issuances of ordinary shares, directly or through convertible or exchangeable securities warrants or options, will dilute the holdings of our existing ordinary shareholders and such issuances, or the perception of such issuances, may reduce the market price of our ordinary shares. Any preferred shares issued by us would likely have a preference on distribution payments, periodically or upon liquidation, which could eliminate or otherwise limit our ability to make distributions to ordinary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ordinary shareholders bear the risk that our future incurrence or issuance of debt or issuance of equity or equity-related securities will adversely affect the market price of our ordinary shares.</w:t>
      </w:r>
    </w:p>
    <w:p>
      <w:pPr>
        <w:spacing w:after="0" w:line="7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53"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are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our existing indebtedness does, and our future indebtedness may, limit our ability to pay dividends on our ordinary and preferred shares. Moreover, pursuant to the Services and Profit Sharing Agreement, Master GP is entitled to receive incentive payments before any amounts are distributed by us based both on our consolidated net income and capital gains income in each fiscal quarter and for each fiscal year, respectively. Furthermore, the terms of our preferred shares generally prevent us from declaring or paying dividends on or repurchasing our ordinary shares or other junior capital unless all accrued distributions on such preferred shares have been paid in full.</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Articles could delay or prevent a change in control.</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Provisions in our Articles may make it more difficult and expensive for a third party to acquire control of us even if a change of control would be beneficial to the interests of our shareholders. For example, our Articles provides for a staggered board, requires advance notice for proposals by shareholders and nominations, places limitations on convening shareholder meetings, and authorizes the issuance of preferred shares that could be issued by our board of directors to thwart a takeover attempt. The market price of our shares could be adversely affected to the extent that provisions of our operating agreement discourage potential takeover attempts that our shareholders may favor.</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ordinary shares, our share price and trading volume could decline.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trading market for our ordinary shares are influenced by the research and reports that industry or securities analysts publish about us or our business. If any of the analysts who cover us downgrades our ordinary units or publishes inaccurate or unfavorable research about our business, our ordinary share price may decline. If analysts cease coverage of us or fail to regularly publish reports on us, we could lose visibility in the financial markets, which in turn could cause our ordinary share price or trading volume to decline and our ordinary shares to be less liquid.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1B. Unresolved Staff Comments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have no unresolved staff comments.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00497F"/>
        </w:rPr>
        <w:t>Item 2. Properties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An affiliate of our Manager leases principal executive offices at 1345 Avenue of the Americas, New York, NY 10105. We also lease office space from an affiliate of our Manager in Ireland and Dubai. Additionally, our aviation leasing business and offshore energy business lease office space in New York, Florida, Wales and Singapore, respectively. We believe that our office facilities and properties are suitable and adequate for our business as it is contemplated to be conducted.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3. Legal Proceedings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4. Mine Safety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ind w:left="5340"/>
        <w:spacing w:after="0"/>
        <w:rPr>
          <w:sz w:val="20"/>
          <w:szCs w:val="20"/>
          <w:color w:val="auto"/>
        </w:rPr>
      </w:pPr>
      <w:r>
        <w:rPr>
          <w:rFonts w:ascii="Arial" w:cs="Arial" w:eastAsia="Arial" w:hAnsi="Arial"/>
          <w:sz w:val="16"/>
          <w:szCs w:val="16"/>
          <w:b w:val="1"/>
          <w:bCs w:val="1"/>
          <w:color w:val="00497F"/>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5. Market for Registrant's Common Equity, Related Stockholder Matters and Issuer Purchases of Equity Securities</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ordinary shares were previously listed on the NYSE from May 15, 2015, the date of the IPO. Our ordinary shares were transferred from the NYSE to The Nasdaq Global Select Market on April 26, 2022, continuing to be listed under the ticker symbol “FTAI”. As of February 22, 2023, there were approximately 17 record holders of our ordinary shares. This figure does not reflect the beneficial ownership of shares held in nominee name.</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Although we currently intend to continue to pay regular quarterly dividends to holders of our ordinary shares, we may change our dividend policy at any time and no assurances can be given that any future dividends will be paid or, if paid, as to the amounts or timing. The declaration and payment of dividends to holders of our ordinary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In addition, our existing indebtedness does, and our future indebtedness may, limit our ability to pay dividends on our ordinary and preferred shares.</w:t>
      </w:r>
    </w:p>
    <w:p>
      <w:pPr>
        <w:spacing w:after="0" w:line="91"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On February 23, 2023, our Board of Directors declared a cash dividend on our ordinary shares of $0.30 per share for the quarter ended December 31, 2022, payable on March 22, 2023 to the holders of record on March 10, 2023.</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Nonqualified Stock Option and Incentive Award Plan</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2015, in connection with the IPO, we established a Nonqualified Stock Option and Incentive Award Plan (“Incentive Plan”) referred to then as the Fortress Transportation and Infrastructure Investors LLC Nonqualified Stock Option and Incentive Award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 On November 10, 2022, in connection with the Merger, the Incentive Plan was assumed by FTAI Aviation Ltd. and renamed the FTAI Aviation Ltd. Nonqualified Stock Option and Incentive Award Plan, and on February 23, 2023, the Incentive Plan was amended to provide for the ability to award equity compensation awards in the form of restricted stock units in addition to the other forms of award described above. As of December 31, 2022, the Incentive Plan provides for the issuance of up to 29.8 million shares.</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the total number of outstanding securities in the Incentive Plan and the number of securities remaining for future issuance, as well as the weighted average strike price of all outstanding securities as of December 31, 2022.</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73" w:lineRule="exact"/>
        <w:rPr>
          <w:sz w:val="20"/>
          <w:szCs w:val="20"/>
          <w:color w:val="auto"/>
        </w:rPr>
      </w:pPr>
    </w:p>
    <w:p>
      <w:pPr>
        <w:ind w:left="20" w:right="40"/>
        <w:spacing w:after="0" w:line="239" w:lineRule="auto"/>
        <w:rPr>
          <w:sz w:val="20"/>
          <w:szCs w:val="20"/>
          <w:color w:val="auto"/>
        </w:rPr>
      </w:pPr>
      <w:r>
        <w:rPr>
          <w:rFonts w:ascii="Arial" w:cs="Arial" w:eastAsia="Arial" w:hAnsi="Arial"/>
          <w:sz w:val="14"/>
          <w:szCs w:val="14"/>
          <w:color w:val="auto"/>
        </w:rPr>
        <w:t>Equity compensation plans approved by security holders</w:t>
      </w:r>
    </w:p>
    <w:p>
      <w:pPr>
        <w:spacing w:after="0" w:line="17" w:lineRule="exact"/>
        <w:rPr>
          <w:sz w:val="20"/>
          <w:szCs w:val="20"/>
          <w:color w:val="auto"/>
        </w:rPr>
      </w:pPr>
    </w:p>
    <w:p>
      <w:pPr>
        <w:ind w:left="20"/>
        <w:spacing w:after="0" w:line="239" w:lineRule="auto"/>
        <w:rPr>
          <w:sz w:val="20"/>
          <w:szCs w:val="20"/>
          <w:color w:val="auto"/>
        </w:rPr>
      </w:pPr>
      <w:r>
        <w:rPr>
          <w:rFonts w:ascii="Arial" w:cs="Arial" w:eastAsia="Arial" w:hAnsi="Arial"/>
          <w:sz w:val="14"/>
          <w:szCs w:val="14"/>
          <w:color w:val="auto"/>
        </w:rPr>
        <w:t>Equity compensation plans not approved by security holders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Number of securities to be issued</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Weighted-average exercise price of</w:t>
            </w:r>
          </w:p>
        </w:tc>
        <w:tc>
          <w:tcPr>
            <w:tcW w:w="28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Number of securities remaining available</w:t>
            </w:r>
          </w:p>
        </w:tc>
      </w:tr>
      <w:tr>
        <w:trPr>
          <w:trHeight w:val="148"/>
        </w:trPr>
        <w:tc>
          <w:tcPr>
            <w:tcW w:w="2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upon exercise of outstanding 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outstanding options, warrants, and</w:t>
            </w:r>
          </w:p>
        </w:tc>
        <w:tc>
          <w:tcPr>
            <w:tcW w:w="2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for future issuance under equity</w:t>
            </w:r>
          </w:p>
        </w:tc>
      </w:tr>
      <w:tr>
        <w:trPr>
          <w:trHeight w:val="189"/>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rights</w:t>
            </w:r>
          </w:p>
        </w:tc>
        <w:tc>
          <w:tcPr>
            <w:tcW w:w="100" w:type="dxa"/>
            <w:vAlign w:val="bottom"/>
          </w:tcPr>
          <w:p>
            <w:pPr>
              <w:spacing w:after="0"/>
              <w:rPr>
                <w:sz w:val="16"/>
                <w:szCs w:val="16"/>
                <w:color w:val="auto"/>
              </w:rPr>
            </w:pPr>
          </w:p>
        </w:tc>
        <w:tc>
          <w:tcPr>
            <w:tcW w:w="28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rPr>
              <w:t xml:space="preserve">compensation plans </w:t>
            </w:r>
            <w:r>
              <w:rPr>
                <w:rFonts w:ascii="Arial" w:cs="Arial" w:eastAsia="Arial" w:hAnsi="Arial"/>
                <w:sz w:val="18"/>
                <w:szCs w:val="18"/>
                <w:b w:val="1"/>
                <w:bCs w:val="1"/>
                <w:color w:val="auto"/>
                <w:vertAlign w:val="superscript"/>
              </w:rPr>
              <w:t>(1)</w:t>
            </w:r>
          </w:p>
        </w:tc>
      </w:tr>
      <w:tr>
        <w:trPr>
          <w:trHeight w:val="319"/>
        </w:trPr>
        <w:tc>
          <w:tcPr>
            <w:tcW w:w="2640" w:type="dxa"/>
            <w:vAlign w:val="bottom"/>
          </w:tcPr>
          <w:p>
            <w:pPr>
              <w:jc w:val="right"/>
              <w:spacing w:after="0"/>
              <w:rPr>
                <w:sz w:val="20"/>
                <w:szCs w:val="20"/>
                <w:color w:val="auto"/>
              </w:rPr>
            </w:pPr>
            <w:r>
              <w:rPr>
                <w:rFonts w:ascii="Arial" w:cs="Arial" w:eastAsia="Arial" w:hAnsi="Arial"/>
                <w:sz w:val="14"/>
                <w:szCs w:val="14"/>
                <w:color w:val="auto"/>
              </w:rPr>
              <w:t>1,735,316</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540" w:type="dxa"/>
            <w:vAlign w:val="bottom"/>
          </w:tcPr>
          <w:p>
            <w:pPr>
              <w:jc w:val="right"/>
              <w:ind w:right="8"/>
              <w:spacing w:after="0"/>
              <w:rPr>
                <w:sz w:val="20"/>
                <w:szCs w:val="20"/>
                <w:color w:val="auto"/>
              </w:rPr>
            </w:pPr>
            <w:r>
              <w:rPr>
                <w:rFonts w:ascii="Arial" w:cs="Arial" w:eastAsia="Arial" w:hAnsi="Arial"/>
                <w:sz w:val="14"/>
                <w:szCs w:val="14"/>
                <w:color w:val="auto"/>
              </w:rPr>
              <w:t>22.67</w:t>
            </w:r>
          </w:p>
        </w:tc>
        <w:tc>
          <w:tcPr>
            <w:tcW w:w="100" w:type="dxa"/>
            <w:vAlign w:val="bottom"/>
          </w:tcPr>
          <w:p>
            <w:pPr>
              <w:spacing w:after="0"/>
              <w:rPr>
                <w:sz w:val="24"/>
                <w:szCs w:val="24"/>
                <w:color w:val="auto"/>
              </w:rPr>
            </w:pPr>
          </w:p>
        </w:tc>
        <w:tc>
          <w:tcPr>
            <w:tcW w:w="2860" w:type="dxa"/>
            <w:vAlign w:val="bottom"/>
          </w:tcPr>
          <w:p>
            <w:pPr>
              <w:jc w:val="right"/>
              <w:ind w:right="8"/>
              <w:spacing w:after="0"/>
              <w:rPr>
                <w:sz w:val="20"/>
                <w:szCs w:val="20"/>
                <w:color w:val="auto"/>
              </w:rPr>
            </w:pPr>
            <w:r>
              <w:rPr>
                <w:rFonts w:ascii="Arial" w:cs="Arial" w:eastAsia="Arial" w:hAnsi="Arial"/>
                <w:sz w:val="14"/>
                <w:szCs w:val="14"/>
                <w:color w:val="auto"/>
              </w:rPr>
              <w:t>29,817,943</w:t>
            </w:r>
          </w:p>
        </w:tc>
      </w:tr>
      <w:tr>
        <w:trPr>
          <w:trHeight w:val="343"/>
        </w:trPr>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1,735,316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29,817,943</w:t>
            </w:r>
          </w:p>
        </w:tc>
      </w:tr>
      <w:tr>
        <w:trPr>
          <w:trHeight w:val="26"/>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-170815</wp:posOffset>
            </wp:positionV>
            <wp:extent cx="708914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9140" cy="15430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-607695</wp:posOffset>
            </wp:positionV>
            <wp:extent cx="708914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9140" cy="22288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2620" w:space="200"/>
            <w:col w:w="8420"/>
          </w:cols>
          <w:pgMar w:left="320" w:top="891" w:right="33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164" w:lineRule="exact"/>
        <w:rPr>
          <w:sz w:val="20"/>
          <w:szCs w:val="20"/>
          <w:color w:val="auto"/>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Excludes 25,000 stock options and 157,057 ordinary shares issued to directors as compensation.</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8" w:lineRule="exact"/>
        <w:rPr>
          <w:rFonts w:ascii="Arial" w:cs="Arial" w:eastAsia="Arial" w:hAnsi="Arial"/>
          <w:sz w:val="9"/>
          <w:szCs w:val="9"/>
          <w:color w:val="auto"/>
        </w:rPr>
      </w:pPr>
    </w:p>
    <w:p>
      <w:pPr>
        <w:ind w:left="5540"/>
        <w:spacing w:after="0"/>
        <w:rPr>
          <w:rFonts w:ascii="Arial" w:cs="Arial" w:eastAsia="Arial" w:hAnsi="Arial"/>
          <w:sz w:val="9"/>
          <w:szCs w:val="9"/>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color w:val="00497F"/>
        </w:rPr>
        <w:t>Performance Graph</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following graph compares the cumulative total return for our ordinary shares (share price change plus reinvested dividends) with the comparable return of three indices: S&amp;P Mid Cap 400, Russell 2000, and Dow Jones US Transportation Services. The graph assumes an investment of $100 in our ordinary shares and in each of the indices on December 31, 2017, and that all dividends were reinvested. The past performance of our shares is not an indication of future performance.</w:t>
      </w:r>
    </w:p>
    <w:p>
      <w:pPr>
        <w:spacing w:after="0" w:line="67"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auto"/>
        </w:rPr>
        <w:t>COMPARISON OF CUMULATIVE TOTAL RETURN*</w:t>
      </w:r>
    </w:p>
    <w:p>
      <w:pPr>
        <w:spacing w:after="0" w:line="108" w:lineRule="exact"/>
        <w:rPr>
          <w:sz w:val="20"/>
          <w:szCs w:val="20"/>
          <w:color w:val="auto"/>
        </w:rPr>
      </w:pPr>
    </w:p>
    <w:p>
      <w:pPr>
        <w:jc w:val="center"/>
        <w:ind w:left="800" w:right="60"/>
        <w:spacing w:after="0" w:line="287" w:lineRule="auto"/>
        <w:rPr>
          <w:sz w:val="20"/>
          <w:szCs w:val="20"/>
          <w:color w:val="auto"/>
        </w:rPr>
      </w:pPr>
      <w:r>
        <w:rPr>
          <w:rFonts w:ascii="Arial" w:cs="Arial" w:eastAsia="Arial" w:hAnsi="Arial"/>
          <w:sz w:val="18"/>
          <w:szCs w:val="18"/>
          <w:b w:val="1"/>
          <w:bCs w:val="1"/>
          <w:color w:val="auto"/>
        </w:rPr>
        <w:t>Among FTAI Aviation Ltd., the S&amp;P Midcap 400 Index, the Russell 2000 Index and the Dow Jones US Transportation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43180</wp:posOffset>
            </wp:positionV>
            <wp:extent cx="5837555" cy="3257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755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*$100 each invested on December 31, 2017 in stock and index, including reinvestment of dividends. Fiscal year ending December 31.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(in whole dollars)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Index</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r>
      <w:tr>
        <w:trPr>
          <w:trHeight w:val="202"/>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Ltd.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156.58</w:t>
            </w:r>
          </w:p>
        </w:tc>
      </w:tr>
      <w:tr>
        <w:trPr>
          <w:trHeight w:val="197"/>
        </w:trPr>
        <w:tc>
          <w:tcPr>
            <w:tcW w:w="4360" w:type="dxa"/>
            <w:vAlign w:val="bottom"/>
          </w:tcPr>
          <w:p>
            <w:pPr>
              <w:ind w:left="20"/>
              <w:spacing w:after="0"/>
              <w:rPr>
                <w:sz w:val="20"/>
                <w:szCs w:val="20"/>
                <w:color w:val="auto"/>
              </w:rPr>
            </w:pPr>
            <w:r>
              <w:rPr>
                <w:rFonts w:ascii="Arial" w:cs="Arial" w:eastAsia="Arial" w:hAnsi="Arial"/>
                <w:sz w:val="14"/>
                <w:szCs w:val="14"/>
                <w:color w:val="auto"/>
              </w:rPr>
              <w:t>S&amp;P Midcap 400</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88.92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159.12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138.34</w:t>
            </w:r>
          </w:p>
        </w:tc>
      </w:tr>
      <w:tr>
        <w:trPr>
          <w:trHeight w:val="208"/>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Russell 2000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122.41</w:t>
            </w:r>
          </w:p>
        </w:tc>
      </w:tr>
      <w:tr>
        <w:trPr>
          <w:trHeight w:val="191"/>
        </w:trPr>
        <w:tc>
          <w:tcPr>
            <w:tcW w:w="4360" w:type="dxa"/>
            <w:vAlign w:val="bottom"/>
          </w:tcPr>
          <w:p>
            <w:pPr>
              <w:ind w:left="20"/>
              <w:spacing w:after="0"/>
              <w:rPr>
                <w:sz w:val="20"/>
                <w:szCs w:val="20"/>
                <w:color w:val="auto"/>
              </w:rPr>
            </w:pPr>
            <w:r>
              <w:rPr>
                <w:rFonts w:ascii="Arial" w:cs="Arial" w:eastAsia="Arial" w:hAnsi="Arial"/>
                <w:sz w:val="14"/>
                <w:szCs w:val="14"/>
                <w:color w:val="auto"/>
              </w:rPr>
              <w:t>Dow Jones US Transportation Services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60.49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82.03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00497F"/>
        </w:rPr>
        <w:t>Item 6. [Reserved]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 Management’s Discussion and Analysis of Financial Condition and Results of Operations</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FTAI Aviation Ltd. Our MD&amp;A should be read in conjunction with our consolidated financial statements and the accompanying notes, and with Part I, Item 1A, “Risk Factors” and “Forward-Looking Statements” included elsewhere in this Annual Report on Form 10-K.</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discussion of our cash flows for 2021 compared to 2020 is included in our Annual Report on Form 10-K for the year ended December 31, 2021, under Part II, Item 7, Management's Discussion and Analysis of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own, lease and sell aviation equipment. We also develop and manufacture through a joint venture, and repair and sell, through exclusivity arrangements, aftermarket components for aircraft engines. Additionally, we own and lease offshore energy equipment.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assets since 2002. As of December 31, 2022, we had total consolidated assets of $2.4 billion and total equity of $19.4 million.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Russia’s Invasion of Ukraine</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Due to Russia’s invasion of Ukraine during the first quarter of 2022, the United States, European Union, United Kingdom, and others have imposed economic sanctions and export controls against Russia and Russia’s aviation industry. The sanctions include but are not limited to the ban on the export and sale or lease of all aircraft, engines, and equipment and on all related repair and maintenance services to Russia and Russian airlines. We have complied, and will continue to comply, with all applicable sanctions and we have terminated the leases of all our aircraft and engines with Russian airlines. As a result of the sanctions imposed on Russian airlines and related lease terminations, we recognized approximately $47.1 million in provision for credit losses during the year ended December 31, 2022.</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continue to pursue efforts to remove and repossess all of our aircraft and engines from Russia and Ukraine. As of December 31, 2022, four aircraft and one engine were still located in Ukraine and eight aircraft and seventeen engines were still located in Russia. We determined that it is unlikely that we will regain possession of the aircraft that had not been recovered from Ukraine and Russia during the first quarter of 2022. As a result, we recognized an impairment charge totaling $120.0 million, net of maintenance deposits, to write-off the carrying value of leasing equipment assets that we have not recovered from Ukraine and Russia for the year ended December 31, 2022.</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lessees are required to provide insurance coverage with respect to leased aircraft and engines, and we are named as insureds under those policies in the event of a total loss of an aircraft or engine. We also purchase insurance which provides us with coverage when our aircraft or engines are not subject to a lease or where a lessee’s policy fails to indemnify us. The insured value of the aircraft and engines that remain in Ukraine and Russia is approximately $274.0 million. We are pursuing all our claims under these policies. However, the timing and amount of any recoveries under these policies are uncertain.</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extent of the impact of Russia’s invasion of Ukraine and the related sanctions on our operational and financial performance, including the ability for us to recover our leasing equipment in the region, will depend on future developments, including the duration of the conflict, sanctions and restrictions imposed by Russian and international governments, all of which remain uncertain.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Spin-Off of FTAI Infrastructure Inc. (“FTAI Infrastructure”)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August 1, 2022, Fortress Transportation and Infrastructure Investors LLC (“we”, “us”, “our”, “FTAI” or the “Company” pre-Merger, as defined below, and FTAI Aviation Ltd. post-Merger) effected a spin-off of the Company’s infrastructure business held by FTAI Infrastructure (a wholly-owned subsidiary of the Company as a distribution of all of the shares owned by the Company of common stock of FTAI Infrastructure to the holders of the Company’s ordinary shares as of July 21, 2022.</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entities. 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FTAI retained the aviation business and certain other assets, and FTAI’s remaining outstanding corporate indebtedness.</w:t>
      </w:r>
    </w:p>
    <w:p>
      <w:pPr>
        <w:spacing w:after="0" w:line="10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connection with the spin-off, the Company and the Manager assigned the Company’s then-existing management agreement to FTAI Infrastructure, and FTAI Infrastructure and the Manager executed an amended and restated agreement. The Company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6"/>
          <w:szCs w:val="16"/>
          <w:color w:val="auto"/>
        </w:rPr>
        <w:t>certain of its subsidiaries executed a new management agreement with the Manager. The new management agreement has an initial term of six years. The Manager is entitled to a management fee and reimbursement of certain expenses on substantially similar terms as the previous arrangements with the Manager, which were assigned to FTAI Infrastructure. Prior to the Merger described below, our Manager remained entitled to incentive allocations (comprised of income incentive allocation and capital gains incentive allocation) on the same terms as they existed prior to spin-off. Following the Merger, the Company entered into a Services and Profit Sharing Agreement (the “Services and Profit Sharing Agreement”), with a subsidiary of the Company and Fortress Worldwide Transportation and Infrastructure Master GP LLC (“Master GP”), pursuant to which Master GP is entitled to incentive payments on substantially similar terms as the previous arrangements.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November 10, 2022, the Company completed the transactions set forth in the Agreement and Plan of Merger (the “Merger”) between Fortress Transportation and Infrastructure Investors LLC (“FTAI”) and FTAI Aviation Ltd. (“FTAI Aviation”) and certain other parties, with FTAI becoming a subsidiary of the company. As a result of the merger, the FTAI became a Cayman Islands exempted company. Upon merger completion, Fortress Transportation and Infrastructure Investors LLC public common shareholders’ shares of the Company were exchanged automatically for shares of FTAI Aviation Ltd. without any further action from the shareholders.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As a result of the spin-off of FTAI Infrastructure effective August 1, 2022, the Company reevaluated its operating segments. 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exclusivity arrangements, aircraft engines and aftermarket components for aircraft engines. Prior periods have been restated to reflect the change in accordance with the requirements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On December 27, 2017, SoftBank Group Corp. (“SoftBank”) completed its acquisition of Fortress (the “SoftBank Merger”). In connection with the Softbank Merger, Fortress operates within SoftBank as an independent business headquartered in New York.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chief operating decision maker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the third quarter of 2022, the Company updated its measure of segment profit to include the add back of dividends on preferred shares in Adjusted EBITDA. 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'22 vs '21</w:t>
            </w:r>
          </w:p>
        </w:tc>
        <w:tc>
          <w:tcPr>
            <w:tcW w:w="280" w:type="dxa"/>
            <w:vAlign w:val="bottom"/>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'21 vs '20</w:t>
            </w:r>
          </w:p>
        </w:tc>
      </w:tr>
      <w:tr>
        <w:trPr>
          <w:trHeight w:val="18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178,874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172,117</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177,476</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6,757</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(5,359)</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148,846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101,462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27,357</w:t>
            </w: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440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(513)</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sales revenue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208,500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color w:val="auto"/>
              </w:rPr>
              <w:t>Aerospace products revenue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153,550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23,301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130,249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23,301</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18,201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16,736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8,602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(7,137)</w:t>
            </w:r>
          </w:p>
        </w:tc>
      </w:tr>
      <w:tr>
        <w:trPr>
          <w:trHeight w:val="19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708,411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335,583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297,934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372,828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37,649</w:t>
            </w:r>
          </w:p>
        </w:tc>
      </w:tr>
      <w:tr>
        <w:trPr>
          <w:trHeight w:val="215"/>
        </w:trPr>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8"/>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248,385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234,077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14,308</w:t>
            </w: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132,264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59,615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40,121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72,649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19,494</w:t>
            </w:r>
          </w:p>
        </w:tc>
      </w:tr>
      <w:tr>
        <w:trPr>
          <w:trHeight w:val="208"/>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14,164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13,207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17,911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9,868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8,043</w:t>
            </w:r>
          </w:p>
        </w:tc>
      </w:tr>
      <w:tr>
        <w:trPr>
          <w:trHeight w:val="208"/>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(4,762)</w:t>
            </w: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152,917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147,740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141,286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5,177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6,454</w:t>
            </w:r>
          </w:p>
        </w:tc>
      </w:tr>
      <w:tr>
        <w:trPr>
          <w:trHeight w:val="208"/>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137,219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126,756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(23,515)</w:t>
            </w:r>
          </w:p>
        </w:tc>
      </w:tr>
      <w:tr>
        <w:trPr>
          <w:trHeight w:val="197"/>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169,194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155,017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87,442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14,177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67,575</w:t>
            </w: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870,912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419,186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332,247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451,726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86,939</w:t>
            </w:r>
          </w:p>
        </w:tc>
      </w:tr>
      <w:tr>
        <w:trPr>
          <w:trHeight w:val="216"/>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529</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assets,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77,211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49,315</w:t>
            </w: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(19,859)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3,689</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r>
      <w:tr>
        <w:trPr>
          <w:trHeight w:val="19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57,190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43,868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52,949</w:t>
            </w:r>
          </w:p>
        </w:tc>
      </w:tr>
      <w:tr>
        <w:trPr>
          <w:trHeight w:val="202"/>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continuing operations before income taxes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(105,311)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3,659</w:t>
            </w:r>
          </w:p>
        </w:tc>
      </w:tr>
      <w:tr>
        <w:trPr>
          <w:trHeight w:val="197"/>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5,300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7,469</w:t>
            </w:r>
          </w:p>
        </w:tc>
      </w:tr>
      <w:tr>
        <w:trPr>
          <w:trHeight w:val="202"/>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continuing operations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(110,611)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w:t>
            </w:r>
          </w:p>
        </w:tc>
      </w:tr>
      <w:tr>
        <w:trPr>
          <w:trHeight w:val="197"/>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loss from discontinued operations, net of income taxes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(101,416)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(87,845)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(64,641)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(23,204)</w:t>
            </w:r>
          </w:p>
        </w:tc>
      </w:tr>
      <w:tr>
        <w:trPr>
          <w:trHeight w:val="202"/>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(212,027)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(130,706)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(103,692)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(81,321)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(27,014)</w:t>
            </w:r>
          </w:p>
        </w:tc>
      </w:tr>
      <w:tr>
        <w:trPr>
          <w:trHeight w:val="147"/>
        </w:trPr>
        <w:tc>
          <w:tcPr>
            <w:tcW w:w="4520" w:type="dxa"/>
            <w:vAlign w:val="bottom"/>
          </w:tcPr>
          <w:p>
            <w:pPr>
              <w:ind w:left="20"/>
              <w:spacing w:after="0" w:line="147"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1"/>
        </w:trPr>
        <w:tc>
          <w:tcPr>
            <w:tcW w:w="452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452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(18,817)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(26,472)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7,655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(9,950)</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27,164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24,758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17,869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6,889</w:t>
            </w: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(220,374)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(128,992)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(105,039)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(91,382)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(23,953)</w:t>
            </w:r>
          </w:p>
        </w:tc>
      </w:tr>
      <w:tr>
        <w:trPr>
          <w:trHeight w:val="21"/>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from continuing operations to Adjusted EBITDA: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'22 vs '21</w:t>
            </w:r>
          </w:p>
        </w:tc>
        <w:tc>
          <w:tcPr>
            <w:tcW w:w="26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'21 vs '20</w:t>
            </w:r>
          </w:p>
        </w:tc>
        <w:tc>
          <w:tcPr>
            <w:tcW w:w="0" w:type="dxa"/>
            <w:vAlign w:val="bottom"/>
          </w:tcPr>
          <w:p>
            <w:pPr>
              <w:spacing w:after="0"/>
              <w:rPr>
                <w:sz w:val="1"/>
                <w:szCs w:val="1"/>
                <w:color w:val="auto"/>
              </w:rPr>
            </w:pPr>
          </w:p>
        </w:tc>
      </w:tr>
      <w:tr>
        <w:trPr>
          <w:trHeight w:val="202"/>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 from continuing operations</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(137,775)</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(67,619)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(56,920)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(70,156)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(10,699)</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5,300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7,469</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13,207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8,043</w:t>
            </w:r>
          </w:p>
        </w:tc>
        <w:tc>
          <w:tcPr>
            <w:tcW w:w="0" w:type="dxa"/>
            <w:vAlign w:val="bottom"/>
          </w:tcPr>
          <w:p>
            <w:pPr>
              <w:spacing w:after="0"/>
              <w:rPr>
                <w:sz w:val="1"/>
                <w:szCs w:val="1"/>
                <w:color w:val="auto"/>
              </w:rPr>
            </w:pPr>
          </w:p>
        </w:tc>
      </w:tr>
      <w:tr>
        <w:trPr>
          <w:trHeight w:val="17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19,859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16,605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(3,689)</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137,219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126,756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(23,515)</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3,489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3,489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&amp; amortization expense </w:t>
            </w:r>
            <w:r>
              <w:rPr>
                <w:rFonts w:ascii="Arial" w:cs="Arial" w:eastAsia="Arial" w:hAnsi="Arial"/>
                <w:sz w:val="9"/>
                <w:szCs w:val="9"/>
                <w:color w:val="auto"/>
              </w:rPr>
              <w:t>(1)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190,031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4,086</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196,358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179,775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105,311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16,583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74,464</w:t>
            </w:r>
          </w:p>
        </w:tc>
        <w:tc>
          <w:tcPr>
            <w:tcW w:w="0" w:type="dxa"/>
            <w:vAlign w:val="bottom"/>
          </w:tcPr>
          <w:p>
            <w:pPr>
              <w:spacing w:after="0"/>
              <w:rPr>
                <w:sz w:val="1"/>
                <w:szCs w:val="1"/>
                <w:color w:val="auto"/>
              </w:rPr>
            </w:pPr>
          </w:p>
        </w:tc>
      </w:tr>
      <w:tr>
        <w:trPr>
          <w:trHeight w:val="154"/>
        </w:trPr>
        <w:tc>
          <w:tcPr>
            <w:tcW w:w="45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40" w:type="dxa"/>
            <w:vAlign w:val="bottom"/>
            <w:tcBorders>
              <w:bottom w:val="single" w:sz="8" w:color="CCEEFF"/>
            </w:tcBorders>
            <w:shd w:val="clear" w:color="auto" w:fill="CCEEFF"/>
          </w:tcPr>
          <w:p>
            <w:pPr>
              <w:ind w:left="20"/>
              <w:spacing w:after="0" w:line="95" w:lineRule="exact"/>
              <w:rPr>
                <w:sz w:val="20"/>
                <w:szCs w:val="20"/>
                <w:color w:val="auto"/>
              </w:rPr>
            </w:pPr>
            <w:r>
              <w:rPr>
                <w:rFonts w:ascii="Arial" w:cs="Arial" w:eastAsia="Arial" w:hAnsi="Arial"/>
                <w:sz w:val="9"/>
                <w:szCs w:val="9"/>
                <w:color w:val="auto"/>
              </w:rPr>
              <w:t>(2)</w:t>
            </w:r>
          </w:p>
        </w:tc>
        <w:tc>
          <w:tcPr>
            <w:tcW w:w="2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(1,203)</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(1,932)</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1,243</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369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428,097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322,828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266,469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105,269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56,359</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line="219" w:lineRule="auto"/>
        <w:tabs>
          <w:tab w:leader="none" w:pos="17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2022, 2021 and 2020: (i) depreciation and amortization expense of $152,917, $147,740 and $141,286, (ii) lease intangible amortization of $13,913, $4,993 and $3,747 and (iii) amortization for lease incentives of $23,201, $22,985 and $26,599, respectively.</w:t>
      </w:r>
    </w:p>
    <w:p>
      <w:pPr>
        <w:spacing w:after="0" w:line="4" w:lineRule="exact"/>
        <w:rPr>
          <w:rFonts w:ascii="Arial" w:cs="Arial" w:eastAsia="Arial" w:hAnsi="Arial"/>
          <w:sz w:val="19"/>
          <w:szCs w:val="19"/>
          <w:color w:val="auto"/>
          <w:vertAlign w:val="superscript"/>
        </w:rPr>
      </w:pPr>
    </w:p>
    <w:p>
      <w:pPr>
        <w:ind w:left="180" w:right="20" w:hanging="172"/>
        <w:spacing w:after="0" w:line="211" w:lineRule="auto"/>
        <w:tabs>
          <w:tab w:leader="none" w:pos="187"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2022, 2021 and 2020: (i) net loss of $(369), $(1,403) and $(1,932), and (ii) depreciation and amortization expense of $409, $200 and $0,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Presentation of assets sales</w:t>
      </w:r>
    </w:p>
    <w:p>
      <w:pPr>
        <w:spacing w:after="0" w:line="17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During the third quarter of 2022, we updated our corporate strategy based on the opportunities available in the market such that the sale of aircraft and engines is now an output of our recurring, ordinary activities. As a result of this update, the transaction price allocated to the sale of assets is included in</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16"/>
          <w:szCs w:val="16"/>
          <w:color w:val="auto"/>
        </w:rPr>
        <w:t>Revenues in the Consolidated Statement of Operations for the third and fourth quarters of 2022 and are accounted for in accordance with ASC 606. The corresponding net book values of the assets sold are recorded in Cost of sales in the Consolidated Statement of Operations for the third and fourth quarters</w:t>
      </w:r>
    </w:p>
    <w:p>
      <w:pPr>
        <w:jc w:val="both"/>
        <w:spacing w:after="0" w:line="235" w:lineRule="auto"/>
        <w:rPr>
          <w:sz w:val="20"/>
          <w:szCs w:val="20"/>
          <w:color w:val="auto"/>
        </w:rPr>
      </w:pPr>
      <w:r>
        <w:rPr>
          <w:rFonts w:ascii="Arial" w:cs="Arial" w:eastAsia="Arial" w:hAnsi="Arial"/>
          <w:sz w:val="16"/>
          <w:szCs w:val="16"/>
          <w:color w:val="auto"/>
        </w:rPr>
        <w:t xml:space="preserve">of 2022. Sales transactions of aircraft and engines prior to the third quarter of 2022 were accounted for in accordance with ASC 610-20, </w:t>
      </w:r>
      <w:r>
        <w:rPr>
          <w:rFonts w:ascii="Arial" w:cs="Arial" w:eastAsia="Arial" w:hAnsi="Arial"/>
          <w:sz w:val="16"/>
          <w:szCs w:val="16"/>
          <w:i w:val="1"/>
          <w:iCs w:val="1"/>
          <w:color w:val="auto"/>
        </w:rPr>
        <w:t>Gains and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the derecognition of nonfinancial assets </w:t>
      </w:r>
      <w:r>
        <w:rPr>
          <w:rFonts w:ascii="Arial" w:cs="Arial" w:eastAsia="Arial" w:hAnsi="Arial"/>
          <w:sz w:val="16"/>
          <w:szCs w:val="16"/>
          <w:color w:val="auto"/>
        </w:rPr>
        <w:t>and were included in Gain (loss) on sale of assets, net on the Consolidated Statement of Operations, as we</w:t>
      </w:r>
      <w:r>
        <w:rPr>
          <w:rFonts w:ascii="Arial" w:cs="Arial" w:eastAsia="Arial" w:hAnsi="Arial"/>
          <w:sz w:val="16"/>
          <w:szCs w:val="16"/>
          <w:i w:val="1"/>
          <w:iCs w:val="1"/>
          <w:color w:val="auto"/>
        </w:rPr>
        <w:t xml:space="preserve"> </w:t>
      </w:r>
      <w:r>
        <w:rPr>
          <w:rFonts w:ascii="Arial" w:cs="Arial" w:eastAsia="Arial" w:hAnsi="Arial"/>
          <w:sz w:val="16"/>
          <w:szCs w:val="16"/>
          <w:color w:val="auto"/>
        </w:rPr>
        <w:t>were previously only occasionally selling these assets. Generally, assets sold were under leasing arrangements with customers prior to sales and are included in Leasing equipment, net, on the Consolidated Balance Sheets.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2022 and 2021</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$372.8 million, primarily due to an increase in Asset sales revenue, Aerospace Products revenue, maintenance revenue, other revenue and lease income.</w:t>
      </w:r>
    </w:p>
    <w:p>
      <w:pPr>
        <w:spacing w:after="0" w:line="10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Asset sales revenue increased $208.5 million primarily due to an increase in the sale of commercial aircraft and engines in our Aviation Leasing segment during 2022. See above discussion regarding presentation of asset sales.</w:t>
      </w:r>
    </w:p>
    <w:p>
      <w:pPr>
        <w:spacing w:after="0" w:line="87"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Aerospace Products revenue increased $130.2 million driven by an increase in sales relating to the CFM56-7B and CFM56-5B engines, engine modules, spare parts and used material inventory as operations continue to ramp-up in 2022. See above discussion regarding presentation of asset sales.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Maintenance revenue increased $20.0 million primarily due to an increase in the number of aircraft and engines placed on lease, higher aircraft and engine utilization and higher end-of-lease return compensation, partially offset by a decrease in the recognition of maintenance deposits due to the early redelivery of aircraft in the prior year and lower maintenance billings related to the early termination of aircraft leases with Russian airlines as a result of the sanctions imposed on Russian airlines during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Other revenue increased $8.6 million primarily due primarily due to an increase in end-of lease redelivery compensation.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Lease income increased $6.8 million primarily due to an increase in the Offshore Energy business as two of our vessels were on-hire longer in 2022 compared to 2021. This increase was partially offset by the early termination of aircraft and engine leases as a result of the sanctions imposed on Russian airlines during the first quarter of 2022. Basic lease revenues from our owned aircraft and engines leased to Russian airlines was approximately $39.8 million for the year ended December 31, 2021. This decrease is partially offset by an increase in the number of aircraft and engines placed on lease during the year.</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$451.7 million primarily due to higher (i) cost of sales, (ii) asset impairment charges, (iii) operating expenses, (iv) interest expense,</w:t>
      </w:r>
    </w:p>
    <w:p>
      <w:pPr>
        <w:spacing w:after="0" w:line="19" w:lineRule="exact"/>
        <w:rPr>
          <w:sz w:val="20"/>
          <w:szCs w:val="20"/>
          <w:color w:val="auto"/>
        </w:rPr>
      </w:pPr>
    </w:p>
    <w:p>
      <w:pPr>
        <w:ind w:firstLine="8"/>
        <w:spacing w:after="0" w:line="260"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depreciation and amortization, and (vi) management fees and incentive allocation to affiliate partially offset by lower (vii) acquisition and transaction expenses.</w:t>
      </w:r>
    </w:p>
    <w:p>
      <w:pPr>
        <w:spacing w:after="0" w:line="10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Cost of sales increased $234.1 million primarily as a result of an increase in asset sales and Aerospace Product sales and the gross presentation of asset sales revenue and Aerospace Product revenues as described above.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 increased $126.8 million primarily due to the write down of aircraft and engines located in Ukraine and Russia that may not be recoverable.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Note 4 to the consolidated financial statements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$72.6 million primarily due to:</w:t>
      </w:r>
    </w:p>
    <w:p>
      <w:pPr>
        <w:spacing w:after="0" w:line="113" w:lineRule="exact"/>
        <w:rPr>
          <w:sz w:val="20"/>
          <w:szCs w:val="20"/>
          <w:color w:val="auto"/>
        </w:rPr>
      </w:pPr>
    </w:p>
    <w:p>
      <w:pPr>
        <w:jc w:val="both"/>
        <w:ind w:left="660" w:hanging="328"/>
        <w:spacing w:after="0" w:line="262" w:lineRule="auto"/>
        <w:tabs>
          <w:tab w:leader="none" w:pos="649" w:val="left"/>
        </w:tabs>
        <w:numPr>
          <w:ilvl w:val="0"/>
          <w:numId w:val="11"/>
        </w:numPr>
        <w:rPr>
          <w:rFonts w:ascii="Arial" w:cs="Arial" w:eastAsia="Arial" w:hAnsi="Arial"/>
          <w:sz w:val="16"/>
          <w:szCs w:val="16"/>
          <w:color w:val="00497F"/>
        </w:rPr>
      </w:pPr>
      <w:r>
        <w:rPr>
          <w:rFonts w:ascii="Arial" w:cs="Arial" w:eastAsia="Arial" w:hAnsi="Arial"/>
          <w:sz w:val="16"/>
          <w:szCs w:val="16"/>
          <w:color w:val="auto"/>
        </w:rPr>
        <w:t>an increase of $48.5 million in the Aviation Leasing segment primarily as a result of an increase in provision for credit losses as a result of the sanctions imposed on Russian airlines, and increases in insurance expense, shipping and storage fees, professional fees, and repairs and maintenance expenses.</w:t>
      </w:r>
    </w:p>
    <w:p>
      <w:pPr>
        <w:spacing w:after="0" w:line="99" w:lineRule="exact"/>
        <w:rPr>
          <w:rFonts w:ascii="Arial" w:cs="Arial" w:eastAsia="Arial" w:hAnsi="Arial"/>
          <w:sz w:val="16"/>
          <w:szCs w:val="16"/>
          <w:color w:val="00497F"/>
        </w:rPr>
      </w:pPr>
    </w:p>
    <w:p>
      <w:pPr>
        <w:ind w:left="660" w:hanging="328"/>
        <w:spacing w:after="0" w:line="260"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$17.6 million in the Offshore Energy business which reflects increases in offshore crew expenses, project costs and other operating expenses as our vessels were on-hire longer in 2022 compared to 2021, as well as crane repairs on one of our vessels.</w:t>
      </w:r>
    </w:p>
    <w:p>
      <w:pPr>
        <w:spacing w:after="0" w:line="87" w:lineRule="exact"/>
        <w:rPr>
          <w:rFonts w:ascii="Arial" w:cs="Arial" w:eastAsia="Arial" w:hAnsi="Arial"/>
          <w:sz w:val="16"/>
          <w:szCs w:val="16"/>
          <w:color w:val="auto"/>
        </w:rPr>
      </w:pPr>
    </w:p>
    <w:p>
      <w:pPr>
        <w:jc w:val="both"/>
        <w:ind w:left="660" w:hanging="328"/>
        <w:spacing w:after="0" w:line="269"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$6.5 million in the Aerospace Products segment primarily due to an increase in commission expenses due to the increase in sales from the used material program as well as an increase in professional fees and other operating expenses due to the ramp-up of Aerospace Products.</w:t>
      </w:r>
    </w:p>
    <w:p>
      <w:pPr>
        <w:spacing w:after="0" w:line="29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Interest expense increased $14.2 million, which reflects an increase in the average outstanding debt of approximately $354.7 million due to increases in (i) the Senior Notes due 2028 of $459.7 million, (ii) the 2021 Bridge Loans issued in December 2021 and February 2022 of $169.9 million and (iii) the Revolving Credit Facility of $49.7 million, partially offset by a decrease in (iv) the Bridge Loans of $108.3 million, (v) the Senior Notes due 2022 of $133.1 million, which was redeemed in full in May 2021, and (vi) the Senior Notes due 2025 of $83.2 million, which were partially redeemed in August 2022.</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Depreciation and amortization increased $5.2 million primarily driven by an increase in the number of assets owned and on lease, partially offset by an increase in the number of aircraft redelivered and parted out into our engine leasing pool.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and incentive allocation to affiliate increased $2.9 million primarily due to an increase in incentive fee due to the Manager.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expenses decreased $4.7 million primarily due to a decrease in professional fees related to the Transtar acquisition in 2021.</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other income increased $13.3 million primarily due to (i) an increase of $28.2 million in gain on sale of assets, net in the Aviation Leasing and Aerospace Products segments from more opportunistic asset sales transactions, partially offset by (ii) an increase of $16.6 million in loss on extinguishment of debt primarily related to the 2022 paydown of the 2021 Bridge Loan and the partial redemption of the Senior Notes due 2025 in connection with the spin-off of FTAI Infrastructure. See above discussion regarding presentation of asset sales and impact on gain on sales of assets, net.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increased $2.2 million primarily due to a higher provision in the Aerospace Products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from continuing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Net loss from continuing operations increased $67.8 million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from discontinued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Net loss from discontinued operations increased $13.6 million primarily due to:</w:t>
      </w:r>
    </w:p>
    <w:p>
      <w:pPr>
        <w:spacing w:after="0" w:line="113" w:lineRule="exact"/>
        <w:rPr>
          <w:sz w:val="20"/>
          <w:szCs w:val="20"/>
          <w:color w:val="auto"/>
        </w:rPr>
      </w:pPr>
    </w:p>
    <w:p>
      <w:pPr>
        <w:ind w:left="66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in net loss of $34.7 million in the Ports and Terminals business in 2022 of which $32.6 million relates to our equity pick-up in net losses for the Long Ridge investment.</w:t>
      </w:r>
    </w:p>
    <w:p>
      <w:pPr>
        <w:spacing w:after="0" w:line="100"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in acquisition and transaction expense of $11.9 million during 2022 related to the spin-off of the infrastructure business;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5" w:name="page36"/>
    <w:bookmarkEnd w:id="35"/>
    <w:p>
      <w:pPr>
        <w:ind w:left="66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Offset by a decrease in net loss of $22.6 million in the Jefferson business in 2022 which is primarily driven by seven months of activity during 2022 compared to a full year of activity in 2021; and</w:t>
      </w:r>
    </w:p>
    <w:p>
      <w:pPr>
        <w:spacing w:after="0" w:line="100"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in net income of $8.4 million on the Transtar business, which was acquired on July 28,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$105.3 million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2021 and 2020</w:t>
      </w:r>
    </w:p>
    <w:p>
      <w:pPr>
        <w:spacing w:after="0" w:line="13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Total revenues increased $37.6 million, primarily due to increases in maintenance revenue and Aerospace Products revenue, partially offset by decreases in other revenue and lease income.</w:t>
      </w:r>
    </w:p>
    <w:p>
      <w:pPr>
        <w:spacing w:after="0" w:line="7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Maintenance revenue increased $27.4 million primarily due to an increase in aircraft and engine utilization and the recognition of maintenance deposits due to the redelivery of aircraft, partially offset by the increase in the number of aircraft and engines redelivered.</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Aerospace Products revenue increased $23.3 million driven by an increase in sales relating to engine modules, spare parts and used material inventory as operations began in 2021.</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Lease income decreased $5.4 million primarily due to an increase in the number of aircraft redelivered, partially offset by an increase in the number of aircraft and engines placed on lease towards the end of the year.</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Other revenue decreased $7.1 million primarily due to lower end-of-lease redelivery compensation and the settlement of an engine loss during 2020.</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Total expenses increased $86.9 million primarily due to higher interest expense, operating expenses, cost of sales, acquisition and transaction expenses, and depreciation and amortization, partially offset by lower asset impairment charges and management fees and incentive allocation to affiliate.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Interest expense increased $67.6 million, which reflects an increase in the average outstanding debt of approximately $724.0 million primarily due to increases in (i) the Senior Notes due 2028 of $542.5 million, (ii) the Senior Notes due 2025 of $373.1 million, (iii) the Senior Notes due 2027 of $200.0 million, (iv) the Bridge Loans of $108.3 million and (v) the Revolving Credit Facility of $37.9 million, partially offset by a decrease in (vi) the Senior Notes due 2022 of $540.2 million, which were redeemed in full in May 2021.</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expenses increased $19.5 million primarily as a result of an increase of bad debt expense as certain customers continued to experience liquidity issues due to the on-going effects of COVID, commissions related to sales from the used serviceable material program, shipping and storage fees, repairs and maintenance expense and other operating expenses.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Cost of sales increased $14.3 million primarily as a result of an increase in Aerospace Product revenues.</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Acquisition and transaction expenses increased $8.0 million primarily due an increase in professional fees related to the acquisition of Transtar and other strategic initiatives.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and amortization increased $6.5 million primarily driven by an increase in the number of assets owned and on lease, partially offset by an increase in the number of aircraft redelivered and parted out into our engine leasing pool.</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Asset impairment decreased $23.5 million primarily due lower asset impairment charges in 2021, which were primarily related to early lease terminations in 2020.</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fees and incentive allocation to affiliate decreased $4.8 million which reflects a decrease in the base management fee as our average total equity was lower in 2021 compared to 2020.</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4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income increased $52.9 million primarily due to an increase of $49.3 million in gain on sale of assets, net in the Aviation Leasing and Aerospace Products segments from opportunistic asset sales transactions, partially offset by a decrease of $3.7 million in loss on extinguishment of debt.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income taxes</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provision for income taxes increased $7.5 million primarily due to higher provisions from sales in the Aviation Leasing and Aerospace Products segments.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from continuing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loss from continuing operations increased $3.8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00497F"/>
        </w:rPr>
        <w:t>Net loss from discontinued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loss from discontinued operations increased $23.2 million primarily due to:</w:t>
      </w:r>
    </w:p>
    <w:p>
      <w:pPr>
        <w:spacing w:after="0" w:line="127" w:lineRule="exact"/>
        <w:rPr>
          <w:sz w:val="20"/>
          <w:szCs w:val="20"/>
          <w:color w:val="auto"/>
        </w:rPr>
      </w:pPr>
    </w:p>
    <w:p>
      <w:pPr>
        <w:jc w:val="both"/>
        <w:ind w:left="660" w:hanging="328"/>
        <w:spacing w:after="0" w:line="257"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in net loss of $21.5 million on the Jefferson business in 2021 which primarily reflects (i) a decrease in crude marketing revenue of $8.2 million due to Jefferson Terminal exiting the crude marketing strategy in 2019 and final transactions settling in the first quarter of 2020, (ii) a decrease in terminal services revenues of $6.2 million which reflects lower volumes in the first half of 2021 due to lower global oil demand related to COVID-19 and (iii) increased expenses of $7.5 million.</w:t>
      </w:r>
    </w:p>
    <w:p>
      <w:pPr>
        <w:spacing w:after="0" w:line="89"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in net loss of $12.8 million on the Ports and Terminals business in 2021 of which $8.2 million relates to our equity pick-up in net losses for the Long Ridge investment; and</w:t>
      </w:r>
    </w:p>
    <w:p>
      <w:pPr>
        <w:spacing w:after="0" w:line="7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in acquisition and transaction expense of $4.0 million during 2021 related to the spin-off of the infrastructure business;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Offset by a partial year of income of $15.3 million from the Transtar business, which was acquired on July 28,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$56.4 million primarily due to the changes noted above.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2022, in our Aviation Leasing segment, we own and manage 330 aviation assets, consisting of 106 commercial aircraft and 224 engines, including four aircraft and one engine that were still located in Ukraine and eight aircraft and seventeen engines that were still located in Russia.</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of December 31, 2022, 79 of our commercial aircraft and 133 of our engines were leased to operators or other third parties. Aviation assets currently off lease are either undergoing repair and/or maintenance, being prepared to go on lease or held in short term storage awaiting a future lease. Our aviation equipment was approximately 71% utilized during the three months ended December 31, 2022, based on the percent of days on-lease in the quarter weighted by the monthly average equity value of our aviation leasing equipment, excluding airframes. Our aircraft currently have a weighted average remaining lease term of 42 months, and our engines currently on-lease have an average remaining lease term of 11 months. The table below provides additional information on the assets in our Aviation Leasing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00497F"/>
          </w:tcPr>
          <w:p>
            <w:pPr>
              <w:spacing w:after="0"/>
              <w:rPr>
                <w:sz w:val="17"/>
                <w:szCs w:val="17"/>
                <w:color w:val="auto"/>
              </w:rPr>
            </w:pPr>
          </w:p>
        </w:tc>
        <w:tc>
          <w:tcPr>
            <w:tcW w:w="446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680" w:type="dxa"/>
            <w:vAlign w:val="bottom"/>
            <w:shd w:val="clear" w:color="auto" w:fill="00497F"/>
          </w:tcPr>
          <w:p>
            <w:pPr>
              <w:ind w:left="760"/>
              <w:spacing w:after="0"/>
              <w:rPr>
                <w:sz w:val="20"/>
                <w:szCs w:val="20"/>
                <w:color w:val="auto"/>
              </w:rPr>
            </w:pPr>
            <w:r>
              <w:rPr>
                <w:rFonts w:ascii="Arial" w:cs="Arial" w:eastAsia="Arial" w:hAnsi="Arial"/>
                <w:sz w:val="14"/>
                <w:szCs w:val="14"/>
                <w:b w:val="1"/>
                <w:bCs w:val="1"/>
                <w:color w:val="FFFFFF"/>
              </w:rPr>
              <w:t>Widebody</w:t>
            </w:r>
          </w:p>
        </w:tc>
        <w:tc>
          <w:tcPr>
            <w:tcW w:w="500" w:type="dxa"/>
            <w:vAlign w:val="bottom"/>
            <w:shd w:val="clear" w:color="auto" w:fill="00497F"/>
          </w:tcPr>
          <w:p>
            <w:pPr>
              <w:spacing w:after="0"/>
              <w:rPr>
                <w:sz w:val="17"/>
                <w:szCs w:val="17"/>
                <w:color w:val="auto"/>
              </w:rPr>
            </w:pPr>
          </w:p>
        </w:tc>
        <w:tc>
          <w:tcPr>
            <w:tcW w:w="120" w:type="dxa"/>
            <w:vAlign w:val="bottom"/>
            <w:shd w:val="clear" w:color="auto" w:fill="00497F"/>
          </w:tcPr>
          <w:p>
            <w:pPr>
              <w:spacing w:after="0"/>
              <w:rPr>
                <w:sz w:val="17"/>
                <w:szCs w:val="17"/>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500" w:type="dxa"/>
            <w:vAlign w:val="bottom"/>
            <w:shd w:val="clear" w:color="auto" w:fill="00497F"/>
          </w:tcPr>
          <w:p>
            <w:pPr>
              <w:spacing w:after="0"/>
              <w:rPr>
                <w:sz w:val="17"/>
                <w:szCs w:val="17"/>
                <w:color w:val="auto"/>
              </w:rPr>
            </w:pPr>
          </w:p>
        </w:tc>
        <w:tc>
          <w:tcPr>
            <w:tcW w:w="100" w:type="dxa"/>
            <w:vAlign w:val="bottom"/>
            <w:shd w:val="clear" w:color="auto" w:fill="00497F"/>
          </w:tcPr>
          <w:p>
            <w:pPr>
              <w:spacing w:after="0"/>
              <w:rPr>
                <w:sz w:val="17"/>
                <w:szCs w:val="17"/>
                <w:color w:val="auto"/>
              </w:rPr>
            </w:pPr>
          </w:p>
        </w:tc>
        <w:tc>
          <w:tcPr>
            <w:tcW w:w="218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162"/>
        </w:trPr>
        <w:tc>
          <w:tcPr>
            <w:tcW w:w="20" w:type="dxa"/>
            <w:vAlign w:val="bottom"/>
          </w:tcPr>
          <w:p>
            <w:pPr>
              <w:spacing w:after="0"/>
              <w:rPr>
                <w:sz w:val="14"/>
                <w:szCs w:val="14"/>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January 1, 2022</w:t>
            </w:r>
          </w:p>
        </w:tc>
        <w:tc>
          <w:tcPr>
            <w:tcW w:w="1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r>
      <w:tr>
        <w:trPr>
          <w:trHeight w:val="19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4"/>
                <w:szCs w:val="14"/>
                <w:color w:val="auto"/>
              </w:rPr>
              <w:t>Purchases</w:t>
            </w: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8"/>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w:t>
            </w: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7"/>
        </w:trPr>
        <w:tc>
          <w:tcPr>
            <w:tcW w:w="20" w:type="dxa"/>
            <w:vAlign w:val="bottom"/>
            <w:tcBorders>
              <w:bottom w:val="single" w:sz="8" w:color="CCEEFF"/>
            </w:tcBorders>
          </w:tcPr>
          <w:p>
            <w:pPr>
              <w:spacing w:after="0"/>
              <w:rPr>
                <w:sz w:val="17"/>
                <w:szCs w:val="17"/>
                <w:color w:val="auto"/>
              </w:rPr>
            </w:pPr>
          </w:p>
        </w:tc>
        <w:tc>
          <w:tcPr>
            <w:tcW w:w="44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Transfers</w:t>
            </w:r>
          </w:p>
        </w:tc>
        <w:tc>
          <w:tcPr>
            <w:tcW w:w="1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2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December 31, 2022</w:t>
            </w:r>
          </w:p>
        </w:tc>
        <w:tc>
          <w:tcPr>
            <w:tcW w:w="16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shd w:val="clear" w:color="auto" w:fill="CCEEFF"/>
          </w:tcPr>
          <w:p>
            <w:pPr>
              <w:spacing w:after="0"/>
              <w:rPr>
                <w:sz w:val="17"/>
                <w:szCs w:val="17"/>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162"/>
        </w:trPr>
        <w:tc>
          <w:tcPr>
            <w:tcW w:w="20" w:type="dxa"/>
            <w:vAlign w:val="bottom"/>
            <w:shd w:val="clear" w:color="auto" w:fill="CCEEFF"/>
          </w:tcPr>
          <w:p>
            <w:pPr>
              <w:spacing w:after="0"/>
              <w:rPr>
                <w:sz w:val="14"/>
                <w:szCs w:val="14"/>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i w:val="1"/>
                <w:iCs w:val="1"/>
                <w:color w:val="auto"/>
              </w:rPr>
              <w:t>Engines</w:t>
            </w:r>
          </w:p>
        </w:tc>
        <w:tc>
          <w:tcPr>
            <w:tcW w:w="1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2022</w:t>
            </w: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207</w:t>
            </w:r>
          </w:p>
        </w:tc>
      </w:tr>
      <w:tr>
        <w:trPr>
          <w:trHeight w:val="208"/>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Purchases</w:t>
            </w: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9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4"/>
                <w:szCs w:val="14"/>
                <w:color w:val="auto"/>
              </w:rPr>
              <w:t>Sales</w:t>
            </w: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08"/>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Transfers</w:t>
            </w:r>
          </w:p>
        </w:tc>
        <w:tc>
          <w:tcPr>
            <w:tcW w:w="16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0"/>
        </w:trPr>
        <w:tc>
          <w:tcPr>
            <w:tcW w:w="20" w:type="dxa"/>
            <w:vAlign w:val="bottom"/>
          </w:tcPr>
          <w:p>
            <w:pPr>
              <w:spacing w:after="0"/>
              <w:rPr>
                <w:sz w:val="16"/>
                <w:szCs w:val="16"/>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2022</w:t>
            </w:r>
          </w:p>
        </w:tc>
        <w:tc>
          <w:tcPr>
            <w:tcW w:w="1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w:t>
            </w:r>
          </w:p>
        </w:tc>
        <w:tc>
          <w:tcPr>
            <w:tcW w:w="100" w:type="dxa"/>
            <w:vAlign w:val="bottom"/>
          </w:tcPr>
          <w:p>
            <w:pPr>
              <w:spacing w:after="0"/>
              <w:rPr>
                <w:sz w:val="16"/>
                <w:szCs w:val="16"/>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The following table presents our results of operations for our Aviation Leasing segment: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'22 vs '21</w:t>
            </w:r>
          </w:p>
        </w:tc>
        <w:tc>
          <w:tcPr>
            <w:tcW w:w="26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'21 vs '20</w:t>
            </w:r>
          </w:p>
        </w:tc>
        <w:tc>
          <w:tcPr>
            <w:tcW w:w="0" w:type="dxa"/>
            <w:vAlign w:val="bottom"/>
          </w:tcPr>
          <w:p>
            <w:pPr>
              <w:spacing w:after="0"/>
              <w:rPr>
                <w:sz w:val="1"/>
                <w:szCs w:val="1"/>
                <w:color w:val="auto"/>
              </w:rPr>
            </w:pPr>
          </w:p>
        </w:tc>
      </w:tr>
      <w:tr>
        <w:trPr>
          <w:trHeight w:val="18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158,628</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161,986</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166,331</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(3,358)</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(4,345)</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148,846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27,357</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sales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208,500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11,499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11,158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5,930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(5,589)</w:t>
            </w: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527,913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298,121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281,211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229,792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159,490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159,490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81,232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48,475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12,090</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(5,705)</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144,258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5,774</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137,219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33,978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126,756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(23,515)</w:t>
            </w: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524,122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183,880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195,236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340,242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(11,356)</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assets,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29,398</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59,635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28,571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31,064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30,709</w:t>
            </w:r>
          </w:p>
        </w:tc>
        <w:tc>
          <w:tcPr>
            <w:tcW w:w="0" w:type="dxa"/>
            <w:vAlign w:val="bottom"/>
          </w:tcPr>
          <w:p>
            <w:pPr>
              <w:spacing w:after="0"/>
              <w:rPr>
                <w:sz w:val="1"/>
                <w:szCs w:val="1"/>
                <w:color w:val="auto"/>
              </w:rPr>
            </w:pPr>
          </w:p>
        </w:tc>
      </w:tr>
      <w:tr>
        <w:trPr>
          <w:trHeight w:val="190"/>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63,426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142,812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83,837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(79,386)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58,975</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6,885</w:t>
            </w:r>
          </w:p>
        </w:tc>
        <w:tc>
          <w:tcPr>
            <w:tcW w:w="0" w:type="dxa"/>
            <w:vAlign w:val="bottom"/>
          </w:tcPr>
          <w:p>
            <w:pPr>
              <w:spacing w:after="0"/>
              <w:rPr>
                <w:sz w:val="1"/>
                <w:szCs w:val="1"/>
                <w:color w:val="auto"/>
              </w:rPr>
            </w:pPr>
          </w:p>
        </w:tc>
      </w:tr>
      <w:tr>
        <w:trPr>
          <w:trHeight w:val="19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60,924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140,739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88,649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52,090</w:t>
            </w:r>
          </w:p>
        </w:tc>
        <w:tc>
          <w:tcPr>
            <w:tcW w:w="0" w:type="dxa"/>
            <w:vAlign w:val="bottom"/>
          </w:tcPr>
          <w:p>
            <w:pPr>
              <w:spacing w:after="0"/>
              <w:rPr>
                <w:sz w:val="1"/>
                <w:szCs w:val="1"/>
                <w:color w:val="auto"/>
              </w:rPr>
            </w:pPr>
          </w:p>
        </w:tc>
      </w:tr>
      <w:tr>
        <w:trPr>
          <w:trHeight w:val="153"/>
        </w:trPr>
        <w:tc>
          <w:tcPr>
            <w:tcW w:w="4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60,924</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140,739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88,649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(79,815)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52,090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'22 vs '21</w:t>
            </w:r>
          </w:p>
        </w:tc>
        <w:tc>
          <w:tcPr>
            <w:tcW w:w="260" w:type="dxa"/>
            <w:vAlign w:val="bottom"/>
          </w:tcPr>
          <w:p>
            <w:pPr>
              <w:spacing w:after="0"/>
              <w:rPr>
                <w:sz w:val="17"/>
                <w:szCs w:val="17"/>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'21 vs '20</w:t>
            </w:r>
          </w:p>
        </w:tc>
        <w:tc>
          <w:tcPr>
            <w:tcW w:w="0" w:type="dxa"/>
            <w:vAlign w:val="bottom"/>
          </w:tcPr>
          <w:p>
            <w:pPr>
              <w:spacing w:after="0"/>
              <w:rPr>
                <w:sz w:val="1"/>
                <w:szCs w:val="1"/>
                <w:color w:val="auto"/>
              </w:rPr>
            </w:pPr>
          </w:p>
        </w:tc>
      </w:tr>
      <w:tr>
        <w:trPr>
          <w:trHeight w:val="202"/>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60,924</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140,739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88,649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(79,815)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52,090</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2,502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6,885</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1,923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(5,705)</w:t>
            </w:r>
          </w:p>
        </w:tc>
        <w:tc>
          <w:tcPr>
            <w:tcW w:w="0" w:type="dxa"/>
            <w:vAlign w:val="bottom"/>
          </w:tcPr>
          <w:p>
            <w:pPr>
              <w:spacing w:after="0"/>
              <w:rPr>
                <w:sz w:val="1"/>
                <w:szCs w:val="1"/>
                <w:color w:val="auto"/>
              </w:rPr>
            </w:pPr>
          </w:p>
        </w:tc>
      </w:tr>
      <w:tr>
        <w:trPr>
          <w:trHeight w:val="17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137,219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(23,515)</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9"/>
                <w:szCs w:val="9"/>
                <w:color w:val="auto"/>
              </w:rPr>
              <w:t>(1)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181,372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44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480" w:type="dxa"/>
            <w:vAlign w:val="bottom"/>
            <w:tcBorders>
              <w:bottom w:val="single" w:sz="8" w:color="CCEEFF"/>
            </w:tcBorders>
            <w:shd w:val="clear" w:color="auto" w:fill="CCEEFF"/>
          </w:tcPr>
          <w:p>
            <w:pPr>
              <w:ind w:left="20"/>
              <w:spacing w:after="0" w:line="95" w:lineRule="exact"/>
              <w:rPr>
                <w:sz w:val="20"/>
                <w:szCs w:val="20"/>
                <w:color w:val="auto"/>
              </w:rPr>
            </w:pPr>
            <w:r>
              <w:rPr>
                <w:rFonts w:ascii="Arial" w:cs="Arial" w:eastAsia="Arial" w:hAnsi="Arial"/>
                <w:sz w:val="9"/>
                <w:szCs w:val="9"/>
                <w:color w:val="auto"/>
              </w:rPr>
              <w:t>(2)</w:t>
            </w:r>
          </w:p>
        </w:tc>
        <w:tc>
          <w:tcPr>
            <w:tcW w:w="2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(1,932)</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384,125</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321,913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288,752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62,212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33,161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82" w:lineRule="exact"/>
        <w:rPr>
          <w:sz w:val="20"/>
          <w:szCs w:val="20"/>
          <w:color w:val="auto"/>
        </w:rPr>
      </w:pPr>
    </w:p>
    <w:p>
      <w:pPr>
        <w:ind w:left="180" w:hanging="172"/>
        <w:spacing w:after="0" w:line="219" w:lineRule="auto"/>
        <w:tabs>
          <w:tab w:leader="none" w:pos="172"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2022, 2021 and 2020: (i) depreciation expense of $144,258, $139,678 and $133,904, (ii) lease intangible amortization of $13,913, $4,993 and $3,747 and (iii) amortization for lease incentives of $23,201, $22,985 and $26,599, respectively.</w:t>
      </w:r>
    </w:p>
    <w:p>
      <w:pPr>
        <w:spacing w:after="0" w:line="58" w:lineRule="exact"/>
        <w:rPr>
          <w:rFonts w:ascii="Arial" w:cs="Arial" w:eastAsia="Arial" w:hAnsi="Arial"/>
          <w:sz w:val="19"/>
          <w:szCs w:val="19"/>
          <w:color w:val="auto"/>
          <w:vertAlign w:val="superscript"/>
        </w:rPr>
      </w:pPr>
    </w:p>
    <w:p>
      <w:pPr>
        <w:ind w:left="180" w:right="20" w:hanging="172"/>
        <w:spacing w:after="0" w:line="217" w:lineRule="auto"/>
        <w:tabs>
          <w:tab w:leader="none" w:pos="158"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2022, 2021 and 2020: (i) net income (loss) of $740, $— and $(1,932) and (ii) depreciation and amortization of $185, $0 and $0, respectively.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2022 and 2021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revenues increased $229.8 million driven by an increase in asset sales revenue, maintenance revenue and other revenue, partially offset by a decrease in lease income.</w:t>
      </w:r>
    </w:p>
    <w:p>
      <w:pPr>
        <w:spacing w:after="0" w:line="101" w:lineRule="exact"/>
        <w:rPr>
          <w:sz w:val="20"/>
          <w:szCs w:val="20"/>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Asset sales revenue increased $208.5 million primarily due to an increase in the sale of commercial aircraft and engines during 2022. See above discussion regarding presentation of asset sales.</w:t>
      </w:r>
    </w:p>
    <w:p>
      <w:pPr>
        <w:spacing w:after="0" w:line="100"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revenue increased $20.0 million primarily due to an increase in the number of aircraft and engines placed on lease, higher aircraft and engine utilization and higher end-of-lease return compensation, partially offset by a decrease in the recognition of maintenance deposits due to the early redelivery of aircraft in the prior year and lower maintenance billings related to the early termination of aircraft leases with Russian airlines as a result of the sanctions imposed on Russian airlines during the first quarter of 2022.</w:t>
      </w:r>
    </w:p>
    <w:p>
      <w:pPr>
        <w:spacing w:after="0" w:line="8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revenue increased $5.9 million primarily due to an increase in end-of lease redelivery compensation.</w:t>
      </w:r>
    </w:p>
    <w:p>
      <w:pPr>
        <w:spacing w:after="0" w:line="126"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Lease income decreased $3.4 million primarily due to the early termination of aircraft and engine leases as a result of the sanctions imposed on Russian airlines during the first quarter of 2022. Basic lease revenues from our owned aircraft and engines leased to Russian airlines was approximately $39.8 million for the year ended December 31, 2021. This decrease is partially offset by an increase in the number of aircraft and engines placed on lease during the year.</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Total expenses increased $340.2 million primarily driven by an increase in cost of sales, asset impairment, operating expenses and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9" w:name="page40"/>
    <w:bookmarkEnd w:id="39"/>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 of sales increased $159.5 million primarily as a result of an increase in asset sales and the gross presentation of asset sales revenues and related costs of sales as described above.</w:t>
      </w:r>
    </w:p>
    <w:p>
      <w:pPr>
        <w:spacing w:after="0" w:line="100"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Asset impairment increased $126.8 million primarily due to the write down of aircraft and engines located in Ukraine and Russia that may not be recoverable. See Note 4 to the consolidated financial statements for additional information.</w:t>
      </w:r>
    </w:p>
    <w:p>
      <w:pPr>
        <w:spacing w:after="0" w:line="100"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00497F"/>
        </w:rPr>
      </w:pPr>
      <w:r>
        <w:rPr>
          <w:rFonts w:ascii="Arial" w:cs="Arial" w:eastAsia="Arial" w:hAnsi="Arial"/>
          <w:sz w:val="16"/>
          <w:szCs w:val="16"/>
          <w:color w:val="auto"/>
        </w:rPr>
        <w:t>Operating expenses increased $48.5 million primarily as a result of an increase in provision for credit losses as a result of the sanctions imposed on Russian airlines, and increases in insurance expense, shipping and storage fees, professional fees, and repairs and maintenance expenses.</w:t>
      </w:r>
    </w:p>
    <w:p>
      <w:pPr>
        <w:spacing w:after="0" w:line="87" w:lineRule="exact"/>
        <w:rPr>
          <w:rFonts w:ascii="Arial" w:cs="Arial" w:eastAsia="Arial" w:hAnsi="Arial"/>
          <w:sz w:val="16"/>
          <w:szCs w:val="16"/>
          <w:color w:val="00497F"/>
        </w:rPr>
      </w:pPr>
    </w:p>
    <w:p>
      <w:pPr>
        <w:ind w:left="660" w:hanging="328"/>
        <w:spacing w:after="0" w:line="278"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Depreciation and amortization expense increased $4.6 million driven by an increase in the number of assets owned and on lease, partially offset by an increase in the number of aircraft redelivered and parted out into our engine leasing pool.</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income increased $31.1 million primarily due to (i) an increase of $29.6 million in gain on the sale of assets, net due to more opportunistic sales transactions, (ii) a decrease of $0.8 million in other expenses and, (iii) an increase of $0.7 million in our proportionate share of unconsolidated entities’ net income.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$62.2 million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2021 and 2020</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$16.9 million driven by an increase in maintenance revenue, partially offset by a decrease in other revenue and lease income.</w:t>
      </w:r>
    </w:p>
    <w:p>
      <w:pPr>
        <w:spacing w:after="0" w:line="127" w:lineRule="exact"/>
        <w:rPr>
          <w:sz w:val="20"/>
          <w:szCs w:val="20"/>
          <w:color w:val="auto"/>
        </w:rPr>
      </w:pPr>
    </w:p>
    <w:p>
      <w:pPr>
        <w:jc w:val="both"/>
        <w:ind w:left="660" w:hanging="328"/>
        <w:spacing w:after="0" w:line="253"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Maintenance revenue increased $27.4 million primarily due to an increase in aircraft and engine utilization due to additional travel and recoveries from COVID and the recognition of maintenance deposits due to the redelivery of aircraft, partially offset by the increase in the number of aircraft and engines redelivered.</w:t>
      </w:r>
    </w:p>
    <w:p>
      <w:pPr>
        <w:spacing w:after="0" w:line="106" w:lineRule="exact"/>
        <w:rPr>
          <w:rFonts w:ascii="Arial" w:cs="Arial" w:eastAsia="Arial" w:hAnsi="Arial"/>
          <w:sz w:val="16"/>
          <w:szCs w:val="16"/>
          <w:color w:val="auto"/>
        </w:rPr>
      </w:pPr>
    </w:p>
    <w:p>
      <w:pPr>
        <w:ind w:left="660" w:hanging="328"/>
        <w:spacing w:after="0" w:line="25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revenue decreased $5.6 million primarily due to lower end-of-lease redelivery compensation and the settlement of an engine loss during 2020.</w:t>
      </w:r>
    </w:p>
    <w:p>
      <w:pPr>
        <w:spacing w:after="0" w:line="30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Lease income decreased $4.3 million primarily due to an increase in the number of aircraft redelivered, partially offset by an increase in the number of aircraft and engines placed on lease towards the end of the year.</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decreased $11.4 million primarily driven by a decrease in asset impairment, partially offset by an increase in operating expenses and depreciation and amortization expense.</w:t>
      </w:r>
    </w:p>
    <w:p>
      <w:pPr>
        <w:spacing w:after="0" w:line="101" w:lineRule="exact"/>
        <w:rPr>
          <w:sz w:val="20"/>
          <w:szCs w:val="20"/>
          <w:color w:val="auto"/>
        </w:rPr>
      </w:pPr>
    </w:p>
    <w:p>
      <w:pPr>
        <w:ind w:left="660" w:right="2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Asset impairment decreased $23.5 million primarily due lower asset impairment charges in 2021 which were primarily related to early lease terminations due to COVID in 2020.</w:t>
      </w:r>
    </w:p>
    <w:p>
      <w:pPr>
        <w:spacing w:after="0" w:line="87"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19"/>
        </w:numPr>
        <w:rPr>
          <w:rFonts w:ascii="Arial" w:cs="Arial" w:eastAsia="Arial" w:hAnsi="Arial"/>
          <w:sz w:val="16"/>
          <w:szCs w:val="16"/>
          <w:color w:val="00497F"/>
        </w:rPr>
      </w:pPr>
      <w:r>
        <w:rPr>
          <w:rFonts w:ascii="Arial" w:cs="Arial" w:eastAsia="Arial" w:hAnsi="Arial"/>
          <w:sz w:val="16"/>
          <w:szCs w:val="16"/>
          <w:color w:val="auto"/>
        </w:rPr>
        <w:t>Operating expenses increased $12.1 million primarily as a result of an increase in bad debt expense, shipping and storage fees, repairs and maintenance expenses and other operating expenses.</w:t>
      </w:r>
    </w:p>
    <w:p>
      <w:pPr>
        <w:spacing w:after="0" w:line="73" w:lineRule="exact"/>
        <w:rPr>
          <w:rFonts w:ascii="Arial" w:cs="Arial" w:eastAsia="Arial" w:hAnsi="Arial"/>
          <w:sz w:val="16"/>
          <w:szCs w:val="16"/>
          <w:color w:val="00497F"/>
        </w:rPr>
      </w:pPr>
    </w:p>
    <w:p>
      <w:pPr>
        <w:ind w:left="660" w:hanging="328"/>
        <w:spacing w:after="0" w:line="278"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Depreciation and amortization expense increased $5.8 million driven by an increase in the number of assets owned and on lease, partially offset by an increase in the number of aircraft redelivered and parted out into our engine leasing pool.</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Total other income increased $30.7 million primarily due to an increase of $29.4 million in gain on sale of assets, net and a decrease of $1.9 million in our proportionate share of unconsolidated entities’ net loss.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$33.2 million primarily due to the changes noted above.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Aerospace Products Segment</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Aerospace Products segment develops and manufactures through a joint venture, and repairs and sells, through exclusivity arrangements, aircraft engines and aftermarket components primarily for the CFM56-7B and CFM56-5B commercial aircraft engines. Our engine and module sales are facilitated through The Module Factory, a dedicated commercial maintenance program, designed to focus on modular repair and refurbishment of CFM56-7B and CFM56-5B engines, performed by a third party. Used serviceable material is sold through our exclusive partnership with AAR Corp, who is responsible for the teardown, repair, marketing and sales of spare parts from our CFM56 engine pool. We also hold a 25% interest in the Advanced Engine Repair JV which focuses on developing new cost savings programs for engine repairs.</w:t>
      </w:r>
    </w:p>
    <w:p>
      <w:pPr>
        <w:sectPr>
          <w:pgSz w:w="11900" w:h="16838" w:orient="portrait"/>
          <w:cols w:equalWidth="0" w:num="1">
            <w:col w:w="11240"/>
          </w:cols>
          <w:pgMar w:left="320" w:top="10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'22 vs '21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'21 vs '20</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Aerospace products revenue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153,550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23,301</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88,895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14,308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74,587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14,308</w:t>
            </w: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5,429</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101,363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19,803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81,560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19,803</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18,562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19,917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19,917</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17,453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18,514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18,514</w:t>
            </w:r>
          </w:p>
        </w:tc>
        <w:tc>
          <w:tcPr>
            <w:tcW w:w="0" w:type="dxa"/>
            <w:vAlign w:val="bottom"/>
          </w:tcPr>
          <w:p>
            <w:pPr>
              <w:spacing w:after="0"/>
              <w:rPr>
                <w:sz w:val="1"/>
                <w:szCs w:val="1"/>
                <w:color w:val="auto"/>
              </w:rPr>
            </w:pPr>
          </w:p>
        </w:tc>
      </w:tr>
      <w:tr>
        <w:trPr>
          <w:trHeight w:val="19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69,640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22,012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47,628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22,012</w:t>
            </w: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66,679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20,877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45,802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20,877</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66,679</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20,877</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45,802</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20,877</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'22 vs '21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'21 vs '20</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66,679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20,877</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2,961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1,826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5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(885)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40" w:type="dxa"/>
            <w:vAlign w:val="bottom"/>
            <w:tcBorders>
              <w:bottom w:val="single" w:sz="8" w:color="CCEEFF"/>
            </w:tcBorders>
            <w:shd w:val="clear" w:color="auto" w:fill="CCEEFF"/>
          </w:tcPr>
          <w:p>
            <w:pPr>
              <w:ind w:left="20"/>
              <w:spacing w:after="0" w:line="95" w:lineRule="exact"/>
              <w:rPr>
                <w:sz w:val="20"/>
                <w:szCs w:val="20"/>
                <w:color w:val="auto"/>
              </w:rPr>
            </w:pPr>
            <w:r>
              <w:rPr>
                <w:rFonts w:ascii="Arial" w:cs="Arial" w:eastAsia="Arial" w:hAnsi="Arial"/>
                <w:sz w:val="9"/>
                <w:szCs w:val="9"/>
                <w:color w:val="auto"/>
              </w:rPr>
              <w:t>(1)</w:t>
            </w:r>
          </w:p>
        </w:tc>
        <w:tc>
          <w:tcPr>
            <w:tcW w:w="2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(1,203)</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ind w:left="740"/>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70,365</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22,278</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48,087</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22,278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line="226" w:lineRule="auto"/>
        <w:tabs>
          <w:tab w:leader="none" w:pos="158"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2022, 2021 and 2020: (i) net loss of $(1,109), $(1,403) and $0 and (ii) depreciation and amortization of $224, $200 and $0,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i w:val="1"/>
          <w:iCs w:val="1"/>
          <w:color w:val="00497F"/>
        </w:rPr>
        <w:t>Comparison of the years ended December 31,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47"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Total Aerospace Products revenue increased $130.2 million primarily driven by an increase in sales relating to the CFM56-7B and CFM56-5B engines, engine modules, spare parts and used material inventory as operations continued to ramp-up in 2022. See above discussion regarding presentation of asset sales.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$81.6 million primarily due to an increase in costs of sales and operating expenses.</w:t>
      </w:r>
    </w:p>
    <w:p>
      <w:pPr>
        <w:spacing w:after="0" w:line="127"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 of sales increased $74.6 million primarily as a result of an increase in Aerospace Product sales and the gross presentation described above.</w:t>
      </w:r>
    </w:p>
    <w:p>
      <w:pPr>
        <w:spacing w:after="0" w:line="113"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Operating expenses increased $6.5 million primarily due to an increase in commission expenses due to the increase in sales from the used material program as well as an increase in professional fees and other operating expenses due to the ramp-up of Aerospace Products.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Total other income decreased $1.1 million which primarily reflects a decrease of $1.4 million in gain on sale of assets, net partially offset by a decrease of $0.3 million in our proportionate share of unconsolidated entities’ net loss. See above discussion regarding presentation of asset sales.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$48.1 million primarily due to the changes noted above.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4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Aerospace Products revenue increased $23.3 million primarily driven by an increase in sales relating to engine modules, spare parts and used material inventory as operations began in 2021.</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$19.8 million primarily due to an increase in costs of sales and operating expenses.</w:t>
      </w:r>
    </w:p>
    <w:p>
      <w:pPr>
        <w:spacing w:after="0" w:line="113"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 of sales increased $14.3 million primarily as a result of an increase in Aerospace Product sales.</w:t>
      </w:r>
    </w:p>
    <w:p>
      <w:pPr>
        <w:spacing w:after="0" w:line="126"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Operating expenses increased $5.4 million primarily due to an increase in commission expenses due to the increase in sales from the used serviceable material program as well as an increase in professional fees and other operating expenses due to the ramp-up of Aerospace Products.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income increased $18.5 million, which primarily reflects an increase of $19.9 million in gain on sale of assets, net from sales that began in 2021 partially offset by an increase of $1.4 million in our proportionate share of unconsolidated entities’ net loss.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$22.3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'22 vs '21</w:t>
            </w:r>
          </w:p>
        </w:tc>
        <w:tc>
          <w:tcPr>
            <w:tcW w:w="280" w:type="dxa"/>
            <w:vAlign w:val="bottom"/>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'21 vs '20</w:t>
            </w:r>
          </w:p>
        </w:tc>
        <w:tc>
          <w:tcPr>
            <w:tcW w:w="0" w:type="dxa"/>
            <w:vAlign w:val="bottom"/>
          </w:tcPr>
          <w:p>
            <w:pPr>
              <w:spacing w:after="0"/>
              <w:rPr>
                <w:sz w:val="1"/>
                <w:szCs w:val="1"/>
                <w:color w:val="auto"/>
              </w:rPr>
            </w:pPr>
          </w:p>
        </w:tc>
      </w:tr>
      <w:tr>
        <w:trPr>
          <w:trHeight w:val="188"/>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20,246</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10,131</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11,145</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10,115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6,702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19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26,948</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14,161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12,787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(2,562)</w:t>
            </w:r>
          </w:p>
        </w:tc>
        <w:tc>
          <w:tcPr>
            <w:tcW w:w="0" w:type="dxa"/>
            <w:vAlign w:val="bottom"/>
          </w:tcPr>
          <w:p>
            <w:pPr>
              <w:spacing w:after="0"/>
              <w:rPr>
                <w:sz w:val="1"/>
                <w:szCs w:val="1"/>
                <w:color w:val="auto"/>
              </w:rPr>
            </w:pPr>
          </w:p>
        </w:tc>
      </w:tr>
      <w:tr>
        <w:trPr>
          <w:trHeight w:val="242"/>
        </w:trPr>
        <w:tc>
          <w:tcPr>
            <w:tcW w:w="4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39,065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14,164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13,448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14,106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13,748</w:t>
            </w: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3,562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(4,762)</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9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169,194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155,017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87,442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67,575</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245,427</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215,503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137,011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29,924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78,492</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(19,859)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3,689</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(19,898)</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(3,217)</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(6,943)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(16,681)</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3,726</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(238,377)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(77,328)</w:t>
            </w:r>
          </w:p>
        </w:tc>
        <w:tc>
          <w:tcPr>
            <w:tcW w:w="0" w:type="dxa"/>
            <w:vAlign w:val="bottom"/>
          </w:tcPr>
          <w:p>
            <w:pPr>
              <w:spacing w:after="0"/>
              <w:rPr>
                <w:sz w:val="1"/>
                <w:szCs w:val="1"/>
                <w:color w:val="auto"/>
              </w:rPr>
            </w:pPr>
          </w:p>
        </w:tc>
      </w:tr>
      <w:tr>
        <w:trPr>
          <w:trHeight w:val="19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(238,214)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(204,477)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(76,777)</w:t>
            </w:r>
          </w:p>
        </w:tc>
        <w:tc>
          <w:tcPr>
            <w:tcW w:w="0" w:type="dxa"/>
            <w:vAlign w:val="bottom"/>
          </w:tcPr>
          <w:p>
            <w:pPr>
              <w:spacing w:after="0"/>
              <w:rPr>
                <w:sz w:val="1"/>
                <w:szCs w:val="1"/>
                <w:color w:val="auto"/>
              </w:rPr>
            </w:pPr>
          </w:p>
        </w:tc>
      </w:tr>
      <w:tr>
        <w:trPr>
          <w:trHeight w:val="133"/>
        </w:trPr>
        <w:tc>
          <w:tcPr>
            <w:tcW w:w="456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456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27,164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24,758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6,889</w:t>
            </w: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 from continuing operations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(265,378)</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(229,235)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(145,569)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(36,143)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(83,666)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'22 vs '21</w:t>
            </w:r>
          </w:p>
        </w:tc>
        <w:tc>
          <w:tcPr>
            <w:tcW w:w="280" w:type="dxa"/>
            <w:vAlign w:val="bottom"/>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'21 vs '20</w:t>
            </w:r>
          </w:p>
        </w:tc>
        <w:tc>
          <w:tcPr>
            <w:tcW w:w="0" w:type="dxa"/>
            <w:vAlign w:val="bottom"/>
          </w:tcPr>
          <w:p>
            <w:pPr>
              <w:spacing w:after="0"/>
              <w:rPr>
                <w:sz w:val="1"/>
                <w:szCs w:val="1"/>
                <w:color w:val="auto"/>
              </w:rPr>
            </w:pPr>
          </w:p>
        </w:tc>
      </w:tr>
      <w:tr>
        <w:trPr>
          <w:trHeight w:val="202"/>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 from continuing operations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(265,378)</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(229,235)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(145,569)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(36,143)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(83,666)</w:t>
            </w:r>
          </w:p>
        </w:tc>
        <w:tc>
          <w:tcPr>
            <w:tcW w:w="0" w:type="dxa"/>
            <w:vAlign w:val="bottom"/>
          </w:tcPr>
          <w:p>
            <w:pPr>
              <w:spacing w:after="0"/>
              <w:rPr>
                <w:sz w:val="1"/>
                <w:szCs w:val="1"/>
                <w:color w:val="auto"/>
              </w:rPr>
            </w:pPr>
          </w:p>
        </w:tc>
      </w:tr>
      <w:tr>
        <w:trPr>
          <w:trHeight w:val="196"/>
        </w:trPr>
        <w:tc>
          <w:tcPr>
            <w:tcW w:w="456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11,041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16,929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13,748</w:t>
            </w:r>
          </w:p>
        </w:tc>
        <w:tc>
          <w:tcPr>
            <w:tcW w:w="0" w:type="dxa"/>
            <w:vAlign w:val="bottom"/>
          </w:tcPr>
          <w:p>
            <w:pPr>
              <w:spacing w:after="0"/>
              <w:rPr>
                <w:sz w:val="1"/>
                <w:szCs w:val="1"/>
                <w:color w:val="auto"/>
              </w:rPr>
            </w:pPr>
          </w:p>
        </w:tc>
      </w:tr>
      <w:tr>
        <w:trPr>
          <w:trHeight w:val="17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19,859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(3,689)</w:t>
            </w: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3,489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96"/>
        </w:trPr>
        <w:tc>
          <w:tcPr>
            <w:tcW w:w="456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196,358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179,775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105,311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16,583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74,464</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60" w:type="dxa"/>
            <w:vAlign w:val="bottom"/>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(26,393)</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(21,363)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(22,283)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(5,030)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$12.8 million primarily due to an increase in the Offshore Energy business as two of our vessels were on-hire longer in 2022 compared to 2021.</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$29.9 million primarily due to higher interest expense, operating expenses, management fees and incentive allocation to affiliate partially offset by lower acquisition and transaction expenses.</w:t>
      </w:r>
    </w:p>
    <w:p>
      <w:pPr>
        <w:spacing w:after="0" w:line="101" w:lineRule="exact"/>
        <w:rPr>
          <w:sz w:val="20"/>
          <w:szCs w:val="20"/>
          <w:color w:val="auto"/>
        </w:rPr>
      </w:pPr>
    </w:p>
    <w:p>
      <w:pPr>
        <w:jc w:val="both"/>
        <w:ind w:left="660" w:hanging="328"/>
        <w:spacing w:after="0" w:line="254"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Interest expense increased $14.2 million, which reflects an increase in the average outstanding debt of approximately $354.7 million due to increases in (i) the Senior Notes due 2028 of $459.7 million, (ii) the 2021 Bridge Loans issued in December 2021 and February 2022 of $169.9 million and (iii) the Revolving Credit Facility of $49.7 million, partially offset by a decrease in (iv) the Bridge Loans of $108.3 million, (v) the Senior Notes due 2022 of $133.1 million, which was redeemed in full in May 2021, and (vi) the Senior Notes due 2025 of $83.2 million, which were partially redeemed in August 2022.</w:t>
      </w:r>
    </w:p>
    <w:p>
      <w:pPr>
        <w:spacing w:after="0" w:line="106"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Operating expenses increased $17.6 million which reflects increases in offshore crew expenses, project costs and other operating expenses as our vessels were on-hire longer in 2022 compared to 2021, as well as crane repairs on one of our vessels.</w:t>
      </w:r>
    </w:p>
    <w:p>
      <w:pPr>
        <w:spacing w:after="0" w:line="100"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Management fees and incentive allocation to affiliate increased $2.9 million primarily due to an increase in incentive fee due to the Manager.</w:t>
      </w:r>
    </w:p>
    <w:p>
      <w:pPr>
        <w:spacing w:after="0" w:line="113" w:lineRule="exact"/>
        <w:rPr>
          <w:rFonts w:ascii="Arial" w:cs="Arial" w:eastAsia="Arial" w:hAnsi="Arial"/>
          <w:sz w:val="16"/>
          <w:szCs w:val="16"/>
          <w:color w:val="auto"/>
        </w:rPr>
      </w:pPr>
    </w:p>
    <w:p>
      <w:pPr>
        <w:ind w:left="660" w:hanging="328"/>
        <w:spacing w:after="0" w:line="25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Acquisition and transaction expenses decreased $5.9 million primarily due a decrease in professional fees related to the Transtar acquisition in 2021.</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expense increased $16.7 million which primarily reflects $16.6 million increase in loss on extinguishment of debt primarily related to the pay-down of the 2021 Bridge Loans and the partial redemption of the Senior Notes due 2025.</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$5.0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i w:val="1"/>
          <w:iCs w:val="1"/>
          <w:color w:val="00497F"/>
        </w:rPr>
        <w:t>Comparison of the years ended December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revenues decreased $2.6 million primarily due to a decrease in the Offshore Energy business as one of our vessels was on-hire longer in 2020 compared to 2021.</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$78.5 million primarily due to higher interest expense and acquisition and transaction expenses, partially offset by lower management fees and incentive allocation to affiliate.</w:t>
      </w:r>
    </w:p>
    <w:p>
      <w:pPr>
        <w:spacing w:after="0" w:line="101" w:lineRule="exact"/>
        <w:rPr>
          <w:sz w:val="20"/>
          <w:szCs w:val="20"/>
          <w:color w:val="auto"/>
        </w:rPr>
      </w:pPr>
    </w:p>
    <w:p>
      <w:pPr>
        <w:jc w:val="both"/>
        <w:ind w:left="660" w:hanging="328"/>
        <w:spacing w:after="0" w:line="257"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expense increased $67.6 million, which reflects an increase in the average outstanding debt of approximately $724.0 million primarily due to increases in (i) the Senior Notes due 2028 of $542.5 million, (ii) the Senior Notes due 2025 of $373.1 million, (iii) the Senior Notes due 2027 of $200.0 million, (iv) the Bridge Loans of $108.3 million and (v) the Revolving Credit Facility of $37.9 million, partially offset by a decrease in (vi) the Senior Notes due 2022 of $540.2 million, which were redeemed in full in May 2021.</w:t>
      </w:r>
    </w:p>
    <w:p>
      <w:pPr>
        <w:spacing w:after="0" w:line="89"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Acquisition and transaction expenses increased $13.7 million primarily due an increase in professional fees related to the acquisition of Transtar and other strategic initiatives.</w:t>
      </w:r>
    </w:p>
    <w:p>
      <w:pPr>
        <w:spacing w:after="0" w:line="7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Management fees and incentive allocation to affiliate decreased $4.8 million which reflects a decrease in the base management fee as our average total equity was lower in 2021 compared to 2020.</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decreased $3.7 million which primarily reflects a $3.7 million decrease in loss on extinguishment of debt.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$0.9 million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Transactions with Affiliates and Affiliated Entities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managed by the Manager, an affiliate of Fortress, pursuant to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13 to our consolidated financial statements included elsewhere in this filing for more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Geographic Information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Please refer to Note 14 of our consolidated financial statements included in Item 8 in this Annual Report on Form 10-K for a report, by geographic area for each segment, of revenues from our external customers, for the years ended December 31, 2022, 2021 and 2020, as well as a report of our total property, plant and equipment as of December 31, 2022 and 2021.</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April 2022, the Board of Directors unanimously approved the spin-off of FTAI Infrastructure. The spin-off was effected as a distribution of all of the shares owned by the Company of common stock of FTAI Infrastructure to the holders of the Company’s ordinary shares as of July 21, 2022. The distribution was completed on August 1, 2022.</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connection with the spin-off, completed on August 1, 2022,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FTAI retained the aviation business and certain other assets, and FTAI’s remaining outstanding corporate indebtedness.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45" w:name="page46"/>
    <w:bookmarkEnd w:id="45"/>
    <w:p>
      <w:pPr>
        <w:jc w:val="both"/>
        <w:spacing w:after="0" w:line="262"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investments amid the COVID-19 pandemic and market volatility.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Our principal uses of liquidity have been and continue to be (i) acquisitions of aircraft and engines, (ii) dividends to our ordinary and preferred shareholders,</w:t>
      </w:r>
    </w:p>
    <w:p>
      <w:pPr>
        <w:spacing w:after="0" w:line="19"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expenses associated with our operating activities, and (iv) debt service obligations associated with our investments.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1"/>
          <w:numId w:val="25"/>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$831.5 million, $1.5 billion and $597.5 million during the years ended December 31, 2022, 2021, and 2020, respectively.</w:t>
      </w:r>
    </w:p>
    <w:p>
      <w:pPr>
        <w:spacing w:after="0" w:line="100" w:lineRule="exact"/>
        <w:rPr>
          <w:rFonts w:ascii="Arial" w:cs="Arial" w:eastAsia="Arial" w:hAnsi="Arial"/>
          <w:sz w:val="16"/>
          <w:szCs w:val="16"/>
          <w:color w:val="auto"/>
        </w:rPr>
      </w:pPr>
    </w:p>
    <w:p>
      <w:pPr>
        <w:ind w:left="660" w:hanging="328"/>
        <w:spacing w:after="0" w:line="260" w:lineRule="auto"/>
        <w:tabs>
          <w:tab w:leader="none" w:pos="649"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Distributions to shareholders, including cash dividends, were $155.6 million, $142.8 million and $131.4 million during the years ended December 31, 2022, 2021 and 2020, respectively.</w:t>
      </w:r>
    </w:p>
    <w:p>
      <w:pPr>
        <w:spacing w:after="0" w:line="100" w:lineRule="exact"/>
        <w:rPr>
          <w:rFonts w:ascii="Arial" w:cs="Arial" w:eastAsia="Arial" w:hAnsi="Arial"/>
          <w:sz w:val="16"/>
          <w:szCs w:val="16"/>
          <w:color w:val="auto"/>
        </w:rPr>
      </w:pPr>
    </w:p>
    <w:p>
      <w:pPr>
        <w:ind w:left="660" w:hanging="328"/>
        <w:spacing w:after="0" w:line="260" w:lineRule="auto"/>
        <w:tabs>
          <w:tab w:leader="none" w:pos="649" w:val="left"/>
        </w:tabs>
        <w:numPr>
          <w:ilvl w:val="1"/>
          <w:numId w:val="25"/>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aviation assets (including finance lease collections and maintenance reserve collections) net of operating expenses, (ii) proceeds from borrowings or the issuance of securities and (iii) proceeds from asset sales.</w:t>
      </w:r>
    </w:p>
    <w:p>
      <w:pPr>
        <w:spacing w:after="0" w:line="276" w:lineRule="exact"/>
        <w:rPr>
          <w:sz w:val="20"/>
          <w:szCs w:val="20"/>
          <w:color w:val="auto"/>
        </w:rPr>
      </w:pPr>
    </w:p>
    <w:p>
      <w:pPr>
        <w:ind w:left="660" w:hanging="328"/>
        <w:spacing w:after="0" w:line="278"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flows from operating activities, plus the principal collections on finance leases and maintenance reserve collections were $29.4 million, $16.9 million and $110.3 million during the years ended December 31, 2022, 2021, and 2020, respectively.</w:t>
      </w:r>
    </w:p>
    <w:p>
      <w:pPr>
        <w:spacing w:after="0" w:line="73"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year ended December 31, 2022, additional borrowings were obtained in connection with the (i) 2021 Bridge Loans of $239.5 million (ii) Revolving Credit Facility of $565.0 million and (iii) EB-5 Loan Agreement of $9.5 million. We made total principal repayments of (i) $604.5 million relating to the Revolving Credit Facility, (ii) $340.0 million related to the 2021 Bridge Loans and (iii) $200.0 million related to the Senior Notes due 2025.</w:t>
      </w:r>
    </w:p>
    <w:p>
      <w:pPr>
        <w:spacing w:after="0" w:line="102" w:lineRule="exact"/>
        <w:rPr>
          <w:rFonts w:ascii="Arial" w:cs="Arial" w:eastAsia="Arial" w:hAnsi="Arial"/>
          <w:sz w:val="16"/>
          <w:szCs w:val="16"/>
          <w:color w:val="auto"/>
        </w:rPr>
      </w:pPr>
    </w:p>
    <w:p>
      <w:pPr>
        <w:jc w:val="both"/>
        <w:ind w:left="660"/>
        <w:spacing w:after="0" w:line="257" w:lineRule="auto"/>
        <w:rPr>
          <w:rFonts w:ascii="Arial" w:cs="Arial" w:eastAsia="Arial" w:hAnsi="Arial"/>
          <w:sz w:val="16"/>
          <w:szCs w:val="16"/>
          <w:color w:val="auto"/>
        </w:rPr>
      </w:pPr>
      <w:r>
        <w:rPr>
          <w:rFonts w:ascii="Arial" w:cs="Arial" w:eastAsia="Arial" w:hAnsi="Arial"/>
          <w:sz w:val="16"/>
          <w:szCs w:val="16"/>
          <w:color w:val="auto"/>
        </w:rPr>
        <w:t>During the year ended December 31, 2021, additional borrowings were obtained in connection with the (i) Senior Notes due 2028 of $1.0 billion, (ii) Revolving Credit Facility of $690.0 million, (iii) Bridge Loan Agreement of $650.0 million, (iv) Series 2021 Bonds of $425.0 million, (v) 2021 Bridge Loans of $100.5 million and (vi) EB-5 Loan Agreement of $26.1 million. We made principal payments of $1.6 billion related to the Bridge Loan Agreement, Revolving Credit Facility and Senior Notes due 2022.</w:t>
      </w:r>
    </w:p>
    <w:p>
      <w:pPr>
        <w:spacing w:after="0" w:line="89" w:lineRule="exact"/>
        <w:rPr>
          <w:rFonts w:ascii="Arial" w:cs="Arial" w:eastAsia="Arial" w:hAnsi="Arial"/>
          <w:sz w:val="16"/>
          <w:szCs w:val="16"/>
          <w:color w:val="auto"/>
        </w:rPr>
      </w:pPr>
    </w:p>
    <w:p>
      <w:pPr>
        <w:jc w:val="both"/>
        <w:ind w:left="660"/>
        <w:spacing w:after="0" w:line="262" w:lineRule="auto"/>
        <w:rPr>
          <w:rFonts w:ascii="Arial" w:cs="Arial" w:eastAsia="Arial" w:hAnsi="Arial"/>
          <w:sz w:val="16"/>
          <w:szCs w:val="16"/>
          <w:color w:val="auto"/>
        </w:rPr>
      </w:pPr>
      <w:r>
        <w:rPr>
          <w:rFonts w:ascii="Arial" w:cs="Arial" w:eastAsia="Arial" w:hAnsi="Arial"/>
          <w:sz w:val="16"/>
          <w:szCs w:val="16"/>
          <w:color w:val="auto"/>
        </w:rPr>
        <w:t>During the year ended December 31, 2020, additional borrowings were obtained in connection with the (i) Senior Notes due 2025 of $407.0 million, (ii) Senior Notes due 2027 of $400.0 million, (iii) Revolving Credit Facility of $270.0 million and (iv) Series 2020 Bonds of $264.0 million. We made principal payments of $852.2 million related to the Senior Notes due 2022, Revolving Credit Facility, Series 2016 Bonds, Jefferson Revolver, Series 2012 Bonds and FTAI Pride Credit Agreement.</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Proceeds from the sale of subsidiaries and assets were $414.2 million, $163.4 million and $72.2 million during the years ended December 31, 2022, 2021, and 2020, respectively.</w:t>
      </w:r>
    </w:p>
    <w:p>
      <w:pPr>
        <w:spacing w:after="0" w:line="100"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Proceeds from the issuance of ordinary shares, net of issuance costs were $323.1 million during the year ended December 31, 2021. There were no issuances of ordinary shares in 2022 or 2020.</w:t>
      </w:r>
    </w:p>
    <w:p>
      <w:pPr>
        <w:spacing w:after="0" w:line="100"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$101.2 million and $19.7 million during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6" w:name="page47"/>
    <w:bookmarkEnd w:id="46"/>
    <w:p>
      <w:pPr>
        <w:jc w:val="both"/>
        <w:spacing w:after="0" w:line="262" w:lineRule="auto"/>
        <w:rPr>
          <w:sz w:val="20"/>
          <w:szCs w:val="20"/>
          <w:color w:val="auto"/>
        </w:rPr>
      </w:pPr>
      <w:r>
        <w:rPr>
          <w:rFonts w:ascii="Arial" w:cs="Arial" w:eastAsia="Arial" w:hAnsi="Arial"/>
          <w:sz w:val="16"/>
          <w:szCs w:val="16"/>
          <w:color w:val="auto"/>
        </w:rPr>
        <w:t>We are currently evaluating several potential transactions and related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historical cash flow from both continuing and discontinued operations: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88"/>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7"/>
        </w:trPr>
        <w:tc>
          <w:tcPr>
            <w:tcW w:w="6520" w:type="dxa"/>
            <w:vAlign w:val="bottom"/>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(20,657)</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(22,044)</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63,106</w:t>
            </w:r>
          </w:p>
        </w:tc>
      </w:tr>
      <w:tr>
        <w:trPr>
          <w:trHeight w:val="208"/>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(411,253)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(1,286,958)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(509,123)</w:t>
            </w:r>
          </w:p>
        </w:tc>
      </w:tr>
      <w:tr>
        <w:trPr>
          <w:trHeight w:val="190"/>
        </w:trPr>
        <w:tc>
          <w:tcPr>
            <w:tcW w:w="652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44,914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1,587,645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364,918</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2022 and 2021</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used in operating activities decreased $1.4 million, which primarily reflects certain adjustments to reconcile net loss to cash used in operating activities including increases in (i) asset impairment of $126.8 million, (ii) provision for credit losses of $35.0 million, (iii) equity in losses of unconsolidated entities of $34.2 million and (iv) loss on extinguishment of debt of $16.6 million partially offset by (v) an increase in gain on sale of assets of $92.6 million, (vi) an increase in our net loss of $81.3 million, and (vii) a decrease in net working capital of $35.3 million.</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used in investing activities decreased $875.7 million primarily due to (i) a decrease in cash used in acquisitions of business, net of cash acquired, of $623.3 million, (ii) higher proceeds from the sale of leasing equipment of $250.0 million and (iii) a decrease in investment of unconsolidated entities of $47.3 million, partially offset by (iv) an increase in acquisition of leasing equipment of $65.7 million and (ii) an increase in acquisition of lease intangibles of $7.1 million.</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Net cash provided by financing activities decreased $1.5 billion primarily due to (i) a decrease in proceeds from debt of $2.1 billion and (ii) a decrease in proceeds from issuance of ordinary shares, net of underwriter's discount of $323.1 million, partially offset by (iii) a one-time dividend from spin-off of FTAI Infrastructure, net of cash transferred of $500.6 million and (iv) a decrease in repayments of debt of $408.7 million.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Cash Flows of Discontinued Operations</w:t>
      </w:r>
    </w:p>
    <w:p>
      <w:pPr>
        <w:spacing w:after="0" w:line="2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cash flows related to discontinued operations have not been segregated and are included in the Consolidated Statements of Cash Flows for all periods presented. Cash used in operating activities from discontinued operations were $63.9 million, $61.7 million, and $46.9 million for the years ended December 31, 2022, 2021 and 2020, respectively. Cash used in investing activities from discontinued operations were $136.3 million, $828.7 million, and $252.2 million for the years ended December 31, 2022, 2021 and 2020, respectively.</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absence of cash flows from discontinued operations is not expected to adversely affect our liquidity or our ability to fund capital expenditures or working capital needs.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Our material cash requirements include the following contractual and other obligations:</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Debt Obligations</w:t>
      </w:r>
      <w:r>
        <w:rPr>
          <w:rFonts w:ascii="Arial" w:cs="Arial" w:eastAsia="Arial" w:hAnsi="Arial"/>
          <w:sz w:val="16"/>
          <w:szCs w:val="16"/>
          <w:i w:val="1"/>
          <w:iCs w:val="1"/>
          <w:color w:val="000000"/>
        </w:rPr>
        <w:t>—</w:t>
      </w:r>
      <w:r>
        <w:rPr>
          <w:rFonts w:ascii="Arial" w:cs="Arial" w:eastAsia="Arial" w:hAnsi="Arial"/>
          <w:sz w:val="16"/>
          <w:szCs w:val="16"/>
          <w:color w:val="000000"/>
        </w:rPr>
        <w:t>As of December 31, 2022, we had outstanding principal and interest payment obligations of $2.2 billion and $620.8 million through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maturity date of the debt, respectively, of which only interest payments of $147.3 million are due in the next twelve months. See Note 8 to the consolidated financial statements for additional information about our debt obligations.</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i w:val="1"/>
          <w:iCs w:val="1"/>
          <w:color w:val="00497F"/>
        </w:rPr>
        <w:t>Lease Obligations</w:t>
      </w:r>
      <w:r>
        <w:rPr>
          <w:rFonts w:ascii="Arial" w:cs="Arial" w:eastAsia="Arial" w:hAnsi="Arial"/>
          <w:sz w:val="16"/>
          <w:szCs w:val="16"/>
          <w:i w:val="1"/>
          <w:iCs w:val="1"/>
          <w:color w:val="000000"/>
        </w:rPr>
        <w:t>—</w:t>
      </w:r>
      <w:r>
        <w:rPr>
          <w:rFonts w:ascii="Arial" w:cs="Arial" w:eastAsia="Arial" w:hAnsi="Arial"/>
          <w:sz w:val="16"/>
          <w:szCs w:val="16"/>
          <w:color w:val="000000"/>
        </w:rPr>
        <w:t>As of December 31, 2022, we had outstanding operating and finance lease obligations of $2.9 million, of which, $0.8 million is due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next twelve months.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Other Cash Requirements</w:t>
      </w:r>
      <w:r>
        <w:rPr>
          <w:rFonts w:ascii="Arial" w:cs="Arial" w:eastAsia="Arial" w:hAnsi="Arial"/>
          <w:sz w:val="16"/>
          <w:szCs w:val="16"/>
          <w:i w:val="1"/>
          <w:iCs w:val="1"/>
          <w:color w:val="000000"/>
        </w:rPr>
        <w:t>—</w:t>
      </w:r>
      <w:r>
        <w:rPr>
          <w:rFonts w:ascii="Arial" w:cs="Arial" w:eastAsia="Arial" w:hAnsi="Arial"/>
          <w:sz w:val="16"/>
          <w:szCs w:val="16"/>
          <w:color w:val="000000"/>
        </w:rPr>
        <w:t>In addition to our contractual obligations, we pay quarterly cash dividends on our ordinary shares and preferred shares, which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subject to change at the discretion of our Board of Directors. During 2022, we declared cash dividends of $128.5 million and $27.2 million on our ordinary shares and preferred shares, respectively.</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Critical Accounting Estimates and Policies</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7" w:name="page48"/>
    <w:bookmarkEnd w:id="47"/>
    <w:p>
      <w:pPr>
        <w:jc w:val="both"/>
        <w:spacing w:after="0" w:line="260" w:lineRule="auto"/>
        <w:rPr>
          <w:sz w:val="20"/>
          <w:szCs w:val="20"/>
          <w:color w:val="auto"/>
        </w:rPr>
      </w:pPr>
      <w:r>
        <w:rPr>
          <w:rFonts w:ascii="Arial" w:cs="Arial" w:eastAsia="Arial" w:hAnsi="Arial"/>
          <w:sz w:val="16"/>
          <w:szCs w:val="16"/>
          <w:color w:val="auto"/>
        </w:rPr>
        <w:t>could differ from those estimates. Note 2 to the consolidated financial statements describes the significant accounting policies and methods used in the preparation of our consolidated financial statements.</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i w:val="1"/>
          <w:iCs w:val="1"/>
          <w:color w:val="000000"/>
        </w:rPr>
        <w:t>—</w:t>
      </w:r>
      <w:r>
        <w:rPr>
          <w:rFonts w:ascii="Arial" w:cs="Arial" w:eastAsia="Arial" w:hAnsi="Arial"/>
          <w:sz w:val="16"/>
          <w:szCs w:val="16"/>
          <w:color w:val="000000"/>
        </w:rPr>
        <w:t>We lease equipment pursuant to operating leases. Operating leases with fixed rentals and step rentals are recognized on a straight-line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paid by the lessee. In the event the total cost of maintenance events over the term of a lease is less than the cumulative maintenance payments, we are not required to return any unused or excess maintenance payments to the lessee.</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Asset sales revenue</w:t>
      </w:r>
      <w:r>
        <w:rPr>
          <w:rFonts w:ascii="Arial" w:cs="Arial" w:eastAsia="Arial" w:hAnsi="Arial"/>
          <w:sz w:val="16"/>
          <w:szCs w:val="16"/>
          <w:color w:val="000000"/>
        </w:rPr>
        <w:t>—Asset sales revenue primarily consists of the transaction price related to the sale of aircraft and aircraft engines from our Aviation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Leasing segment. From time to time, the Company may also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when a performance obligation is satisfied by transferring control over an asset to a customer. Revenue is recorded with corresponding costs of sales, presented on a gross basis in the Consolidated Statements of Operations. See Note 10 for additional information.</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Aerospace Products revenue</w:t>
      </w:r>
      <w:r>
        <w:rPr>
          <w:rFonts w:ascii="Arial" w:cs="Arial" w:eastAsia="Arial" w:hAnsi="Arial"/>
          <w:sz w:val="16"/>
          <w:szCs w:val="16"/>
          <w:color w:val="000000"/>
        </w:rPr>
        <w:t>—Aerospace Products revenue primarily consists of the transaction price related to the sale of repaired CFM56-7B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CFM56-5B engines, engine modules, spare parts and used material inventory, and are accounted for within the scope of ASC 606. Revenue is recognized when a performance obligation is satisfied by transferring control over the related asset to a customer. Revenue is recorded with corresponding costs of sales, presented on a gross basis in the Consolidated Statements of Operations.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to 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deposits in the Consolidated Balance Sheets. Reimbursements made to the lessee upon the receipt of evidence of qualifying maintenance work are recorded against the maintenance deposit liability.</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certain acquired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in the Consolidated Balance sheets, for the estimated value of the end-of-life maintenance payment at acquisition. We recognize payments received as end-of-lease compensation adjustments, within lease income or as a reduction to the maintenance right asset, when payment is received or collectability is assured. In the event we are required to make payments at the end of the lease for redelivery conditions, amounts are accrued as additional maintenance liability and expensed when we are obligated and can reasonably estimate such payments.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8" w:name="page49"/>
    <w:bookmarkEnd w:id="48"/>
    <w:p>
      <w:pPr>
        <w:jc w:val="both"/>
        <w:spacing w:after="0" w:line="275"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estimated useful lives, to estimated residual values which are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Asset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Range of Estimated Useful Lives</w:t>
            </w:r>
          </w:p>
        </w:tc>
        <w:tc>
          <w:tcPr>
            <w:tcW w:w="140" w:type="dxa"/>
            <w:vAlign w:val="bottom"/>
            <w:tcBorders>
              <w:bottom w:val="single" w:sz="8" w:color="CCEEFF"/>
            </w:tcBorders>
          </w:tcPr>
          <w:p>
            <w:pPr>
              <w:spacing w:after="0"/>
              <w:rPr>
                <w:sz w:val="17"/>
                <w:szCs w:val="17"/>
                <w:color w:val="auto"/>
              </w:rPr>
            </w:pPr>
          </w:p>
        </w:tc>
        <w:tc>
          <w:tcPr>
            <w:tcW w:w="3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6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Aircraft</w:t>
            </w:r>
          </w:p>
        </w:tc>
        <w:tc>
          <w:tcPr>
            <w:tcW w:w="3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Generally not to exceed 15% of manufacturer’s list</w:t>
            </w:r>
          </w:p>
        </w:tc>
      </w:tr>
      <w:tr>
        <w:trPr>
          <w:trHeight w:val="171"/>
        </w:trPr>
        <w:tc>
          <w:tcPr>
            <w:tcW w:w="4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when new</w:t>
            </w:r>
          </w:p>
        </w:tc>
      </w:tr>
      <w:tr>
        <w:trPr>
          <w:trHeight w:val="167"/>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Aircraft engines</w:t>
            </w:r>
          </w:p>
        </w:tc>
        <w:tc>
          <w:tcPr>
            <w:tcW w:w="120" w:type="dxa"/>
            <w:vAlign w:val="bottom"/>
          </w:tcPr>
          <w:p>
            <w:pPr>
              <w:ind w:left="20"/>
              <w:spacing w:after="0"/>
              <w:rPr>
                <w:sz w:val="20"/>
                <w:szCs w:val="20"/>
                <w:color w:val="auto"/>
              </w:rPr>
            </w:pPr>
            <w:r>
              <w:rPr>
                <w:rFonts w:ascii="Arial" w:cs="Arial" w:eastAsia="Arial" w:hAnsi="Arial"/>
                <w:sz w:val="14"/>
                <w:szCs w:val="14"/>
                <w:color w:val="auto"/>
              </w:rPr>
              <w:t>2</w:t>
            </w: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- 6 years, based on maintenance adjusted service</w:t>
            </w:r>
          </w:p>
        </w:tc>
        <w:tc>
          <w:tcPr>
            <w:tcW w:w="3460" w:type="dxa"/>
            <w:vAlign w:val="bottom"/>
          </w:tcPr>
          <w:p>
            <w:pPr>
              <w:ind w:left="20"/>
              <w:spacing w:after="0"/>
              <w:rPr>
                <w:sz w:val="20"/>
                <w:szCs w:val="20"/>
                <w:color w:val="auto"/>
              </w:rPr>
            </w:pPr>
            <w:r>
              <w:rPr>
                <w:rFonts w:ascii="Arial" w:cs="Arial" w:eastAsia="Arial" w:hAnsi="Arial"/>
                <w:sz w:val="14"/>
                <w:szCs w:val="14"/>
                <w:color w:val="auto"/>
              </w:rPr>
              <w:t>Sum of engine core salvage value plus the estimated</w:t>
            </w:r>
          </w:p>
        </w:tc>
      </w:tr>
      <w:tr>
        <w:trPr>
          <w:trHeight w:val="17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40" w:type="dxa"/>
            <w:vAlign w:val="bottom"/>
            <w:gridSpan w:val="3"/>
          </w:tcPr>
          <w:p>
            <w:pPr>
              <w:ind w:left="20"/>
              <w:spacing w:after="0"/>
              <w:rPr>
                <w:sz w:val="20"/>
                <w:szCs w:val="20"/>
                <w:color w:val="auto"/>
              </w:rPr>
            </w:pPr>
            <w:r>
              <w:rPr>
                <w:rFonts w:ascii="Arial" w:cs="Arial" w:eastAsia="Arial" w:hAnsi="Arial"/>
                <w:sz w:val="14"/>
                <w:szCs w:val="14"/>
                <w:color w:val="auto"/>
              </w:rPr>
              <w:t>life</w:t>
            </w:r>
          </w:p>
        </w:tc>
        <w:tc>
          <w:tcPr>
            <w:tcW w:w="3460" w:type="dxa"/>
            <w:vAlign w:val="bottom"/>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20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Aviation tooling and equipment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9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Offshore energy vessels</w:t>
            </w:r>
          </w:p>
        </w:tc>
        <w:tc>
          <w:tcPr>
            <w:tcW w:w="3540" w:type="dxa"/>
            <w:vAlign w:val="bottom"/>
            <w:gridSpan w:val="3"/>
          </w:tcPr>
          <w:p>
            <w:pPr>
              <w:ind w:left="20"/>
              <w:spacing w:after="0"/>
              <w:rPr>
                <w:sz w:val="20"/>
                <w:szCs w:val="20"/>
                <w:color w:val="auto"/>
              </w:rPr>
            </w:pPr>
            <w:r>
              <w:rPr>
                <w:rFonts w:ascii="Arial" w:cs="Arial" w:eastAsia="Arial" w:hAnsi="Arial"/>
                <w:sz w:val="14"/>
                <w:szCs w:val="14"/>
                <w:color w:val="auto"/>
              </w:rPr>
              <w:t>25 years from date of manufacture</w:t>
            </w:r>
          </w:p>
        </w:tc>
        <w:tc>
          <w:tcPr>
            <w:tcW w:w="3460" w:type="dxa"/>
            <w:vAlign w:val="bottom"/>
          </w:tcPr>
          <w:p>
            <w:pPr>
              <w:ind w:left="20"/>
              <w:spacing w:after="0"/>
              <w:rPr>
                <w:sz w:val="20"/>
                <w:szCs w:val="20"/>
                <w:color w:val="auto"/>
              </w:rPr>
            </w:pPr>
            <w:r>
              <w:rPr>
                <w:rFonts w:ascii="Arial" w:cs="Arial" w:eastAsia="Arial" w:hAnsi="Arial"/>
                <w:sz w:val="14"/>
                <w:szCs w:val="14"/>
                <w:color w:val="auto"/>
              </w:rPr>
              <w:t>10% of new build cost</w:t>
            </w:r>
          </w:p>
        </w:tc>
      </w:tr>
      <w:tr>
        <w:trPr>
          <w:trHeight w:val="20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r>
        <w:trPr>
          <w:trHeight w:val="19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tcPr>
          <w:p>
            <w:pPr>
              <w:ind w:left="20"/>
              <w:spacing w:after="0"/>
              <w:rPr>
                <w:sz w:val="20"/>
                <w:szCs w:val="20"/>
                <w:color w:val="auto"/>
              </w:rPr>
            </w:pPr>
            <w:r>
              <w:rPr>
                <w:rFonts w:ascii="Arial" w:cs="Arial" w:eastAsia="Arial" w:hAnsi="Arial"/>
                <w:sz w:val="14"/>
                <w:szCs w:val="14"/>
                <w:color w:val="auto"/>
              </w:rPr>
              <w:t>2</w:t>
            </w: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- 5 years from date of purchase</w:t>
            </w:r>
          </w:p>
        </w:tc>
        <w:tc>
          <w:tcPr>
            <w:tcW w:w="3460" w:type="dxa"/>
            <w:vAlign w:val="bottom"/>
          </w:tcPr>
          <w:p>
            <w:pPr>
              <w:ind w:left="20"/>
              <w:spacing w:after="0"/>
              <w:rPr>
                <w:sz w:val="20"/>
                <w:szCs w:val="20"/>
                <w:color w:val="auto"/>
              </w:rPr>
            </w:pPr>
            <w:r>
              <w:rPr>
                <w:rFonts w:ascii="Arial" w:cs="Arial" w:eastAsia="Arial" w:hAnsi="Arial"/>
                <w:sz w:val="14"/>
                <w:szCs w:val="14"/>
                <w:color w:val="auto"/>
              </w:rPr>
              <w:t>None</w:t>
            </w:r>
          </w:p>
        </w:tc>
      </w:tr>
      <w:tr>
        <w:trPr>
          <w:trHeight w:val="20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3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circumstances, or indicators, indicate that the carrying amount or net book value of an asset may not be recoverable. Indicators may include, but are not limited to, a significant lease restructuring or early lease termination; significant traffic decline; a significant change in market conditions; or the introduction of newer technology aircraft, vessels or engines. When performing a recoverability assessment, we measure whether the estimated future undiscounted net cash flows expected to be generated by the asset exceeds its net book value. The undiscounted cash flows consist of cash flows from currently contracted leases and contracts, future projected leases, transition costs, estimated down time and estimated residual or scrap values. In the event that an asset does not meet the recoverability test, the carrying value of the asset will be adjusted to fair value resulting in an impairment charge.</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residual values, economic conditions, technology, demand for a particular asset type and other factors.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Please see Note 2 to our consolidated financial statements included elsewhere in this filing for recent accounting pronouncements.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7A. Quantitative and Qualitative Disclosures About Market Risk</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revolver arrangements.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On March 5, 2021, the IBA Benchmark Administration confirmed its intention to cease publication of (i) one-week and two-month USD LIBOR settings after December 31, 2021 and (ii) the remaining USD LIBOR settings after June 30, 2023. We are monitoring related reform proposals and evaluating the related risks and, as a result of LIBOR’s phase out, amended our revolving credit facility to incorporate SOFR as the successor rate to LIBOR; however, it is not possible to predict the effects of any of these developments, and any future initiatives to regulate, reform or change the manner of administration of LIBOR could result in adverse consequences to the rate of interest payable and receivable on, market value of and market liquidity for financial instruments tied to variable interest rate indices.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Certain of our borrowing agreements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9" w:name="page50"/>
    <w:bookmarkEnd w:id="49"/>
    <w:p>
      <w:pPr>
        <w:jc w:val="both"/>
        <w:spacing w:after="0" w:line="255"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 In addition, the following discussion does not take into account our Series A and Series B preferred shares, on which distributions currently accrue interest at a fixed rate but will accrue interest at a floating rate based on a certain variable interest rate index plus a spread from and after September 15, 2024.</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December 31, 2022, assuming we do not hedge our exposure to interest rate fluctuations related to our outstanding floating rate debt, a hypothetical 100-basis point increase/decrease in our variable interest rate on our borrowings would result in an increase of approximately $1.5 million or a decrease of approximately $1.5 million in interest expense over the next 12 months.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00497F"/>
        </w:rPr>
        <w:t>Item 8. Financial Statements and Supplementary Data</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Index to Financial Statements: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000" w:type="dxa"/>
            <w:vAlign w:val="bottom"/>
          </w:tcPr>
          <w:p>
            <w:pPr>
              <w:spacing w:after="0"/>
              <w:rPr>
                <w:sz w:val="20"/>
                <w:szCs w:val="20"/>
                <w:color w:val="auto"/>
              </w:rPr>
            </w:pPr>
            <w:r>
              <w:rPr>
                <w:rFonts w:ascii="Arial" w:cs="Arial" w:eastAsia="Arial" w:hAnsi="Arial"/>
                <w:sz w:val="14"/>
                <w:szCs w:val="14"/>
                <w:b w:val="1"/>
                <w:bCs w:val="1"/>
                <w:color w:val="auto"/>
              </w:rPr>
              <w:t>Consolidated Financial Statements of FTAI Aviation Ltd.:</w:t>
            </w:r>
          </w:p>
        </w:tc>
        <w:tc>
          <w:tcPr>
            <w:tcW w:w="1940" w:type="dxa"/>
            <w:vAlign w:val="bottom"/>
          </w:tcPr>
          <w:p>
            <w:pPr>
              <w:spacing w:after="0"/>
              <w:rPr>
                <w:sz w:val="16"/>
                <w:szCs w:val="16"/>
                <w:color w:val="auto"/>
              </w:rPr>
            </w:pPr>
          </w:p>
        </w:tc>
      </w:tr>
      <w:tr>
        <w:trPr>
          <w:trHeight w:val="203"/>
        </w:trPr>
        <w:tc>
          <w:tcPr>
            <w:tcW w:w="9000" w:type="dxa"/>
            <w:vAlign w:val="bottom"/>
          </w:tcPr>
          <w:p>
            <w:pPr>
              <w:ind w:left="420"/>
              <w:spacing w:after="0"/>
              <w:rPr>
                <w:sz w:val="20"/>
                <w:szCs w:val="20"/>
                <w:color w:val="auto"/>
              </w:rPr>
            </w:pPr>
            <w:r>
              <w:rPr>
                <w:rFonts w:ascii="Arial" w:cs="Arial" w:eastAsia="Arial" w:hAnsi="Arial"/>
                <w:sz w:val="14"/>
                <w:szCs w:val="14"/>
                <w:color w:val="0E32E1"/>
              </w:rPr>
              <w:t>Report of Independent Registered Public Accounting Firm (PCAOB ID: 42)</w:t>
            </w:r>
          </w:p>
        </w:tc>
        <w:tc>
          <w:tcPr>
            <w:tcW w:w="1940" w:type="dxa"/>
            <w:vAlign w:val="bottom"/>
          </w:tcPr>
          <w:p>
            <w:pPr>
              <w:jc w:val="right"/>
              <w:spacing w:after="0"/>
              <w:rPr>
                <w:sz w:val="20"/>
                <w:szCs w:val="20"/>
                <w:color w:val="auto"/>
              </w:rPr>
            </w:pPr>
            <w:r>
              <w:rPr>
                <w:rFonts w:ascii="Arial" w:cs="Arial" w:eastAsia="Arial" w:hAnsi="Arial"/>
                <w:sz w:val="14"/>
                <w:szCs w:val="14"/>
                <w:color w:val="0E32E1"/>
              </w:rPr>
              <w:t>52</w:t>
            </w:r>
          </w:p>
        </w:tc>
      </w:tr>
      <w:tr>
        <w:trPr>
          <w:trHeight w:val="203"/>
        </w:trPr>
        <w:tc>
          <w:tcPr>
            <w:tcW w:w="9000" w:type="dxa"/>
            <w:vAlign w:val="bottom"/>
          </w:tcPr>
          <w:p>
            <w:pPr>
              <w:ind w:left="420"/>
              <w:spacing w:after="0"/>
              <w:rPr>
                <w:sz w:val="20"/>
                <w:szCs w:val="20"/>
                <w:color w:val="auto"/>
              </w:rPr>
            </w:pPr>
            <w:r>
              <w:rPr>
                <w:rFonts w:ascii="Arial" w:cs="Arial" w:eastAsia="Arial" w:hAnsi="Arial"/>
                <w:sz w:val="14"/>
                <w:szCs w:val="14"/>
                <w:color w:val="0E32E1"/>
              </w:rPr>
              <w:t>Consolidated Balance Sheets as of December 31, 2022 and 2021</w:t>
            </w:r>
          </w:p>
        </w:tc>
        <w:tc>
          <w:tcPr>
            <w:tcW w:w="1940" w:type="dxa"/>
            <w:vAlign w:val="bottom"/>
          </w:tcPr>
          <w:p>
            <w:pPr>
              <w:jc w:val="right"/>
              <w:spacing w:after="0"/>
              <w:rPr>
                <w:sz w:val="20"/>
                <w:szCs w:val="20"/>
                <w:color w:val="auto"/>
              </w:rPr>
            </w:pPr>
            <w:r>
              <w:rPr>
                <w:rFonts w:ascii="Arial" w:cs="Arial" w:eastAsia="Arial" w:hAnsi="Arial"/>
                <w:sz w:val="14"/>
                <w:szCs w:val="14"/>
                <w:color w:val="0E32E1"/>
              </w:rPr>
              <w:t>54</w:t>
            </w:r>
          </w:p>
        </w:tc>
      </w:tr>
      <w:tr>
        <w:trPr>
          <w:trHeight w:val="202"/>
        </w:trPr>
        <w:tc>
          <w:tcPr>
            <w:tcW w:w="9000" w:type="dxa"/>
            <w:vAlign w:val="bottom"/>
          </w:tcPr>
          <w:p>
            <w:pPr>
              <w:ind w:left="420"/>
              <w:spacing w:after="0"/>
              <w:rPr>
                <w:sz w:val="20"/>
                <w:szCs w:val="20"/>
                <w:color w:val="auto"/>
              </w:rPr>
            </w:pPr>
            <w:r>
              <w:rPr>
                <w:rFonts w:ascii="Arial" w:cs="Arial" w:eastAsia="Arial" w:hAnsi="Arial"/>
                <w:sz w:val="14"/>
                <w:szCs w:val="14"/>
                <w:color w:val="0E32E1"/>
              </w:rPr>
              <w:t>Consolidated Statements of Operations for the years ended December 31, 2022, 2021 and 2020</w:t>
            </w:r>
          </w:p>
        </w:tc>
        <w:tc>
          <w:tcPr>
            <w:tcW w:w="1940" w:type="dxa"/>
            <w:vAlign w:val="bottom"/>
          </w:tcPr>
          <w:p>
            <w:pPr>
              <w:jc w:val="right"/>
              <w:spacing w:after="0"/>
              <w:rPr>
                <w:sz w:val="20"/>
                <w:szCs w:val="20"/>
                <w:color w:val="auto"/>
              </w:rPr>
            </w:pPr>
            <w:r>
              <w:rPr>
                <w:rFonts w:ascii="Arial" w:cs="Arial" w:eastAsia="Arial" w:hAnsi="Arial"/>
                <w:sz w:val="14"/>
                <w:szCs w:val="14"/>
                <w:color w:val="0E32E1"/>
              </w:rPr>
              <w:t>55</w:t>
            </w:r>
          </w:p>
        </w:tc>
      </w:tr>
      <w:tr>
        <w:trPr>
          <w:trHeight w:val="203"/>
        </w:trPr>
        <w:tc>
          <w:tcPr>
            <w:tcW w:w="9000" w:type="dxa"/>
            <w:vAlign w:val="bottom"/>
          </w:tcPr>
          <w:p>
            <w:pPr>
              <w:ind w:left="420"/>
              <w:spacing w:after="0"/>
              <w:rPr>
                <w:sz w:val="20"/>
                <w:szCs w:val="20"/>
                <w:color w:val="auto"/>
              </w:rPr>
            </w:pPr>
            <w:r>
              <w:rPr>
                <w:rFonts w:ascii="Arial" w:cs="Arial" w:eastAsia="Arial" w:hAnsi="Arial"/>
                <w:sz w:val="14"/>
                <w:szCs w:val="14"/>
                <w:color w:val="0E32E1"/>
              </w:rPr>
              <w:t>Consolidated Statements of Comprehensive Loss for the years ended December 31, 2022, 2021 and 2020</w:t>
            </w:r>
          </w:p>
        </w:tc>
        <w:tc>
          <w:tcPr>
            <w:tcW w:w="1940" w:type="dxa"/>
            <w:vAlign w:val="bottom"/>
          </w:tcPr>
          <w:p>
            <w:pPr>
              <w:jc w:val="right"/>
              <w:spacing w:after="0"/>
              <w:rPr>
                <w:sz w:val="20"/>
                <w:szCs w:val="20"/>
                <w:color w:val="auto"/>
              </w:rPr>
            </w:pPr>
            <w:r>
              <w:rPr>
                <w:rFonts w:ascii="Arial" w:cs="Arial" w:eastAsia="Arial" w:hAnsi="Arial"/>
                <w:sz w:val="14"/>
                <w:szCs w:val="14"/>
                <w:color w:val="0E32E1"/>
              </w:rPr>
              <w:t>56</w:t>
            </w:r>
          </w:p>
        </w:tc>
      </w:tr>
      <w:tr>
        <w:trPr>
          <w:trHeight w:val="203"/>
        </w:trPr>
        <w:tc>
          <w:tcPr>
            <w:tcW w:w="9000" w:type="dxa"/>
            <w:vAlign w:val="bottom"/>
          </w:tcPr>
          <w:p>
            <w:pPr>
              <w:ind w:left="420"/>
              <w:spacing w:after="0"/>
              <w:rPr>
                <w:sz w:val="20"/>
                <w:szCs w:val="20"/>
                <w:color w:val="auto"/>
              </w:rPr>
            </w:pPr>
            <w:r>
              <w:rPr>
                <w:rFonts w:ascii="Arial" w:cs="Arial" w:eastAsia="Arial" w:hAnsi="Arial"/>
                <w:sz w:val="14"/>
                <w:szCs w:val="14"/>
                <w:color w:val="0E32E1"/>
              </w:rPr>
              <w:t>Consolidated Statement of Changes in Equity for the years ended December 31, 2022, 2021 and 2020</w:t>
            </w:r>
          </w:p>
        </w:tc>
        <w:tc>
          <w:tcPr>
            <w:tcW w:w="1940" w:type="dxa"/>
            <w:vAlign w:val="bottom"/>
          </w:tcPr>
          <w:p>
            <w:pPr>
              <w:jc w:val="right"/>
              <w:spacing w:after="0"/>
              <w:rPr>
                <w:sz w:val="20"/>
                <w:szCs w:val="20"/>
                <w:color w:val="auto"/>
              </w:rPr>
            </w:pPr>
            <w:r>
              <w:rPr>
                <w:rFonts w:ascii="Arial" w:cs="Arial" w:eastAsia="Arial" w:hAnsi="Arial"/>
                <w:sz w:val="14"/>
                <w:szCs w:val="14"/>
                <w:color w:val="0E32E1"/>
              </w:rPr>
              <w:t>57</w:t>
            </w:r>
          </w:p>
        </w:tc>
      </w:tr>
      <w:tr>
        <w:trPr>
          <w:trHeight w:val="203"/>
        </w:trPr>
        <w:tc>
          <w:tcPr>
            <w:tcW w:w="9000" w:type="dxa"/>
            <w:vAlign w:val="bottom"/>
          </w:tcPr>
          <w:p>
            <w:pPr>
              <w:ind w:left="420"/>
              <w:spacing w:after="0"/>
              <w:rPr>
                <w:sz w:val="20"/>
                <w:szCs w:val="20"/>
                <w:color w:val="auto"/>
              </w:rPr>
            </w:pPr>
            <w:r>
              <w:rPr>
                <w:rFonts w:ascii="Arial" w:cs="Arial" w:eastAsia="Arial" w:hAnsi="Arial"/>
                <w:sz w:val="14"/>
                <w:szCs w:val="14"/>
                <w:color w:val="0E32E1"/>
              </w:rPr>
              <w:t>Consolidated Statements of Cash Flows for the years ended December 31, 2022, 2021 and 2020</w:t>
            </w:r>
          </w:p>
        </w:tc>
        <w:tc>
          <w:tcPr>
            <w:tcW w:w="1940" w:type="dxa"/>
            <w:vAlign w:val="bottom"/>
          </w:tcPr>
          <w:p>
            <w:pPr>
              <w:jc w:val="right"/>
              <w:spacing w:after="0"/>
              <w:rPr>
                <w:sz w:val="20"/>
                <w:szCs w:val="20"/>
                <w:color w:val="auto"/>
              </w:rPr>
            </w:pPr>
            <w:r>
              <w:rPr>
                <w:rFonts w:ascii="Arial" w:cs="Arial" w:eastAsia="Arial" w:hAnsi="Arial"/>
                <w:sz w:val="14"/>
                <w:szCs w:val="14"/>
                <w:color w:val="0E32E1"/>
              </w:rPr>
              <w:t>58</w:t>
            </w:r>
          </w:p>
        </w:tc>
      </w:tr>
      <w:tr>
        <w:trPr>
          <w:trHeight w:val="203"/>
        </w:trPr>
        <w:tc>
          <w:tcPr>
            <w:tcW w:w="9000" w:type="dxa"/>
            <w:vAlign w:val="bottom"/>
          </w:tcPr>
          <w:p>
            <w:pPr>
              <w:ind w:left="420"/>
              <w:spacing w:after="0"/>
              <w:rPr>
                <w:sz w:val="20"/>
                <w:szCs w:val="20"/>
                <w:color w:val="auto"/>
              </w:rPr>
            </w:pPr>
            <w:r>
              <w:rPr>
                <w:rFonts w:ascii="Arial" w:cs="Arial" w:eastAsia="Arial" w:hAnsi="Arial"/>
                <w:sz w:val="14"/>
                <w:szCs w:val="14"/>
                <w:color w:val="0E32E1"/>
              </w:rPr>
              <w:t>Notes to Consolidated Financial Statements</w:t>
            </w:r>
          </w:p>
        </w:tc>
        <w:tc>
          <w:tcPr>
            <w:tcW w:w="1940" w:type="dxa"/>
            <w:vAlign w:val="bottom"/>
          </w:tcPr>
          <w:p>
            <w:pPr>
              <w:jc w:val="right"/>
              <w:spacing w:after="0"/>
              <w:rPr>
                <w:sz w:val="20"/>
                <w:szCs w:val="20"/>
                <w:color w:val="auto"/>
              </w:rPr>
            </w:pPr>
            <w:r>
              <w:rPr>
                <w:rFonts w:ascii="Arial" w:cs="Arial" w:eastAsia="Arial" w:hAnsi="Arial"/>
                <w:sz w:val="14"/>
                <w:szCs w:val="14"/>
                <w:color w:val="0E32E1"/>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31" w:right="619" w:bottom="1440" w:gutter="0" w:footer="0" w:header="0"/>
        </w:sectPr>
      </w:pPr>
    </w:p>
    <w:bookmarkStart w:id="51" w:name="page52"/>
    <w:bookmarkEnd w:id="51"/>
    <w:p>
      <w:pPr>
        <w:ind w:right="3380" w:firstLine="3379"/>
        <w:spacing w:after="0" w:line="474"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FTAI Aviation Ltd. </w:t>
      </w:r>
      <w:r>
        <w:rPr>
          <w:rFonts w:ascii="Arial" w:cs="Arial" w:eastAsia="Arial" w:hAnsi="Arial"/>
          <w:sz w:val="16"/>
          <w:szCs w:val="16"/>
          <w:b w:val="1"/>
          <w:bCs w:val="1"/>
          <w:color w:val="auto"/>
        </w:rPr>
        <w:t>Opinion on the Financial Statements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audited the accompanying consolidated balance sheets of FTAI Aviation Ltd. (the “Company”) as of December 31, 2022 and 2021, the related consolidated statements of operations, comprehensive loss, changes in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27, 2023 expressed an unqualified opinion thereon.</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PCAOB.</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2" w:name="page53"/>
    <w:bookmarkEnd w:id="52"/>
    <w:p>
      <w:pPr>
        <w:ind w:left="1600"/>
        <w:spacing w:after="0"/>
        <w:rPr>
          <w:sz w:val="20"/>
          <w:szCs w:val="20"/>
          <w:color w:val="auto"/>
        </w:rPr>
      </w:pPr>
      <w:r>
        <w:rPr>
          <w:rFonts w:ascii="Arial" w:cs="Arial" w:eastAsia="Arial" w:hAnsi="Arial"/>
          <w:sz w:val="16"/>
          <w:szCs w:val="16"/>
          <w:b w:val="1"/>
          <w:bCs w:val="1"/>
          <w:color w:val="auto"/>
        </w:rPr>
        <w:t>Recognition of Maintenance Revenue for Aircraft Leases</w:t>
      </w:r>
    </w:p>
    <w:p>
      <w:pPr>
        <w:sectPr>
          <w:pgSz w:w="11900" w:h="16838" w:orient="portrait"/>
          <w:cols w:equalWidth="0" w:num="1">
            <w:col w:w="11220"/>
          </w:cols>
          <w:pgMar w:left="320" w:top="1188" w:right="3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20"/>
        <w:spacing w:after="0" w:line="251" w:lineRule="auto"/>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As described in Note 2 to the consolidated financial statements, the Company recognizes maintenance revenue for aircraft leases related to the portion of maintenance payments received from lessees that are not expected to be reimbursed for maintenance events.</w:t>
      </w:r>
    </w:p>
    <w:p>
      <w:pPr>
        <w:spacing w:after="0" w:line="1" w:lineRule="exact"/>
        <w:rPr>
          <w:sz w:val="20"/>
          <w:szCs w:val="20"/>
          <w:color w:val="auto"/>
        </w:rPr>
      </w:pPr>
    </w:p>
    <w:p>
      <w:pPr>
        <w:sectPr>
          <w:pgSz w:w="11900" w:h="16838" w:orient="portrait"/>
          <w:cols w:equalWidth="0" w:num="2">
            <w:col w:w="1280" w:space="320"/>
            <w:col w:w="9620"/>
          </w:cols>
          <w:pgMar w:left="320" w:top="1188" w:right="359" w:bottom="1440" w:gutter="0" w:footer="0" w:header="0"/>
          <w:type w:val="continuous"/>
        </w:sectPr>
      </w:pPr>
    </w:p>
    <w:p>
      <w:pPr>
        <w:ind w:left="1600" w:right="20"/>
        <w:spacing w:after="0" w:line="237" w:lineRule="auto"/>
        <w:rPr>
          <w:sz w:val="20"/>
          <w:szCs w:val="20"/>
          <w:color w:val="auto"/>
        </w:rPr>
      </w:pPr>
      <w:r>
        <w:rPr>
          <w:rFonts w:ascii="Arial" w:cs="Arial" w:eastAsia="Arial" w:hAnsi="Arial"/>
          <w:sz w:val="16"/>
          <w:szCs w:val="16"/>
          <w:color w:val="auto"/>
        </w:rPr>
        <w:t>Revenue related to maintenance on leased aircraft is recorded as a component of maintenance revenue, which totaled $148.8 million for the year ended December 31, 2022, as disclosed in Note 10.</w:t>
      </w:r>
    </w:p>
    <w:p>
      <w:pPr>
        <w:spacing w:after="0" w:line="171" w:lineRule="exact"/>
        <w:rPr>
          <w:sz w:val="20"/>
          <w:szCs w:val="20"/>
          <w:color w:val="auto"/>
        </w:rPr>
      </w:pPr>
    </w:p>
    <w:p>
      <w:pPr>
        <w:ind w:left="1600"/>
        <w:spacing w:after="0" w:line="237" w:lineRule="auto"/>
        <w:rPr>
          <w:sz w:val="20"/>
          <w:szCs w:val="20"/>
          <w:color w:val="auto"/>
        </w:rPr>
      </w:pPr>
      <w:r>
        <w:rPr>
          <w:rFonts w:ascii="Arial" w:cs="Arial" w:eastAsia="Arial" w:hAnsi="Arial"/>
          <w:sz w:val="16"/>
          <w:szCs w:val="16"/>
          <w:color w:val="auto"/>
        </w:rPr>
        <w:t>Auditing maintenance revenue related to aircraft leases was complex and highly judgmental due to the significant estimation involved in projecting the timing of future major maintenance events. In particular, the estimate is sensitive to the mean time between removal</w:t>
      </w:r>
    </w:p>
    <w:p>
      <w:pPr>
        <w:spacing w:after="0" w:line="1" w:lineRule="exact"/>
        <w:rPr>
          <w:sz w:val="20"/>
          <w:szCs w:val="20"/>
          <w:color w:val="auto"/>
        </w:rPr>
      </w:pPr>
    </w:p>
    <w:p>
      <w:pPr>
        <w:ind w:left="1600"/>
        <w:spacing w:after="0" w:line="242" w:lineRule="auto"/>
        <w:rPr>
          <w:sz w:val="20"/>
          <w:szCs w:val="20"/>
          <w:color w:val="auto"/>
        </w:rPr>
      </w:pPr>
      <w:r>
        <w:rPr>
          <w:rFonts w:ascii="Arial" w:cs="Arial" w:eastAsia="Arial" w:hAnsi="Arial"/>
          <w:sz w:val="16"/>
          <w:szCs w:val="16"/>
          <w:color w:val="auto"/>
        </w:rPr>
        <w:t>(MTBR) assumption, which is affected by historical usage patterns and overall industry, market and economic conditions. Significant changes to this assumption could have a material effect on the amount of maintenance revenue recognized in the period.</w:t>
      </w:r>
    </w:p>
    <w:p>
      <w:pPr>
        <w:sectPr>
          <w:pgSz w:w="11900" w:h="16838" w:orient="portrait"/>
          <w:cols w:equalWidth="0" w:num="1">
            <w:col w:w="11220"/>
          </w:cols>
          <w:pgMar w:left="320" w:top="1188" w:right="359" w:bottom="1440" w:gutter="0" w:footer="0" w:header="0"/>
          <w:type w:val="continuous"/>
        </w:sectPr>
      </w:pPr>
    </w:p>
    <w:p>
      <w:pPr>
        <w:spacing w:after="0" w:line="207" w:lineRule="exact"/>
        <w:rPr>
          <w:sz w:val="20"/>
          <w:szCs w:val="20"/>
          <w:color w:val="auto"/>
        </w:rPr>
      </w:pPr>
    </w:p>
    <w:p>
      <w:pPr>
        <w:ind w:left="20"/>
        <w:spacing w:after="0" w:line="251" w:lineRule="auto"/>
        <w:rPr>
          <w:sz w:val="20"/>
          <w:szCs w:val="20"/>
          <w:color w:val="auto"/>
        </w:rPr>
      </w:pPr>
      <w:r>
        <w:rPr>
          <w:rFonts w:ascii="Arial" w:cs="Arial" w:eastAsia="Arial" w:hAnsi="Arial"/>
          <w:sz w:val="16"/>
          <w:szCs w:val="16"/>
          <w:i w:val="1"/>
          <w:iCs w:val="1"/>
          <w:color w:val="auto"/>
        </w:rPr>
        <w:t>How We Addressed the Matter in Our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maintenance revenue recognition process, including controls over management’s review of the estimated timing of major maintenance</w:t>
      </w:r>
    </w:p>
    <w:p>
      <w:pPr>
        <w:spacing w:after="0" w:line="1" w:lineRule="exact"/>
        <w:rPr>
          <w:sz w:val="20"/>
          <w:szCs w:val="20"/>
          <w:color w:val="auto"/>
        </w:rPr>
      </w:pPr>
    </w:p>
    <w:p>
      <w:pPr>
        <w:sectPr>
          <w:pgSz w:w="11900" w:h="16838" w:orient="portrait"/>
          <w:cols w:equalWidth="0" w:num="2">
            <w:col w:w="1460" w:space="140"/>
            <w:col w:w="9620"/>
          </w:cols>
          <w:pgMar w:left="320" w:top="1188" w:right="359" w:bottom="1440" w:gutter="0" w:footer="0" w:header="0"/>
          <w:type w:val="continuous"/>
        </w:sectPr>
      </w:pPr>
    </w:p>
    <w:p>
      <w:pPr>
        <w:ind w:left="20"/>
        <w:spacing w:after="0"/>
        <w:rPr>
          <w:sz w:val="20"/>
          <w:szCs w:val="20"/>
          <w:color w:val="auto"/>
        </w:rPr>
      </w:pPr>
      <w:r>
        <w:rPr>
          <w:rFonts w:ascii="Arial" w:cs="Arial" w:eastAsia="Arial" w:hAnsi="Arial"/>
          <w:sz w:val="16"/>
          <w:szCs w:val="16"/>
          <w:i w:val="1"/>
          <w:iCs w:val="1"/>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events as described above.</w:t>
      </w:r>
    </w:p>
    <w:p>
      <w:pPr>
        <w:spacing w:after="0" w:line="161" w:lineRule="exact"/>
        <w:rPr>
          <w:sz w:val="20"/>
          <w:szCs w:val="20"/>
          <w:color w:val="auto"/>
        </w:rPr>
      </w:pPr>
    </w:p>
    <w:p>
      <w:pPr>
        <w:sectPr>
          <w:pgSz w:w="11900" w:h="16838" w:orient="portrait"/>
          <w:cols w:equalWidth="0" w:num="2">
            <w:col w:w="880" w:space="720"/>
            <w:col w:w="9620"/>
          </w:cols>
          <w:pgMar w:left="320" w:top="1188" w:right="359" w:bottom="1440" w:gutter="0" w:footer="0" w:header="0"/>
          <w:type w:val="continuous"/>
        </w:sectPr>
      </w:pPr>
    </w:p>
    <w:p>
      <w:pPr>
        <w:ind w:left="1600"/>
        <w:spacing w:after="0"/>
        <w:rPr>
          <w:sz w:val="20"/>
          <w:szCs w:val="20"/>
          <w:color w:val="auto"/>
        </w:rPr>
      </w:pPr>
      <w:r>
        <w:rPr>
          <w:rFonts w:ascii="Arial" w:cs="Arial" w:eastAsia="Arial" w:hAnsi="Arial"/>
          <w:sz w:val="16"/>
          <w:szCs w:val="16"/>
          <w:color w:val="auto"/>
        </w:rPr>
        <w:t>To test maintenance revenue for aircraft leases, we performed audit procedures that included, among others, assessing the</w:t>
      </w:r>
    </w:p>
    <w:p>
      <w:pPr>
        <w:spacing w:after="0" w:line="5" w:lineRule="exact"/>
        <w:rPr>
          <w:sz w:val="20"/>
          <w:szCs w:val="20"/>
          <w:color w:val="auto"/>
        </w:rPr>
      </w:pPr>
    </w:p>
    <w:p>
      <w:pPr>
        <w:ind w:left="1600"/>
        <w:spacing w:after="0" w:line="237" w:lineRule="auto"/>
        <w:rPr>
          <w:sz w:val="20"/>
          <w:szCs w:val="20"/>
          <w:color w:val="auto"/>
        </w:rPr>
      </w:pPr>
      <w:r>
        <w:rPr>
          <w:rFonts w:ascii="Arial" w:cs="Arial" w:eastAsia="Arial" w:hAnsi="Arial"/>
          <w:sz w:val="16"/>
          <w:szCs w:val="16"/>
          <w:color w:val="auto"/>
        </w:rPr>
        <w:t>Company’s revenue recognition methodology and testing the MTBR assumption described above. For example, we compared the MTBR assumption to third-party estimates and assessed management’s retrospective review of timing of estimated maintenance</w:t>
      </w:r>
    </w:p>
    <w:p>
      <w:pPr>
        <w:spacing w:after="0" w:line="1" w:lineRule="exact"/>
        <w:rPr>
          <w:sz w:val="20"/>
          <w:szCs w:val="20"/>
          <w:color w:val="auto"/>
        </w:rPr>
      </w:pPr>
    </w:p>
    <w:p>
      <w:pPr>
        <w:ind w:left="1600"/>
        <w:spacing w:after="0" w:line="237" w:lineRule="auto"/>
        <w:rPr>
          <w:sz w:val="20"/>
          <w:szCs w:val="20"/>
          <w:color w:val="auto"/>
        </w:rPr>
      </w:pPr>
      <w:r>
        <w:rPr>
          <w:rFonts w:ascii="Arial" w:cs="Arial" w:eastAsia="Arial" w:hAnsi="Arial"/>
          <w:sz w:val="16"/>
          <w:szCs w:val="16"/>
          <w:color w:val="auto"/>
        </w:rPr>
        <w:t>events to actual results to assess the historical accuracy of the MTBR assumption and contrary evidence, if any. We performed testing on maintenance revenue due to changes in timing of maintenance events and the impact, if any, on maintenance revenue recognized</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in the period. We also involved our valuation specialists to assist in our evaluation of the appropriateness of the MTBR assumption.</w:t>
      </w:r>
    </w:p>
    <w:p>
      <w:pPr>
        <w:sectPr>
          <w:pgSz w:w="11900" w:h="16838" w:orient="portrait"/>
          <w:cols w:equalWidth="0" w:num="1">
            <w:col w:w="11220"/>
          </w:cols>
          <w:pgMar w:left="320" w:top="118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 except share and per share data)</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4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380" w:type="dxa"/>
            <w:vAlign w:val="bottom"/>
          </w:tcPr>
          <w:p>
            <w:pPr>
              <w:spacing w:after="0"/>
              <w:rPr>
                <w:sz w:val="17"/>
                <w:szCs w:val="17"/>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8"/>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33,565</w:t>
            </w:r>
          </w:p>
        </w:tc>
        <w:tc>
          <w:tcPr>
            <w:tcW w:w="12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138,206</w:t>
            </w:r>
          </w:p>
        </w:tc>
        <w:tc>
          <w:tcPr>
            <w:tcW w:w="0" w:type="dxa"/>
            <w:vAlign w:val="bottom"/>
          </w:tcPr>
          <w:p>
            <w:pPr>
              <w:spacing w:after="0"/>
              <w:rPr>
                <w:sz w:val="1"/>
                <w:szCs w:val="1"/>
                <w:color w:val="auto"/>
              </w:rPr>
            </w:pPr>
          </w:p>
        </w:tc>
      </w:tr>
      <w:tr>
        <w:trPr>
          <w:trHeight w:val="208"/>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19,500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99,443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124,924</w:t>
            </w:r>
          </w:p>
        </w:tc>
        <w:tc>
          <w:tcPr>
            <w:tcW w:w="0" w:type="dxa"/>
            <w:vAlign w:val="bottom"/>
          </w:tcPr>
          <w:p>
            <w:pPr>
              <w:spacing w:after="0"/>
              <w:rPr>
                <w:sz w:val="1"/>
                <w:szCs w:val="1"/>
                <w:color w:val="auto"/>
              </w:rPr>
            </w:pPr>
          </w:p>
        </w:tc>
      </w:tr>
      <w:tr>
        <w:trPr>
          <w:trHeight w:val="208"/>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1,913,553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1,855,637</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72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10,014</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38,263</w:t>
            </w:r>
          </w:p>
        </w:tc>
        <w:tc>
          <w:tcPr>
            <w:tcW w:w="0" w:type="dxa"/>
            <w:vAlign w:val="bottom"/>
          </w:tcPr>
          <w:p>
            <w:pPr>
              <w:spacing w:after="0"/>
              <w:rPr>
                <w:sz w:val="1"/>
                <w:szCs w:val="1"/>
                <w:color w:val="auto"/>
              </w:rPr>
            </w:pPr>
          </w:p>
        </w:tc>
      </w:tr>
      <w:tr>
        <w:trPr>
          <w:trHeight w:val="208"/>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22,037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22,917</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72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41,955</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30,962</w:t>
            </w:r>
          </w:p>
        </w:tc>
        <w:tc>
          <w:tcPr>
            <w:tcW w:w="0" w:type="dxa"/>
            <w:vAlign w:val="bottom"/>
          </w:tcPr>
          <w:p>
            <w:pPr>
              <w:spacing w:after="0"/>
              <w:rPr>
                <w:sz w:val="1"/>
                <w:szCs w:val="1"/>
                <w:color w:val="auto"/>
              </w:rPr>
            </w:pPr>
          </w:p>
        </w:tc>
      </w:tr>
      <w:tr>
        <w:trPr>
          <w:trHeight w:val="208"/>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Inventory,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163,676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100,307</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125,834</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110,337</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discontinued operations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2,442,301</w:t>
            </w:r>
          </w:p>
        </w:tc>
        <w:tc>
          <w:tcPr>
            <w:tcW w:w="0" w:type="dxa"/>
            <w:vAlign w:val="bottom"/>
          </w:tcPr>
          <w:p>
            <w:pPr>
              <w:spacing w:after="0"/>
              <w:rPr>
                <w:sz w:val="1"/>
                <w:szCs w:val="1"/>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2,429,577</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4,863,854</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86,452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87,035</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color w:val="auto"/>
              </w:rPr>
              <w:t>Debt, net</w:t>
            </w:r>
          </w:p>
        </w:tc>
        <w:tc>
          <w:tcPr>
            <w:tcW w:w="72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2,175,727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2,501,587</w:t>
            </w:r>
          </w:p>
        </w:tc>
        <w:tc>
          <w:tcPr>
            <w:tcW w:w="0" w:type="dxa"/>
            <w:vAlign w:val="bottom"/>
          </w:tcPr>
          <w:p>
            <w:pPr>
              <w:spacing w:after="0"/>
              <w:rPr>
                <w:sz w:val="1"/>
                <w:szCs w:val="1"/>
                <w:color w:val="auto"/>
              </w:rPr>
            </w:pPr>
          </w:p>
        </w:tc>
      </w:tr>
      <w:tr>
        <w:trPr>
          <w:trHeight w:val="208"/>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deposits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78,686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106,836</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color w:val="auto"/>
              </w:rPr>
              <w:t>Security deposits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32,842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40,149</w:t>
            </w:r>
          </w:p>
        </w:tc>
        <w:tc>
          <w:tcPr>
            <w:tcW w:w="0" w:type="dxa"/>
            <w:vAlign w:val="bottom"/>
          </w:tcPr>
          <w:p>
            <w:pPr>
              <w:spacing w:after="0"/>
              <w:rPr>
                <w:sz w:val="1"/>
                <w:szCs w:val="1"/>
                <w:color w:val="auto"/>
              </w:rPr>
            </w:pPr>
          </w:p>
        </w:tc>
      </w:tr>
      <w:tr>
        <w:trPr>
          <w:trHeight w:val="208"/>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36,468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23,892</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color w:val="auto"/>
              </w:rPr>
              <w:t>Liabilities of discontinued operations</w:t>
            </w:r>
          </w:p>
        </w:tc>
        <w:tc>
          <w:tcPr>
            <w:tcW w:w="72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980,255</w:t>
            </w: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2,410,175</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3,739,754</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6940" w:type="dxa"/>
            <w:vAlign w:val="bottom"/>
          </w:tcPr>
          <w:p>
            <w:pPr>
              <w:ind w:left="20"/>
              <w:spacing w:after="0"/>
              <w:rPr>
                <w:sz w:val="20"/>
                <w:szCs w:val="20"/>
                <w:color w:val="auto"/>
              </w:rPr>
            </w:pPr>
            <w:r>
              <w:rPr>
                <w:rFonts w:ascii="Arial" w:cs="Arial" w:eastAsia="Arial" w:hAnsi="Arial"/>
                <w:sz w:val="14"/>
                <w:szCs w:val="14"/>
                <w:color w:val="auto"/>
              </w:rPr>
              <w:t>Ordinary shares ($0.01 par value per share; 2,000,000,000 shares authorized; 99,716,621 and 99,180,385</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997</w:t>
            </w:r>
          </w:p>
        </w:tc>
        <w:tc>
          <w:tcPr>
            <w:tcW w:w="120" w:type="dxa"/>
            <w:vAlign w:val="bottom"/>
          </w:tcPr>
          <w:p>
            <w:pPr>
              <w:spacing w:after="0"/>
              <w:rPr>
                <w:sz w:val="14"/>
                <w:szCs w:val="14"/>
                <w:color w:val="auto"/>
              </w:rPr>
            </w:pPr>
          </w:p>
        </w:tc>
        <w:tc>
          <w:tcPr>
            <w:tcW w:w="54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71"/>
        </w:trPr>
        <w:tc>
          <w:tcPr>
            <w:tcW w:w="6940" w:type="dxa"/>
            <w:vAlign w:val="bottom"/>
          </w:tcPr>
          <w:p>
            <w:pPr>
              <w:ind w:left="20"/>
              <w:spacing w:after="0"/>
              <w:rPr>
                <w:sz w:val="20"/>
                <w:szCs w:val="20"/>
                <w:color w:val="auto"/>
              </w:rPr>
            </w:pPr>
            <w:r>
              <w:rPr>
                <w:rFonts w:ascii="Arial" w:cs="Arial" w:eastAsia="Arial" w:hAnsi="Arial"/>
                <w:sz w:val="14"/>
                <w:szCs w:val="14"/>
                <w:color w:val="auto"/>
              </w:rPr>
              <w:t>shares issued and outstanding as of December 31, 2022 and 2021, respectively)</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 ($0.01 par value per share; 200,000,000 shares authorized; 13,320,000 and 13,320,000</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71"/>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and outstanding as of December 31, 2022 and 2021, respectively)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40" w:type="dxa"/>
            <w:vAlign w:val="bottom"/>
          </w:tcPr>
          <w:p>
            <w:pPr>
              <w:ind w:left="20"/>
              <w:spacing w:after="0"/>
              <w:rPr>
                <w:sz w:val="20"/>
                <w:szCs w:val="20"/>
                <w:color w:val="auto"/>
              </w:rPr>
            </w:pPr>
            <w:r>
              <w:rPr>
                <w:rFonts w:ascii="Arial" w:cs="Arial" w:eastAsia="Arial" w:hAnsi="Arial"/>
                <w:sz w:val="14"/>
                <w:szCs w:val="14"/>
                <w:color w:val="auto"/>
              </w:rPr>
              <w:t>Additional paid in capital</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343,350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1,411,940</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(325,602)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(132,392)</w:t>
            </w:r>
          </w:p>
        </w:tc>
        <w:tc>
          <w:tcPr>
            <w:tcW w:w="0" w:type="dxa"/>
            <w:vAlign w:val="bottom"/>
          </w:tcPr>
          <w:p>
            <w:pPr>
              <w:spacing w:after="0"/>
              <w:rPr>
                <w:sz w:val="1"/>
                <w:szCs w:val="1"/>
                <w:color w:val="auto"/>
              </w:rPr>
            </w:pPr>
          </w:p>
        </w:tc>
      </w:tr>
      <w:tr>
        <w:trPr>
          <w:trHeight w:val="196"/>
        </w:trPr>
        <w:tc>
          <w:tcPr>
            <w:tcW w:w="694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(156,381)</w:t>
            </w:r>
          </w:p>
        </w:tc>
        <w:tc>
          <w:tcPr>
            <w:tcW w:w="0" w:type="dxa"/>
            <w:vAlign w:val="bottom"/>
          </w:tcPr>
          <w:p>
            <w:pPr>
              <w:spacing w:after="0"/>
              <w:rPr>
                <w:sz w:val="1"/>
                <w:szCs w:val="1"/>
                <w:color w:val="auto"/>
              </w:rPr>
            </w:pPr>
          </w:p>
        </w:tc>
      </w:tr>
      <w:tr>
        <w:trPr>
          <w:trHeight w:val="202"/>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18,878</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1,124,292</w:t>
            </w:r>
          </w:p>
        </w:tc>
        <w:tc>
          <w:tcPr>
            <w:tcW w:w="0" w:type="dxa"/>
            <w:vAlign w:val="bottom"/>
          </w:tcPr>
          <w:p>
            <w:pPr>
              <w:spacing w:after="0"/>
              <w:rPr>
                <w:sz w:val="1"/>
                <w:szCs w:val="1"/>
                <w:color w:val="auto"/>
              </w:rPr>
            </w:pPr>
          </w:p>
        </w:tc>
      </w:tr>
      <w:tr>
        <w:trPr>
          <w:trHeight w:val="197"/>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524</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19,402</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1,124,100</w:t>
            </w:r>
          </w:p>
        </w:tc>
        <w:tc>
          <w:tcPr>
            <w:tcW w:w="0" w:type="dxa"/>
            <w:vAlign w:val="bottom"/>
          </w:tcPr>
          <w:p>
            <w:pPr>
              <w:spacing w:after="0"/>
              <w:rPr>
                <w:sz w:val="1"/>
                <w:szCs w:val="1"/>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2,429,577</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4,863,854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 except share and per share data)</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7"/>
        </w:trPr>
        <w:tc>
          <w:tcPr>
            <w:tcW w:w="55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ind w:left="240"/>
              <w:spacing w:after="0"/>
              <w:rPr>
                <w:sz w:val="20"/>
                <w:szCs w:val="20"/>
                <w:color w:val="auto"/>
              </w:rPr>
            </w:pPr>
            <w:r>
              <w:rPr>
                <w:rFonts w:ascii="Arial" w:cs="Arial" w:eastAsia="Arial" w:hAnsi="Arial"/>
                <w:sz w:val="14"/>
                <w:szCs w:val="14"/>
                <w:b w:val="1"/>
                <w:bCs w:val="1"/>
                <w:color w:val="auto"/>
              </w:rPr>
              <w:t>Notes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20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708,411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335,583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297,934</w:t>
            </w:r>
          </w:p>
        </w:tc>
      </w:tr>
      <w:tr>
        <w:trPr>
          <w:trHeight w:val="229"/>
        </w:trPr>
        <w:tc>
          <w:tcPr>
            <w:tcW w:w="5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3"/>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7"/>
        </w:trPr>
        <w:tc>
          <w:tcPr>
            <w:tcW w:w="55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248,385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14,308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132,264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59,615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40,121</w:t>
            </w:r>
          </w:p>
        </w:tc>
      </w:tr>
      <w:tr>
        <w:trPr>
          <w:trHeight w:val="197"/>
        </w:trPr>
        <w:tc>
          <w:tcPr>
            <w:tcW w:w="55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14,164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13,448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14,106</w:t>
            </w: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9,868</w:t>
            </w:r>
          </w:p>
        </w:tc>
      </w:tr>
      <w:tr>
        <w:trPr>
          <w:trHeight w:val="197"/>
        </w:trPr>
        <w:tc>
          <w:tcPr>
            <w:tcW w:w="550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880" w:type="dxa"/>
            <w:vAlign w:val="bottom"/>
          </w:tcPr>
          <w:p>
            <w:pPr>
              <w:jc w:val="center"/>
              <w:spacing w:after="0"/>
              <w:rPr>
                <w:sz w:val="20"/>
                <w:szCs w:val="20"/>
                <w:color w:val="auto"/>
              </w:rPr>
            </w:pPr>
            <w:r>
              <w:rPr>
                <w:rFonts w:ascii="Arial" w:cs="Arial" w:eastAsia="Arial" w:hAnsi="Arial"/>
                <w:sz w:val="14"/>
                <w:szCs w:val="14"/>
                <w:color w:val="auto"/>
              </w:rPr>
              <w:t>13</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3,562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5,446</w:t>
            </w: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4, 5, 7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152,917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147,740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141,286</w:t>
            </w:r>
          </w:p>
        </w:tc>
      </w:tr>
      <w:tr>
        <w:trPr>
          <w:trHeight w:val="197"/>
        </w:trPr>
        <w:tc>
          <w:tcPr>
            <w:tcW w:w="550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137,219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10,463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33,978</w:t>
            </w:r>
          </w:p>
        </w:tc>
      </w:tr>
      <w:tr>
        <w:trPr>
          <w:trHeight w:val="20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8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169,194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155,017</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87,442</w:t>
            </w:r>
          </w:p>
        </w:tc>
      </w:tr>
      <w:tr>
        <w:trPr>
          <w:trHeight w:val="196"/>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8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870,912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419,186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332,247</w:t>
            </w:r>
          </w:p>
        </w:tc>
      </w:tr>
      <w:tr>
        <w:trPr>
          <w:trHeight w:val="216"/>
        </w:trPr>
        <w:tc>
          <w:tcPr>
            <w:tcW w:w="5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6"/>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r>
      <w:tr>
        <w:trPr>
          <w:trHeight w:val="196"/>
        </w:trPr>
        <w:tc>
          <w:tcPr>
            <w:tcW w:w="550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77,211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49,015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(6,943)</w:t>
            </w:r>
          </w:p>
        </w:tc>
      </w:tr>
      <w:tr>
        <w:trPr>
          <w:trHeight w:val="196"/>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w:t>
            </w:r>
          </w:p>
        </w:tc>
        <w:tc>
          <w:tcPr>
            <w:tcW w:w="8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r>
      <w:tr>
        <w:trPr>
          <w:trHeight w:val="20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8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57,190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43,868</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(9,081)</w:t>
            </w:r>
          </w:p>
        </w:tc>
      </w:tr>
      <w:tr>
        <w:trPr>
          <w:trHeight w:val="190"/>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Loss from continuing operations before income taxes</w:t>
            </w: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(105,311)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(39,735)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(43,394)</w:t>
            </w:r>
          </w:p>
        </w:tc>
      </w:tr>
      <w:tr>
        <w:trPr>
          <w:trHeight w:val="203"/>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5,300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3,126</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(4,343)</w:t>
            </w:r>
          </w:p>
        </w:tc>
      </w:tr>
      <w:tr>
        <w:trPr>
          <w:trHeight w:val="196"/>
        </w:trPr>
        <w:tc>
          <w:tcPr>
            <w:tcW w:w="5500" w:type="dxa"/>
            <w:vAlign w:val="bottom"/>
          </w:tcPr>
          <w:p>
            <w:pPr>
              <w:ind w:left="140"/>
              <w:spacing w:after="0"/>
              <w:rPr>
                <w:sz w:val="20"/>
                <w:szCs w:val="20"/>
                <w:color w:val="auto"/>
              </w:rPr>
            </w:pPr>
            <w:r>
              <w:rPr>
                <w:rFonts w:ascii="Arial" w:cs="Arial" w:eastAsia="Arial" w:hAnsi="Arial"/>
                <w:sz w:val="14"/>
                <w:szCs w:val="14"/>
                <w:color w:val="auto"/>
              </w:rPr>
              <w:t>Net loss from continuing operations</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(110,611)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(42,861)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(39,051)</w:t>
            </w:r>
          </w:p>
        </w:tc>
      </w:tr>
      <w:tr>
        <w:trPr>
          <w:trHeight w:val="208"/>
        </w:trPr>
        <w:tc>
          <w:tcPr>
            <w:tcW w:w="5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discontinued operations, net of income taxes</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(101,416)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(87,845)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(64,641)</w:t>
            </w:r>
          </w:p>
        </w:tc>
      </w:tr>
      <w:tr>
        <w:trPr>
          <w:trHeight w:val="19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8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(212,027)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(130,706)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(103,692)</w:t>
            </w: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6"/>
        </w:trPr>
        <w:tc>
          <w:tcPr>
            <w:tcW w:w="550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5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(16,522)</w:t>
            </w:r>
          </w:p>
        </w:tc>
      </w:tr>
      <w:tr>
        <w:trPr>
          <w:trHeight w:val="196"/>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8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27,164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24,758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17,869</w:t>
            </w:r>
          </w:p>
        </w:tc>
      </w:t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(220,374)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(105,039)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per share:</w:t>
            </w: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7"/>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Basic</w:t>
            </w:r>
          </w:p>
        </w:tc>
        <w:tc>
          <w:tcPr>
            <w:tcW w:w="880" w:type="dxa"/>
            <w:vAlign w:val="bottom"/>
          </w:tcPr>
          <w:p>
            <w:pPr>
              <w:jc w:val="center"/>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8"/>
        </w:trPr>
        <w:tc>
          <w:tcPr>
            <w:tcW w:w="5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r>
      <w:tr>
        <w:trPr>
          <w:trHeight w:val="197"/>
        </w:trPr>
        <w:tc>
          <w:tcPr>
            <w:tcW w:w="550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8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(0.83)</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(0.56)</w:t>
            </w: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7"/>
        </w:trPr>
        <w:tc>
          <w:tcPr>
            <w:tcW w:w="550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8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(0.66)</w:t>
            </w:r>
          </w:p>
        </w:tc>
      </w:tr>
      <w:tr>
        <w:trPr>
          <w:trHeight w:val="208"/>
        </w:trPr>
        <w:tc>
          <w:tcPr>
            <w:tcW w:w="5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w:t>
            </w:r>
          </w:p>
        </w:tc>
      </w:tr>
      <w:tr>
        <w:trPr>
          <w:trHeight w:val="197"/>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99,421,008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89,922,088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86,015,702</w:t>
            </w:r>
          </w:p>
        </w:tc>
      </w:tr>
      <w:tr>
        <w:trPr>
          <w:trHeight w:val="190"/>
        </w:trPr>
        <w:tc>
          <w:tcPr>
            <w:tcW w:w="5500" w:type="dxa"/>
            <w:vAlign w:val="bottom"/>
          </w:tcPr>
          <w:p>
            <w:pPr>
              <w:ind w:left="20"/>
              <w:spacing w:after="0"/>
              <w:rPr>
                <w:sz w:val="20"/>
                <w:szCs w:val="20"/>
                <w:color w:val="auto"/>
              </w:rPr>
            </w:pPr>
            <w:r>
              <w:rPr>
                <w:rFonts w:ascii="Arial" w:cs="Arial" w:eastAsia="Arial" w:hAnsi="Arial"/>
                <w:sz w:val="14"/>
                <w:szCs w:val="14"/>
                <w:color w:val="auto"/>
              </w:rPr>
              <w:t>Diluted</w:t>
            </w: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99,421,008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89,922,088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86,015,702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STATEMENTS OF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6"/>
        </w:trPr>
        <w:tc>
          <w:tcPr>
            <w:tcW w:w="6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202"/>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(212,027)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(130,706)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(103,692)</w:t>
            </w:r>
          </w:p>
        </w:tc>
      </w:tr>
      <w:tr>
        <w:trPr>
          <w:trHeight w:val="197"/>
        </w:trPr>
        <w:tc>
          <w:tcPr>
            <w:tcW w:w="62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8"/>
        </w:trPr>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Other comprehensive loss related to equity method investees, net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in discontinued operations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(182,963)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(26,609)</w:t>
            </w:r>
          </w:p>
        </w:tc>
      </w:tr>
      <w:tr>
        <w:trPr>
          <w:trHeight w:val="197"/>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Changes in pension and other employee benefit accounts in discontinued operations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2"/>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(394,990)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(260,850)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(130,301)</w:t>
            </w:r>
          </w:p>
        </w:tc>
      </w:tr>
      <w:tr>
        <w:trPr>
          <w:trHeight w:val="176"/>
        </w:trPr>
        <w:tc>
          <w:tcPr>
            <w:tcW w:w="6260" w:type="dxa"/>
            <w:vAlign w:val="bottom"/>
          </w:tcPr>
          <w:p>
            <w:pPr>
              <w:ind w:left="20"/>
              <w:spacing w:after="0"/>
              <w:rPr>
                <w:sz w:val="20"/>
                <w:szCs w:val="20"/>
                <w:color w:val="auto"/>
              </w:rPr>
            </w:pPr>
            <w:r>
              <w:rPr>
                <w:rFonts w:ascii="Arial" w:cs="Arial" w:eastAsia="Arial" w:hAnsi="Arial"/>
                <w:sz w:val="14"/>
                <w:szCs w:val="14"/>
                <w:color w:val="auto"/>
              </w:rPr>
              <w:t>Comprehensive loss attributable to non-controlling interest:</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9"/>
        </w:trPr>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Discontinued operations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(18,817)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(26,472)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(16,522)</w:t>
            </w:r>
          </w:p>
        </w:tc>
      </w:tr>
      <w:tr>
        <w:trPr>
          <w:trHeight w:val="222"/>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 attributable to shareholders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(376,173)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(113,779)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59"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Net of deferred tax (benefit) expense of $—, $(2,187) and $(7,075) for the years ended December 31, 2022, 2021 and 2020, respectively.</w:t>
      </w:r>
    </w:p>
    <w:p>
      <w:pPr>
        <w:sectPr>
          <w:pgSz w:w="11900" w:h="16838" w:orient="portrait"/>
          <w:cols w:equalWidth="0" w:num="1">
            <w:col w:w="11220"/>
          </w:cols>
          <w:pgMar w:left="320" w:top="118"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20"/>
          </w:cols>
          <w:pgMar w:left="320" w:top="118" w:right="359" w:bottom="0" w:gutter="0" w:footer="0" w:header="0"/>
          <w:type w:val="continuous"/>
        </w:sectPr>
      </w:pPr>
    </w:p>
    <w:bookmarkStart w:id="56" w:name="page57"/>
    <w:bookmarkEnd w:id="56"/>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87" w:right="1440"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5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Accumulated Other</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Ordinary</w:t>
            </w:r>
          </w:p>
        </w:tc>
        <w:tc>
          <w:tcPr>
            <w:tcW w:w="1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Additional Paid</w:t>
            </w:r>
          </w:p>
        </w:tc>
        <w:tc>
          <w:tcPr>
            <w:tcW w:w="1420" w:type="dxa"/>
            <w:vAlign w:val="bottom"/>
            <w:gridSpan w:val="3"/>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3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Interest in Equity</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of Consolidated</w:t>
            </w:r>
          </w:p>
        </w:tc>
        <w:tc>
          <w:tcPr>
            <w:tcW w:w="140" w:type="dxa"/>
            <w:vAlign w:val="bottom"/>
          </w:tcPr>
          <w:p>
            <w:pPr>
              <w:spacing w:after="0"/>
              <w:rPr>
                <w:sz w:val="12"/>
                <w:szCs w:val="12"/>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7"/>
              </w:rPr>
              <w:t>Shares</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1,110,122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190,453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36,980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1,338,857</w:t>
            </w:r>
          </w:p>
        </w:tc>
        <w:tc>
          <w:tcPr>
            <w:tcW w:w="0" w:type="dxa"/>
            <w:vAlign w:val="bottom"/>
          </w:tcPr>
          <w:p>
            <w:pPr>
              <w:spacing w:after="0"/>
              <w:rPr>
                <w:sz w:val="1"/>
                <w:szCs w:val="1"/>
                <w:color w:val="auto"/>
              </w:rPr>
            </w:pPr>
          </w:p>
        </w:tc>
      </w:tr>
      <w:tr>
        <w:trPr>
          <w:trHeight w:val="197"/>
        </w:trPr>
        <w:tc>
          <w:tcPr>
            <w:tcW w:w="24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(87,170)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(103,692)</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(26,609)</w:t>
            </w: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(87,170)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(26,609)</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(16,522)</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(130,301)</w:t>
            </w:r>
          </w:p>
        </w:tc>
        <w:tc>
          <w:tcPr>
            <w:tcW w:w="0" w:type="dxa"/>
            <w:vAlign w:val="bottom"/>
          </w:tcPr>
          <w:p>
            <w:pPr>
              <w:spacing w:after="0"/>
              <w:rPr>
                <w:sz w:val="1"/>
                <w:szCs w:val="1"/>
                <w:color w:val="auto"/>
              </w:rPr>
            </w:pPr>
          </w:p>
        </w:tc>
      </w:tr>
      <w:tr>
        <w:trPr>
          <w:trHeight w:val="17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rPr>
                <w:sz w:val="20"/>
                <w:szCs w:val="20"/>
                <w:color w:val="auto"/>
              </w:rPr>
            </w:pPr>
            <w:r>
              <w:rPr>
                <w:rFonts w:ascii="Arial" w:cs="Arial" w:eastAsia="Arial" w:hAnsi="Arial"/>
                <w:sz w:val="14"/>
                <w:szCs w:val="14"/>
                <w:color w:val="auto"/>
              </w:rPr>
              <w:t>Issuance of ordinary shares</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participating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rPr>
                <w:sz w:val="20"/>
                <w:szCs w:val="20"/>
                <w:color w:val="auto"/>
              </w:rPr>
            </w:pPr>
            <w:r>
              <w:rPr>
                <w:rFonts w:ascii="Arial" w:cs="Arial" w:eastAsia="Arial" w:hAnsi="Arial"/>
                <w:sz w:val="14"/>
                <w:szCs w:val="14"/>
                <w:color w:val="auto"/>
              </w:rPr>
              <w:t>Dividends declared - ordinary shares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(113,572)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(113,572)</w:t>
            </w: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19,697</w:t>
            </w: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(17,869)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(17,869)</w:t>
            </w: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2,325</w:t>
            </w:r>
          </w:p>
        </w:tc>
        <w:tc>
          <w:tcPr>
            <w:tcW w:w="0" w:type="dxa"/>
            <w:vAlign w:val="bottom"/>
          </w:tcPr>
          <w:p>
            <w:pPr>
              <w:spacing w:after="0"/>
              <w:rPr>
                <w:sz w:val="1"/>
                <w:szCs w:val="1"/>
                <w:color w:val="auto"/>
              </w:rPr>
            </w:pPr>
          </w:p>
        </w:tc>
      </w:tr>
      <w:tr>
        <w:trPr>
          <w:trHeight w:val="190"/>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Equity -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856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1,130,106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(28,158)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(26,237)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22,663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1,099,321</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(130,706)</w:t>
            </w:r>
          </w:p>
        </w:tc>
        <w:tc>
          <w:tcPr>
            <w:tcW w:w="0" w:type="dxa"/>
            <w:vAlign w:val="bottom"/>
          </w:tcPr>
          <w:p>
            <w:pPr>
              <w:spacing w:after="0"/>
              <w:rPr>
                <w:sz w:val="1"/>
                <w:szCs w:val="1"/>
                <w:color w:val="auto"/>
              </w:rPr>
            </w:pPr>
          </w:p>
        </w:tc>
      </w:tr>
      <w:tr>
        <w:trPr>
          <w:trHeight w:val="196"/>
        </w:trPr>
        <w:tc>
          <w:tcPr>
            <w:tcW w:w="246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(130,144)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(130,144)</w:t>
            </w:r>
          </w:p>
        </w:tc>
        <w:tc>
          <w:tcPr>
            <w:tcW w:w="0" w:type="dxa"/>
            <w:vAlign w:val="bottom"/>
          </w:tcPr>
          <w:p>
            <w:pPr>
              <w:spacing w:after="0"/>
              <w:rPr>
                <w:sz w:val="1"/>
                <w:szCs w:val="1"/>
                <w:color w:val="auto"/>
              </w:rPr>
            </w:pPr>
          </w:p>
        </w:tc>
      </w:tr>
      <w:tr>
        <w:trPr>
          <w:trHeight w:val="202"/>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(104,234)</w:t>
            </w: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(130,144)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(260,850)</w:t>
            </w:r>
          </w:p>
        </w:tc>
        <w:tc>
          <w:tcPr>
            <w:tcW w:w="0" w:type="dxa"/>
            <w:vAlign w:val="bottom"/>
          </w:tcPr>
          <w:p>
            <w:pPr>
              <w:spacing w:after="0"/>
              <w:rPr>
                <w:sz w:val="1"/>
                <w:szCs w:val="1"/>
                <w:color w:val="auto"/>
              </w:rPr>
            </w:pPr>
          </w:p>
        </w:tc>
      </w:tr>
      <w:tr>
        <w:trPr>
          <w:trHeight w:val="167"/>
        </w:trPr>
        <w:tc>
          <w:tcPr>
            <w:tcW w:w="2460" w:type="dxa"/>
            <w:vAlign w:val="bottom"/>
          </w:tcPr>
          <w:p>
            <w:pPr>
              <w:ind w:left="20"/>
              <w:spacing w:after="0"/>
              <w:rPr>
                <w:sz w:val="20"/>
                <w:szCs w:val="20"/>
                <w:color w:val="auto"/>
              </w:rPr>
            </w:pPr>
            <w:r>
              <w:rPr>
                <w:rFonts w:ascii="Arial" w:cs="Arial" w:eastAsia="Arial" w:hAnsi="Arial"/>
                <w:sz w:val="14"/>
                <w:szCs w:val="14"/>
                <w:color w:val="auto"/>
              </w:rPr>
              <w:t>Settlement of equity-based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323,443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323,579</w:t>
            </w: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rPr>
                <w:sz w:val="20"/>
                <w:szCs w:val="20"/>
                <w:color w:val="auto"/>
              </w:rPr>
            </w:pPr>
            <w:r>
              <w:rPr>
                <w:rFonts w:ascii="Arial" w:cs="Arial" w:eastAsia="Arial" w:hAnsi="Arial"/>
                <w:sz w:val="14"/>
                <w:szCs w:val="14"/>
                <w:color w:val="auto"/>
              </w:rPr>
              <w:t>Dividends declared - ordinary shares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(118,009)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(118,009)</w:t>
            </w: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101,158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101,200</w:t>
            </w: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(24,758)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(24,758)</w:t>
            </w: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4,038</w:t>
            </w:r>
          </w:p>
        </w:tc>
        <w:tc>
          <w:tcPr>
            <w:tcW w:w="0" w:type="dxa"/>
            <w:vAlign w:val="bottom"/>
          </w:tcPr>
          <w:p>
            <w:pPr>
              <w:spacing w:after="0"/>
              <w:rPr>
                <w:sz w:val="1"/>
                <w:szCs w:val="1"/>
                <w:color w:val="auto"/>
              </w:rPr>
            </w:pPr>
          </w:p>
        </w:tc>
      </w:tr>
      <w:tr>
        <w:trPr>
          <w:trHeight w:val="190"/>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Equity - December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1,411,940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(132,392)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(156,381)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1,124,100</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(193,210)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(212,027)</w:t>
            </w:r>
          </w:p>
        </w:tc>
        <w:tc>
          <w:tcPr>
            <w:tcW w:w="0" w:type="dxa"/>
            <w:vAlign w:val="bottom"/>
          </w:tcPr>
          <w:p>
            <w:pPr>
              <w:spacing w:after="0"/>
              <w:rPr>
                <w:sz w:val="1"/>
                <w:szCs w:val="1"/>
                <w:color w:val="auto"/>
              </w:rPr>
            </w:pPr>
          </w:p>
        </w:tc>
      </w:tr>
      <w:tr>
        <w:trPr>
          <w:trHeight w:val="197"/>
        </w:trPr>
        <w:tc>
          <w:tcPr>
            <w:tcW w:w="246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(182,963)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(182,963)</w:t>
            </w:r>
          </w:p>
        </w:tc>
        <w:tc>
          <w:tcPr>
            <w:tcW w:w="0" w:type="dxa"/>
            <w:vAlign w:val="bottom"/>
          </w:tcPr>
          <w:p>
            <w:pPr>
              <w:spacing w:after="0"/>
              <w:rPr>
                <w:sz w:val="1"/>
                <w:szCs w:val="1"/>
                <w:color w:val="auto"/>
              </w:rPr>
            </w:pPr>
          </w:p>
        </w:tc>
      </w:tr>
      <w:tr>
        <w:trPr>
          <w:trHeight w:val="202"/>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(193,210)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(182,963)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(18,817)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(394,990)</w:t>
            </w:r>
          </w:p>
        </w:tc>
        <w:tc>
          <w:tcPr>
            <w:tcW w:w="0" w:type="dxa"/>
            <w:vAlign w:val="bottom"/>
          </w:tcPr>
          <w:p>
            <w:pPr>
              <w:spacing w:after="0"/>
              <w:rPr>
                <w:sz w:val="1"/>
                <w:szCs w:val="1"/>
                <w:color w:val="auto"/>
              </w:rPr>
            </w:pPr>
          </w:p>
        </w:tc>
      </w:tr>
      <w:tr>
        <w:trPr>
          <w:trHeight w:val="167"/>
        </w:trPr>
        <w:tc>
          <w:tcPr>
            <w:tcW w:w="2460" w:type="dxa"/>
            <w:vAlign w:val="bottom"/>
          </w:tcPr>
          <w:p>
            <w:pPr>
              <w:ind w:left="20"/>
              <w:spacing w:after="0"/>
              <w:rPr>
                <w:sz w:val="20"/>
                <w:szCs w:val="20"/>
                <w:color w:val="auto"/>
              </w:rPr>
            </w:pPr>
            <w:r>
              <w:rPr>
                <w:rFonts w:ascii="Arial" w:cs="Arial" w:eastAsia="Arial" w:hAnsi="Arial"/>
                <w:sz w:val="14"/>
                <w:szCs w:val="14"/>
                <w:color w:val="auto"/>
              </w:rPr>
              <w:t>Spin-off of FTAI Infrastructure, Inc.,</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(913,342)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339,344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12,817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(561,181)</w:t>
            </w: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rPr>
                <w:sz w:val="20"/>
                <w:szCs w:val="20"/>
                <w:color w:val="auto"/>
              </w:rPr>
            </w:pPr>
            <w:r>
              <w:rPr>
                <w:rFonts w:ascii="Arial" w:cs="Arial" w:eastAsia="Arial" w:hAnsi="Arial"/>
                <w:sz w:val="14"/>
                <w:szCs w:val="14"/>
                <w:color w:val="auto"/>
              </w:rPr>
              <w:t>net of distributions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consolidated subsidiary</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3,054</w:t>
            </w:r>
          </w:p>
        </w:tc>
        <w:tc>
          <w:tcPr>
            <w:tcW w:w="0" w:type="dxa"/>
            <w:vAlign w:val="bottom"/>
          </w:tcPr>
          <w:p>
            <w:pPr>
              <w:spacing w:after="0"/>
              <w:rPr>
                <w:sz w:val="1"/>
                <w:szCs w:val="1"/>
                <w:color w:val="auto"/>
              </w:rPr>
            </w:pPr>
          </w:p>
        </w:tc>
      </w:tr>
      <w:tr>
        <w:trPr>
          <w:trHeight w:val="167"/>
        </w:trPr>
        <w:tc>
          <w:tcPr>
            <w:tcW w:w="2460" w:type="dxa"/>
            <w:vAlign w:val="bottom"/>
          </w:tcPr>
          <w:p>
            <w:pPr>
              <w:ind w:left="20"/>
              <w:spacing w:after="0"/>
              <w:rPr>
                <w:sz w:val="20"/>
                <w:szCs w:val="20"/>
                <w:color w:val="auto"/>
              </w:rPr>
            </w:pPr>
            <w:r>
              <w:rPr>
                <w:rFonts w:ascii="Arial" w:cs="Arial" w:eastAsia="Arial" w:hAnsi="Arial"/>
                <w:sz w:val="14"/>
                <w:szCs w:val="14"/>
                <w:color w:val="auto"/>
              </w:rPr>
              <w:t>Contributions from non-controlling</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1,187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1,187</w:t>
            </w: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rPr>
                <w:sz w:val="20"/>
                <w:szCs w:val="20"/>
                <w:color w:val="auto"/>
              </w:rPr>
            </w:pPr>
            <w:r>
              <w:rPr>
                <w:rFonts w:ascii="Arial" w:cs="Arial" w:eastAsia="Arial" w:hAnsi="Arial"/>
                <w:sz w:val="14"/>
                <w:szCs w:val="14"/>
                <w:color w:val="auto"/>
              </w:rPr>
              <w:t>Issuance of ordinary shares</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404</w:t>
            </w: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ordinary shares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(128,483)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(128,483)</w:t>
            </w: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(27,164)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(27,164)</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2,623</w:t>
            </w:r>
          </w:p>
        </w:tc>
        <w:tc>
          <w:tcPr>
            <w:tcW w:w="0" w:type="dxa"/>
            <w:vAlign w:val="bottom"/>
          </w:tcPr>
          <w:p>
            <w:pPr>
              <w:spacing w:after="0"/>
              <w:rPr>
                <w:sz w:val="1"/>
                <w:szCs w:val="1"/>
                <w:color w:val="auto"/>
              </w:rPr>
            </w:pPr>
          </w:p>
        </w:tc>
      </w:tr>
      <w:tr>
        <w:trPr>
          <w:trHeight w:val="202"/>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Equity - December 31, 2022</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997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343,350</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(325,602)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524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19,402</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w:t>
      </w:r>
    </w:p>
    <w:p>
      <w:pPr>
        <w:spacing w:after="0" w:line="28" w:lineRule="exact"/>
        <w:rPr>
          <w:sz w:val="20"/>
          <w:szCs w:val="20"/>
          <w:color w:val="auto"/>
        </w:rPr>
      </w:pPr>
    </w:p>
    <w:p>
      <w:pPr>
        <w:ind w:left="180" w:hanging="172"/>
        <w:spacing w:after="0" w:line="217" w:lineRule="auto"/>
        <w:tabs>
          <w:tab w:leader="none" w:pos="158"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Common and Preferred Shares of Fortress Transportation and Infrastructure Investors LLC were exchanged for Ordinary and Preferred Shares of FTAI Aviation Ltd. when the Merger, as detailed in Note 1, was completed on November 10, 2022.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r>
      <w:tr>
        <w:trPr>
          <w:trHeight w:val="196"/>
        </w:trPr>
        <w:tc>
          <w:tcPr>
            <w:tcW w:w="7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8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(212,027)</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(130,706)</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(103,692)</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46,971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12,734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5,039</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subsidiaries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(141,677)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(49,031)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(41,845)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w:t>
            </w: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19,859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3,254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11,667</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w:t>
            </w: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193,236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201,756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172,400</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137,219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33,978</w:t>
            </w: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Change in deferred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2,161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(2,057)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(5,851)</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non-hedge derivatives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37,135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27,978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30,346</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7,315</w:t>
            </w: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47,975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12,953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3,595</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w:t>
            </w: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Change in: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8"/>
        </w:trPr>
        <w:tc>
          <w:tcPr>
            <w:tcW w:w="7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(65,969)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(59,734)</w:t>
            </w:r>
          </w:p>
        </w:tc>
      </w:tr>
      <w:tr>
        <w:trPr>
          <w:trHeight w:val="197"/>
        </w:trPr>
        <w:tc>
          <w:tcPr>
            <w:tcW w:w="722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(23,037)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(30,789)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3,660</w:t>
            </w:r>
          </w:p>
        </w:tc>
      </w:tr>
      <w:tr>
        <w:trPr>
          <w:trHeight w:val="20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220" w:type="dxa"/>
            <w:vAlign w:val="bottom"/>
          </w:tcPr>
          <w:p>
            <w:pPr>
              <w:ind w:left="160"/>
              <w:spacing w:after="0"/>
              <w:rPr>
                <w:sz w:val="20"/>
                <w:szCs w:val="20"/>
                <w:color w:val="auto"/>
              </w:rPr>
            </w:pPr>
            <w:r>
              <w:rPr>
                <w:rFonts w:ascii="Arial" w:cs="Arial" w:eastAsia="Arial" w:hAnsi="Arial"/>
                <w:sz w:val="14"/>
                <w:szCs w:val="14"/>
                <w:color w:val="auto"/>
              </w:rPr>
              <w:t>Accounts payable and accrued liabilities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(19,599)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25,079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(5,258)</w:t>
            </w:r>
          </w:p>
        </w:tc>
      </w:tr>
      <w:tr>
        <w:trPr>
          <w:trHeight w:val="20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Management fees payable to affiliate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(20,622)</w:t>
            </w:r>
          </w:p>
        </w:tc>
      </w:tr>
      <w:tr>
        <w:trPr>
          <w:trHeight w:val="197"/>
        </w:trPr>
        <w:tc>
          <w:tcPr>
            <w:tcW w:w="7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(6,360)</w:t>
            </w:r>
          </w:p>
        </w:tc>
      </w:tr>
      <w:tr>
        <w:trPr>
          <w:trHeight w:val="196"/>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(20,657)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(22,044)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63,106</w:t>
            </w:r>
          </w:p>
        </w:tc>
      </w:tr>
      <w:tr>
        <w:trPr>
          <w:trHeight w:val="202"/>
        </w:trPr>
        <w:tc>
          <w:tcPr>
            <w:tcW w:w="7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Investment in unconsolidated entities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(7,344)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(54,655)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(4,690)</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13,823</w:t>
            </w: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(3,819)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(627,090)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(638,329)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(572,624)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(321,606)</w:t>
            </w: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(144,196)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(157,332)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(264,829)</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lease intangibles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(31,127)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w:t>
            </w: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Investment in convertible promissory notes</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deposit for acquisitions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(8,343)</w:t>
            </w: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408,937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158,927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72,175</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220" w:type="dxa"/>
            <w:vAlign w:val="bottom"/>
          </w:tcPr>
          <w:p>
            <w:pPr>
              <w:ind w:left="20"/>
              <w:spacing w:after="0"/>
              <w:rPr>
                <w:sz w:val="20"/>
                <w:szCs w:val="20"/>
                <w:color w:val="auto"/>
              </w:rPr>
            </w:pPr>
            <w:r>
              <w:rPr>
                <w:rFonts w:ascii="Arial" w:cs="Arial" w:eastAsia="Arial" w:hAnsi="Arial"/>
                <w:sz w:val="14"/>
                <w:szCs w:val="14"/>
                <w:color w:val="auto"/>
              </w:rPr>
              <w:t>Proceeds for deposit on sale of aircraft and engine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3,780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purchase deposits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w:t>
            </w:r>
          </w:p>
        </w:tc>
      </w:tr>
      <w:tr>
        <w:trPr>
          <w:trHeight w:val="190"/>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(411,253)</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(1,286,958)</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(509,123)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196"/>
        </w:trPr>
        <w:tc>
          <w:tcPr>
            <w:tcW w:w="7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6"/>
        </w:trPr>
        <w:tc>
          <w:tcPr>
            <w:tcW w:w="716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813,980</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2,894,127</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1,340,981</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(1,144,529)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(1,553,231)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(852,197)</w:t>
            </w:r>
          </w:p>
        </w:tc>
      </w:tr>
      <w:tr>
        <w:trPr>
          <w:trHeight w:val="196"/>
        </w:trPr>
        <w:tc>
          <w:tcPr>
            <w:tcW w:w="716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(18,607)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(52,739)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(28,243)</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w:t>
            </w:r>
          </w:p>
        </w:tc>
      </w:tr>
      <w:tr>
        <w:trPr>
          <w:trHeight w:val="196"/>
        </w:trPr>
        <w:tc>
          <w:tcPr>
            <w:tcW w:w="716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(4,655)</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47,846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33,369</w:t>
            </w:r>
          </w:p>
        </w:tc>
      </w:tr>
      <w:tr>
        <w:trPr>
          <w:trHeight w:val="196"/>
        </w:trPr>
        <w:tc>
          <w:tcPr>
            <w:tcW w:w="716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(15,712)</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ordinary shares, net of underwriter's discount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160" w:type="dxa"/>
            <w:vAlign w:val="bottom"/>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101,200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19,694</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 from non-controlling interests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160" w:type="dxa"/>
            <w:vAlign w:val="bottom"/>
          </w:tcPr>
          <w:p>
            <w:pPr>
              <w:ind w:left="20"/>
              <w:spacing w:after="0"/>
              <w:rPr>
                <w:sz w:val="20"/>
                <w:szCs w:val="20"/>
                <w:color w:val="auto"/>
              </w:rPr>
            </w:pPr>
            <w:r>
              <w:rPr>
                <w:rFonts w:ascii="Arial" w:cs="Arial" w:eastAsia="Arial" w:hAnsi="Arial"/>
                <w:sz w:val="14"/>
                <w:szCs w:val="14"/>
                <w:color w:val="auto"/>
              </w:rPr>
              <w:t>Dividend from spin-off of FTAI Infrastructure, net of cash transferred</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500,562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 compensation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96"/>
        </w:trPr>
        <w:tc>
          <w:tcPr>
            <w:tcW w:w="7160" w:type="dxa"/>
            <w:vAlign w:val="bottom"/>
          </w:tcPr>
          <w:p>
            <w:pPr>
              <w:ind w:left="20"/>
              <w:spacing w:after="0"/>
              <w:rPr>
                <w:sz w:val="20"/>
                <w:szCs w:val="20"/>
                <w:color w:val="auto"/>
              </w:rPr>
            </w:pPr>
            <w:r>
              <w:rPr>
                <w:rFonts w:ascii="Arial" w:cs="Arial" w:eastAsia="Arial" w:hAnsi="Arial"/>
                <w:sz w:val="14"/>
                <w:szCs w:val="14"/>
                <w:color w:val="auto"/>
              </w:rPr>
              <w:t>Cash dividends - ordinary shares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(128,483)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(118,009)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(113,572)</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preferred shares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(24,758)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(17,869)</w:t>
            </w:r>
          </w:p>
        </w:tc>
      </w:tr>
      <w:tr>
        <w:trPr>
          <w:trHeight w:val="19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44,914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1,587,645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364,918</w:t>
            </w:r>
          </w:p>
        </w:tc>
      </w:tr>
      <w:tr>
        <w:trPr>
          <w:trHeight w:val="202"/>
        </w:trPr>
        <w:tc>
          <w:tcPr>
            <w:tcW w:w="7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6"/>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 and restricted cash</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(386,996)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278,643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(81,099)</w:t>
            </w: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440,061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161,418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242,517</w:t>
            </w: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53,065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440,061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161,418</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97"/>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8"/>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 net of capitalized interest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185,144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71,637</w:t>
            </w:r>
          </w:p>
        </w:tc>
      </w:tr>
      <w:tr>
        <w:trPr>
          <w:trHeight w:val="197"/>
        </w:trPr>
        <w:tc>
          <w:tcPr>
            <w:tcW w:w="7160" w:type="dxa"/>
            <w:vAlign w:val="bottom"/>
          </w:tcPr>
          <w:p>
            <w:pPr>
              <w:ind w:left="20"/>
              <w:spacing w:after="0"/>
              <w:rPr>
                <w:sz w:val="20"/>
                <w:szCs w:val="20"/>
                <w:color w:val="auto"/>
              </w:rPr>
            </w:pPr>
            <w:r>
              <w:rPr>
                <w:rFonts w:ascii="Arial" w:cs="Arial" w:eastAsia="Arial" w:hAnsi="Arial"/>
                <w:sz w:val="14"/>
                <w:szCs w:val="14"/>
                <w:color w:val="auto"/>
              </w:rPr>
              <w:t>Cash paid for taxes</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3,279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97"/>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8"/>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65,534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141,478</w:t>
            </w:r>
          </w:p>
        </w:tc>
      </w:tr>
      <w:tr>
        <w:trPr>
          <w:trHeight w:val="197"/>
        </w:trPr>
        <w:tc>
          <w:tcPr>
            <w:tcW w:w="716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(13,237)</w:t>
            </w:r>
          </w:p>
        </w:tc>
      </w:tr>
      <w:tr>
        <w:trPr>
          <w:trHeight w:val="208"/>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Settled and assumed security deposits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(5,825)</w:t>
            </w:r>
          </w:p>
        </w:tc>
      </w:tr>
      <w:tr>
        <w:trPr>
          <w:trHeight w:val="197"/>
        </w:trPr>
        <w:tc>
          <w:tcPr>
            <w:tcW w:w="7160" w:type="dxa"/>
            <w:vAlign w:val="bottom"/>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(47,993)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(21,710)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(58,906)</w:t>
            </w:r>
          </w:p>
        </w:tc>
      </w:tr>
      <w:tr>
        <w:trPr>
          <w:trHeight w:val="208"/>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(182,963)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(26,609)</w:t>
            </w:r>
          </w:p>
        </w:tc>
      </w:tr>
      <w:tr>
        <w:trPr>
          <w:trHeight w:val="197"/>
        </w:trPr>
        <w:tc>
          <w:tcPr>
            <w:tcW w:w="7160" w:type="dxa"/>
            <w:vAlign w:val="bottom"/>
          </w:tcPr>
          <w:p>
            <w:pPr>
              <w:ind w:left="20"/>
              <w:spacing w:after="0"/>
              <w:rPr>
                <w:sz w:val="20"/>
                <w:szCs w:val="20"/>
                <w:color w:val="auto"/>
              </w:rPr>
            </w:pPr>
            <w:r>
              <w:rPr>
                <w:rFonts w:ascii="Arial" w:cs="Arial" w:eastAsia="Arial" w:hAnsi="Arial"/>
                <w:sz w:val="14"/>
                <w:szCs w:val="14"/>
                <w:color w:val="auto"/>
              </w:rPr>
              <w:t>Conversion of interests in unconsolidated entities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(21,302)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FTAI Aviation Ltd. (“we”, “us”, “our” or the “Company” and formerly “Fortress Transportation and Infrastructure Investors LLC”) is a Cayman Islands exempted company which through its subsidiaries owns, leases, and sells aviation equipment and also develops and manufactures, through a joint venture, and repairs and sells, through exclusivity arrangements, aftermarket components for aircraft engines. Additionally, we own and lease offshore energy equipment. We have two reportable segments, (i) Aviation Leasing and (ii) Aerospace Products (see Note 14).</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August 1, 2022, the Company completed the spin-off of its infrastructure business into an independent publicly traded company. Accordingly, the operating results of, and costs to separate, the infrastructure business are reported in Net loss from discontinued operations, net of income taxes in the Consolidated Statements of Operations for all periods presented. In addition, the related assets and liabilities held prior to the spin-off are reported as Assets and Liabilities of Discontinued Operations on the Consolidated Balance Sheets. All amounts and disclosures included in the Notes to Consolidated Financial Statements reflect only the Company's continuing operations unless otherwise noted. For additional information, see Note 3, "Discontinued Operations."</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November 10, 2022, the Company completed a reverse merger transaction pursuant to the Agreement and Plan of Merger (the “Merger”) between Fortress Transportation and Infrastructure Investors LLC (“FTAI”) and the Company and the parties thereto, with FTAI becoming a subsidiary of the Company. This reverse merger represents a transaction between entities under common control. Upon merger completion, FTAI’s shareholders received one share of the Company’s ordinary shares, Series A Preferred Shares, Series B Preferred Shares and Series C Preferred Shares in exchange for each share of FTAI’s common shares, Series A Preferred Shares, Series B Preferred Shares and Series C Preferred Shares, respectively, with the new Shares of FTAI Aviation having substantially similar rights and privileges as the respective FTAI shares being converted. All exchanges were completed without any further action from the shareholders.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2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(“U.S. GAAP”) and include the accounts of us and our subsidiaries.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intercompany transactions and balances have been eliminated. The ownership interest of other investors in consolidated subsidiaries is recorded as non-controlling interest.</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0000"/>
        </w:rPr>
        <w:t>—The preparation of financial statements in conformity with U.S. GAAP requires management to make estimates and assumptions that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are denominated in U.S. dollars.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0000"/>
        </w:rPr>
        <w:t>—Restricted cash consists of funds required for the Company’s investment in iAero Thrust as described in subsequent events (Note 17).</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0000"/>
        </w:rPr>
        <w:t>—We hold aircraft engine modules, spare parts and used material inventory for trading and to support operations. Inventory is carried at the lower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cost or net realizable value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estimated useful lives, to estimated residual values which are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Asset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Range of Estimated Useful Lives</w:t>
            </w:r>
          </w:p>
        </w:tc>
        <w:tc>
          <w:tcPr>
            <w:tcW w:w="140" w:type="dxa"/>
            <w:vAlign w:val="bottom"/>
            <w:tcBorders>
              <w:bottom w:val="single" w:sz="8" w:color="CCEEFF"/>
            </w:tcBorders>
          </w:tcPr>
          <w:p>
            <w:pPr>
              <w:spacing w:after="0"/>
              <w:rPr>
                <w:sz w:val="17"/>
                <w:szCs w:val="17"/>
                <w:color w:val="auto"/>
              </w:rPr>
            </w:pPr>
          </w:p>
        </w:tc>
        <w:tc>
          <w:tcPr>
            <w:tcW w:w="3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6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Aircraft</w:t>
            </w:r>
          </w:p>
        </w:tc>
        <w:tc>
          <w:tcPr>
            <w:tcW w:w="3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Generally not to exceed 15% of manufacturer’s list</w:t>
            </w:r>
          </w:p>
        </w:tc>
      </w:tr>
      <w:tr>
        <w:trPr>
          <w:trHeight w:val="171"/>
        </w:trPr>
        <w:tc>
          <w:tcPr>
            <w:tcW w:w="4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when new</w:t>
            </w:r>
          </w:p>
        </w:tc>
      </w:tr>
      <w:tr>
        <w:trPr>
          <w:trHeight w:val="167"/>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Aircraft engines</w:t>
            </w:r>
          </w:p>
        </w:tc>
        <w:tc>
          <w:tcPr>
            <w:tcW w:w="120" w:type="dxa"/>
            <w:vAlign w:val="bottom"/>
          </w:tcPr>
          <w:p>
            <w:pPr>
              <w:ind w:left="20"/>
              <w:spacing w:after="0"/>
              <w:rPr>
                <w:sz w:val="20"/>
                <w:szCs w:val="20"/>
                <w:color w:val="auto"/>
              </w:rPr>
            </w:pPr>
            <w:r>
              <w:rPr>
                <w:rFonts w:ascii="Arial" w:cs="Arial" w:eastAsia="Arial" w:hAnsi="Arial"/>
                <w:sz w:val="14"/>
                <w:szCs w:val="14"/>
                <w:color w:val="auto"/>
              </w:rPr>
              <w:t>2</w:t>
            </w: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- 6 years, based on maintenance adjusted service</w:t>
            </w:r>
          </w:p>
        </w:tc>
        <w:tc>
          <w:tcPr>
            <w:tcW w:w="3460" w:type="dxa"/>
            <w:vAlign w:val="bottom"/>
          </w:tcPr>
          <w:p>
            <w:pPr>
              <w:ind w:left="20"/>
              <w:spacing w:after="0"/>
              <w:rPr>
                <w:sz w:val="20"/>
                <w:szCs w:val="20"/>
                <w:color w:val="auto"/>
              </w:rPr>
            </w:pPr>
            <w:r>
              <w:rPr>
                <w:rFonts w:ascii="Arial" w:cs="Arial" w:eastAsia="Arial" w:hAnsi="Arial"/>
                <w:sz w:val="14"/>
                <w:szCs w:val="14"/>
                <w:color w:val="auto"/>
              </w:rPr>
              <w:t>Sum of engine core salvage value plus the estimated</w:t>
            </w:r>
          </w:p>
        </w:tc>
      </w:tr>
      <w:tr>
        <w:trPr>
          <w:trHeight w:val="17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40" w:type="dxa"/>
            <w:vAlign w:val="bottom"/>
            <w:gridSpan w:val="3"/>
          </w:tcPr>
          <w:p>
            <w:pPr>
              <w:ind w:left="20"/>
              <w:spacing w:after="0"/>
              <w:rPr>
                <w:sz w:val="20"/>
                <w:szCs w:val="20"/>
                <w:color w:val="auto"/>
              </w:rPr>
            </w:pPr>
            <w:r>
              <w:rPr>
                <w:rFonts w:ascii="Arial" w:cs="Arial" w:eastAsia="Arial" w:hAnsi="Arial"/>
                <w:sz w:val="14"/>
                <w:szCs w:val="14"/>
                <w:color w:val="auto"/>
              </w:rPr>
              <w:t>life</w:t>
            </w:r>
          </w:p>
        </w:tc>
        <w:tc>
          <w:tcPr>
            <w:tcW w:w="3460" w:type="dxa"/>
            <w:vAlign w:val="bottom"/>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20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Aviation tooling and equipment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9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Offshore energy vessels</w:t>
            </w:r>
          </w:p>
        </w:tc>
        <w:tc>
          <w:tcPr>
            <w:tcW w:w="3540" w:type="dxa"/>
            <w:vAlign w:val="bottom"/>
            <w:gridSpan w:val="3"/>
          </w:tcPr>
          <w:p>
            <w:pPr>
              <w:ind w:left="20"/>
              <w:spacing w:after="0"/>
              <w:rPr>
                <w:sz w:val="20"/>
                <w:szCs w:val="20"/>
                <w:color w:val="auto"/>
              </w:rPr>
            </w:pPr>
            <w:r>
              <w:rPr>
                <w:rFonts w:ascii="Arial" w:cs="Arial" w:eastAsia="Arial" w:hAnsi="Arial"/>
                <w:sz w:val="14"/>
                <w:szCs w:val="14"/>
                <w:color w:val="auto"/>
              </w:rPr>
              <w:t>25 years from date of manufacture</w:t>
            </w:r>
          </w:p>
        </w:tc>
        <w:tc>
          <w:tcPr>
            <w:tcW w:w="3460" w:type="dxa"/>
            <w:vAlign w:val="bottom"/>
          </w:tcPr>
          <w:p>
            <w:pPr>
              <w:ind w:left="20"/>
              <w:spacing w:after="0"/>
              <w:rPr>
                <w:sz w:val="20"/>
                <w:szCs w:val="20"/>
                <w:color w:val="auto"/>
              </w:rPr>
            </w:pPr>
            <w:r>
              <w:rPr>
                <w:rFonts w:ascii="Arial" w:cs="Arial" w:eastAsia="Arial" w:hAnsi="Arial"/>
                <w:sz w:val="14"/>
                <w:szCs w:val="14"/>
                <w:color w:val="auto"/>
              </w:rPr>
              <w:t>10% of new build cost</w:t>
            </w:r>
          </w:p>
        </w:tc>
      </w:tr>
      <w:tr>
        <w:trPr>
          <w:trHeight w:val="20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r>
        <w:trPr>
          <w:trHeight w:val="19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tcPr>
          <w:p>
            <w:pPr>
              <w:ind w:left="20"/>
              <w:spacing w:after="0"/>
              <w:rPr>
                <w:sz w:val="20"/>
                <w:szCs w:val="20"/>
                <w:color w:val="auto"/>
              </w:rPr>
            </w:pPr>
            <w:r>
              <w:rPr>
                <w:rFonts w:ascii="Arial" w:cs="Arial" w:eastAsia="Arial" w:hAnsi="Arial"/>
                <w:sz w:val="14"/>
                <w:szCs w:val="14"/>
                <w:color w:val="auto"/>
              </w:rPr>
              <w:t>2</w:t>
            </w: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- 5 years from date of purchase</w:t>
            </w:r>
          </w:p>
        </w:tc>
        <w:tc>
          <w:tcPr>
            <w:tcW w:w="3460" w:type="dxa"/>
            <w:vAlign w:val="bottom"/>
          </w:tcPr>
          <w:p>
            <w:pPr>
              <w:ind w:left="20"/>
              <w:spacing w:after="0"/>
              <w:rPr>
                <w:sz w:val="20"/>
                <w:szCs w:val="20"/>
                <w:color w:val="auto"/>
              </w:rPr>
            </w:pPr>
            <w:r>
              <w:rPr>
                <w:rFonts w:ascii="Arial" w:cs="Arial" w:eastAsia="Arial" w:hAnsi="Arial"/>
                <w:sz w:val="14"/>
                <w:szCs w:val="14"/>
                <w:color w:val="auto"/>
              </w:rPr>
              <w:t>None</w:t>
            </w:r>
          </w:p>
        </w:tc>
      </w:tr>
      <w:tr>
        <w:trPr>
          <w:trHeight w:val="20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3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r>
    </w:tbl>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Project costs of major additions and betterments, including capitalizable engineering costs and other costs directly related to the development or construction of project, are capitalized and depreciation commences once it is placed into service. Interest costs directly related to and incurred during the construction period of property, plant and equipment are capitalized.</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review our depreciation policies on a regular basis to determine whether changes have taken place that would suggest that a change in our depreciation policies, useful lives of our equipment or the assigned residual values is warranted.</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offshore energy vessels are required to be drydocked periodically for recertifications or major repairs and maintenance that cannot be performed while the vessels are operating. Normal repairs and maintenance are expensed as incurred. We capitalize the costs associated with the drydockings and amortize them on a straight-line basis over the period between drydockings, usually during a 60 month time span.</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accounting for leasing equipment, we make estimates about the expected useful lives, residual values and the fair value of acquired in-place leases and acquired maintenance liabilities (for aviation equipment). In making these estimates, we rely upon observable market data for the same or similar types of equipment and, in the case of aviation equipment, our own estimates with respect to a lessee’s anticipated utilization of the aircraft or engine. When we acquire leasing equipment subject to an in-place lease, determining the fair value of the in-place lease requires us to make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lease income over the remaining term of the lease.</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Capitalized Interest</w:t>
      </w:r>
      <w:r>
        <w:rPr>
          <w:rFonts w:ascii="Arial" w:cs="Arial" w:eastAsia="Arial" w:hAnsi="Arial"/>
          <w:sz w:val="16"/>
          <w:szCs w:val="16"/>
          <w:color w:val="000000"/>
        </w:rPr>
        <w:t>—The interest cost associated with major development and construction projects are capitalized and included in the cost of the project.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Interest capitalization ceases once a project is substantially complete or no longer undergoing construction activities to prepare it for its intended use. We capitalized interest of $2.7 million, $2.4 million and $1.0 million during the years ended December 31, 2022, 2021 and 2020, respectively.</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Repairs and Maintenance</w:t>
      </w:r>
      <w:r>
        <w:rPr>
          <w:rFonts w:ascii="Arial" w:cs="Arial" w:eastAsia="Arial" w:hAnsi="Arial"/>
          <w:sz w:val="16"/>
          <w:szCs w:val="16"/>
          <w:color w:val="000000"/>
        </w:rPr>
        <w:t>—Repair and maintenance costs that do not extend the lives of the assets are expensed as incurred. Our repairs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maintenance expense was $7.2 million, $3.2 million and $1.3 million during the years ended December 31, 2022, 2021 and 2020, respectively, and are included in Operating expenses in the Consolidated Statements of Operations.</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circumstances, or indicators, indicate that the carrying amount or net book value of an asset may not be recoverable. Indicators may include, but are not limited to, a significant lease restructuring or early lease termination; significant traffic decline; a significant change in market conditions; or the introduction of newer technology aircraft, vessels or engines. When performing a recoverability assessment, we measure whether the estimated future undiscounted net cash flows expected to be generated by the asset exceeds its net book value. The undiscounted cash flows consist of cash flows from currently contracted leases and contracts, future projected leases, transition costs, estimated down time and estimated residual or scrap values. In the event that an asset does not meet the recoverability test, the carrying value of the asset will be adjusted to fair value resulting in an impairment charge.</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residual values, economic conditions, technology, demand for a particular asset type and other factors.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Security Deposits</w:t>
      </w:r>
      <w:r>
        <w:rPr>
          <w:rFonts w:ascii="Arial" w:cs="Arial" w:eastAsia="Arial" w:hAnsi="Arial"/>
          <w:sz w:val="16"/>
          <w:szCs w:val="16"/>
          <w:color w:val="000000"/>
        </w:rPr>
        <w:t>—Our operating leases generally require the lessee to pay a security deposit or provide a letter of credit. Security deposits are held until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specified return dates stipulated in the lease or lease expiration.</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to 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 liabilities in the Consolidated Balance Sheets. Reimbursements made to the lessee upon the receipt of evidence of qualifying maintenance work are recorded against the maintenance deposit liability.</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certain acquired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for the estimated value of the end-of-life maintenance payment at acquisition. We recognize payments received as end-of-lease compensation adjustments, within lease income or as a reduction to the maintenance right asset, when payment is received or collectability is assured. In the event we are required to make payments at the end of the lease for redelivery conditions, amounts are accrued as additional maintenance liability and expensed when we are obligated and can reasonably estimate such payments.</w:t>
      </w:r>
    </w:p>
    <w:p>
      <w:pPr>
        <w:spacing w:after="0" w:line="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Lease Incentives and Amortization</w:t>
      </w:r>
      <w:r>
        <w:rPr>
          <w:rFonts w:ascii="Arial" w:cs="Arial" w:eastAsia="Arial" w:hAnsi="Arial"/>
          <w:sz w:val="16"/>
          <w:szCs w:val="16"/>
          <w:color w:val="000000"/>
        </w:rPr>
        <w:t>—Lease incentives, which include lease acquisition costs related to reconfiguration of the aircraft cabin, other lessee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specific modifications and other direct costs, are capitalized and amortized as a reduction of lease income over the primary term of the lease, assuming no lease renewals.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Intangibles and amortization</w:t>
      </w:r>
      <w:r>
        <w:rPr>
          <w:rFonts w:ascii="Arial" w:cs="Arial" w:eastAsia="Arial" w:hAnsi="Arial"/>
          <w:sz w:val="16"/>
          <w:szCs w:val="16"/>
          <w:color w:val="000000"/>
        </w:rPr>
        <w:t>—Intangibles include the value of acquired favorable and unfavorable leases.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accounting for acquired leasing equipment, we make estimates about the fair value of the acquired leases. In determining the fair value of these leases, we make assumptions regarding the current fair values of leases for identical or similar equipment in order to determine if the acquired lease is within a fair value range of current lease rates. If a lease is below or above the range of current lease rates, the resulting lease discount or premium is recognized as a lease intangible and amortized into lease income over the remaining term of the lease. Acquired lease intangibles are amortized on a straight-line basis over the remaining lease terms, which collectively had a weighted-average remaining amortization period of approximately 59 months as of December 31, 2022, and are recorded as a component of revenues in the accompanying Consolidated Statements of Operations.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$29.4 million and $43.0 million as of December 31, 2022 and 2021, respectively, are included in Debt, net in the Consolidated Balance Sheets.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$5.5 million and $2.4 million as of December 31, 2022 and 2021, respectively, which are included in Other assets in the Consolidated Balance Sheets.</w:t>
      </w:r>
    </w:p>
    <w:p>
      <w:pPr>
        <w:spacing w:after="0" w:line="87"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Amortization expense was $17.0 million, $19.1 million and $5.8 million for the years ended December 31, 2022, 2021 and 2020, respectively, and is included in Interest expense in the Consolidated Statements of Operations.</w:t>
      </w:r>
    </w:p>
    <w:p>
      <w:pPr>
        <w:spacing w:after="0" w:line="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00497F"/>
        </w:rPr>
        <w:t>Discontinued Operations</w:t>
      </w:r>
      <w:r>
        <w:rPr>
          <w:rFonts w:ascii="Arial" w:cs="Arial" w:eastAsia="Arial" w:hAnsi="Arial"/>
          <w:sz w:val="16"/>
          <w:szCs w:val="16"/>
          <w:i w:val="1"/>
          <w:iCs w:val="1"/>
          <w:color w:val="000000"/>
        </w:rPr>
        <w:t>—</w:t>
      </w:r>
      <w:r>
        <w:rPr>
          <w:rFonts w:ascii="Arial" w:cs="Arial" w:eastAsia="Arial" w:hAnsi="Arial"/>
          <w:sz w:val="16"/>
          <w:szCs w:val="16"/>
          <w:color w:val="000000"/>
        </w:rPr>
        <w:t>A disposal of an entity or component of an entity is reported in discontinued operations if the disposal represents a strategic</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shift that has or will have a material impact on our operations and financial results. See Note 3 for additional information related to our discontinued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Revenues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00497F"/>
        </w:rPr>
        <w:t>Operating Leases</w:t>
      </w:r>
      <w:r>
        <w:rPr>
          <w:rFonts w:ascii="Arial" w:cs="Arial" w:eastAsia="Arial" w:hAnsi="Arial"/>
          <w:sz w:val="16"/>
          <w:szCs w:val="16"/>
          <w:color w:val="000000"/>
        </w:rPr>
        <w:t>—We lease equipment pursuant to operating leases. Operating leases with fixed rentals and step rentals are recognized on a straight-line</w:t>
      </w:r>
      <w:r>
        <w:rPr>
          <w:rFonts w:ascii="Arial" w:cs="Arial" w:eastAsia="Arial" w:hAnsi="Arial"/>
          <w:sz w:val="16"/>
          <w:szCs w:val="16"/>
          <w:i w:val="1"/>
          <w:iCs w:val="1"/>
          <w:color w:val="00497F"/>
        </w:rPr>
        <w:t xml:space="preserve"> </w:t>
      </w:r>
      <w:r>
        <w:rPr>
          <w:rFonts w:ascii="Arial" w:cs="Arial" w:eastAsia="Arial" w:hAnsi="Arial"/>
          <w:sz w:val="16"/>
          <w:szCs w:val="16"/>
          <w:color w:val="000000"/>
        </w:rPr>
        <w:t>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spacing w:after="0" w:line="91"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00497F"/>
        </w:rPr>
        <w:t>Asset sales revenue</w:t>
      </w:r>
      <w:r>
        <w:rPr>
          <w:rFonts w:ascii="Arial" w:cs="Arial" w:eastAsia="Arial" w:hAnsi="Arial"/>
          <w:sz w:val="16"/>
          <w:szCs w:val="16"/>
          <w:color w:val="000000"/>
        </w:rPr>
        <w:t>—Asset sales revenue primarily consists of the transaction price related to the sale of aircraft and aircraft engines from our Aviation</w:t>
      </w:r>
      <w:r>
        <w:rPr>
          <w:rFonts w:ascii="Arial" w:cs="Arial" w:eastAsia="Arial" w:hAnsi="Arial"/>
          <w:sz w:val="16"/>
          <w:szCs w:val="16"/>
          <w:i w:val="1"/>
          <w:iCs w:val="1"/>
          <w:color w:val="00497F"/>
        </w:rPr>
        <w:t xml:space="preserve"> </w:t>
      </w:r>
      <w:r>
        <w:rPr>
          <w:rFonts w:ascii="Arial" w:cs="Arial" w:eastAsia="Arial" w:hAnsi="Arial"/>
          <w:sz w:val="16"/>
          <w:szCs w:val="16"/>
          <w:color w:val="000000"/>
        </w:rPr>
        <w:t>Leasing segment. From time to time, the Company may also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when a performance obligation is satisfied by transferring control over an asset to a customer. Revenue is recorded with corresponding costs of sales, presented on a gross basis in the Consolidated Statements of Operations. See Note 10 for additional information.</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00497F"/>
        </w:rPr>
        <w:t>Aerospace Products revenue</w:t>
      </w:r>
      <w:r>
        <w:rPr>
          <w:rFonts w:ascii="Arial" w:cs="Arial" w:eastAsia="Arial" w:hAnsi="Arial"/>
          <w:sz w:val="16"/>
          <w:szCs w:val="16"/>
          <w:color w:val="000000"/>
        </w:rPr>
        <w:t>—Aerospace Products revenue primarily consists of the transaction price related to the sale of repaired CFM56-7B and</w:t>
      </w:r>
      <w:r>
        <w:rPr>
          <w:rFonts w:ascii="Arial" w:cs="Arial" w:eastAsia="Arial" w:hAnsi="Arial"/>
          <w:sz w:val="16"/>
          <w:szCs w:val="16"/>
          <w:i w:val="1"/>
          <w:iCs w:val="1"/>
          <w:color w:val="00497F"/>
        </w:rPr>
        <w:t xml:space="preserve"> </w:t>
      </w:r>
      <w:r>
        <w:rPr>
          <w:rFonts w:ascii="Arial" w:cs="Arial" w:eastAsia="Arial" w:hAnsi="Arial"/>
          <w:sz w:val="16"/>
          <w:szCs w:val="16"/>
          <w:color w:val="000000"/>
        </w:rPr>
        <w:t>CFM56-5B engines, engine modules, spare parts and used material inventory, and are accounted for within the scope of ASC 606. Revenue is recognized when a performance obligation is satisfied by transferring control over the related asset to a customer. Revenue is recorded with corresponding costs of sales, presented on a gross basis in the Consolidated Statements of Operations.</w:t>
      </w:r>
    </w:p>
    <w:p>
      <w:pPr>
        <w:spacing w:after="0" w:line="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included in Other assets and Other liabilities in our Consolidated Balance Sheets, respectively. Finance lease ROU assets are recognized in Other assets and lease liabilities are recognized in Other liabilities in our Consolidated Balance Sheets.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Operating lease ROU assets are subsequently measured at the carrying amount of the lease liability adjusted for prepaid or accrued lease payments and lease incentives. The finance lease ROU assets are subsequently amortized using the straight-line method.</w:t>
      </w:r>
    </w:p>
    <w:p>
      <w:pPr>
        <w:spacing w:after="0" w:line="2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and is recorded in Operating expenses in the Consolidated Statements of Operations. Variable lease payments, which are primarily based on usage, are recognized when the associated activity occurs.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8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0000"/>
        </w:rPr>
        <w:t>—We are subject to concentrations of credit risk with respect to amounts due from customers. We attempt to limit our credit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risk by performing ongoing credit evaluations. No single customer accounted for greater than 10% of total revenue during the year ended December 31, 2022. We earned 11% and 11% of our revenue from one customer in the Aviation Leasing segment during the years ended December 31, 2021, and 2020, respectively.</w:t>
      </w:r>
    </w:p>
    <w:p>
      <w:pPr>
        <w:spacing w:after="0" w:line="281"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As of December 31, 2022, there were two customers in the Aviation Leasing segment that represented 20% and 12% of total accounts receivable, net. As of December 31, 2021, there were two customers in the Aviation Leasing segment that represented 51% and 18% of total accounts receivable, net.</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Provision in credit losses is included in Operating expenses in the Consolidated Statement of Operations. The activity in the allowance for doubtful accounts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0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202"/>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at beginning of period</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17,703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r>
      <w:tr>
        <w:trPr>
          <w:trHeight w:val="197"/>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Provision for credit losses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47,877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12,880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3,596</w:t>
            </w:r>
          </w:p>
        </w:tc>
      </w:tr>
      <w:tr>
        <w:trPr>
          <w:trHeight w:val="227"/>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at end of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65,580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17,703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Economic sanctions and export controls against Russia and Russia’s aviation industry were imposed due to its invasion of Ukraine during the first quarter of 2022. As a result of the sanctions imposed on Russian airlines, we terminated all lease agreements with Russian airlines during the first quarter of 2022 and recognized approximately $47.1 million in provision for credit losses during the year ended December 31, 2022. Our allowance for doubtful accounts at December 31, 2022 includes all accounts receivable exposure to Russian and Ukrainian customers.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for pensions and other postretirement benefits of discontinued operations, and other comprehensive income related to cash flow hedges of our equity method investees of discontinued operations. These changes are also recorded in Accumulated other comprehensive loss in our Consolidated Balance Sheets. The cash flow impact of derivative contracts held by the equity method investees that are not designated as hedging instruments is recognized in Equity in losses (earnings) in unconsolidated entities in our Consolidated Statements of Cash Flows, and the cash flow impact of commodity derivatives held by our consolidated subsidiaries is recognized in Change in fair value of non-hedge derivatives in our Consolidated Statements of Cash Flows.</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Other assets is primarily comprised of lease incentives of $37.9 million and $46.9 million, purchase deposits of $6.7 million and $13.7</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notes receivable of $49.2 million and $22.4 million, operating lease right-of-use assets, net of $3.0 million and $3.8 million, and finance leases, net of $6.4 million and $7.6 million, maintenance right assets of $6.8 million and $5.1 million, prepaid expenses of $1.9 million and $4.0 million as of December 31, 2022 and 2021, respectively. As a result of the sanctions imposed on Russian airlines, we terminated all lease agreements with Russian airlines and recognized approximately $7.5 million in amortization for the remaining lease incentives during the year ended December 31, 2022.</w:t>
      </w:r>
    </w:p>
    <w:p>
      <w:pPr>
        <w:spacing w:after="0" w:line="7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b w:val="1"/>
          <w:bCs w:val="1"/>
          <w:i w:val="1"/>
          <w:iCs w:val="1"/>
          <w:color w:val="000000"/>
        </w:rPr>
        <w:t>—</w:t>
      </w:r>
      <w:r>
        <w:rPr>
          <w:rFonts w:ascii="Arial" w:cs="Arial" w:eastAsia="Arial" w:hAnsi="Arial"/>
          <w:sz w:val="16"/>
          <w:szCs w:val="16"/>
          <w:color w:val="000000"/>
        </w:rPr>
        <w:t>Dividends are recorded if and when declared by the Board of Directors. The Board of Directors declared cash dividends of $1.26, $1.32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$1.32 per ordinary share during each of the years ended December 31, 2022, 2021 and 2020, respectively.</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Additionally, the Board of Directors declared cash dividends on the Series A Preferred Shares of $2.06, $2.06 and $2.06 per share for the years ended December 31, 2022, 2021, and 2020, respectively, the Series B Preferred Shares of $2.00,$2.00 and $2.10 per share for the years ended December 31, 2022, 2021 and 2020, respectively, and the Series C Preferred Shares of $2.06 and $1.49 per share for the year ended December 31, 2022 and 2021, respectively.</w:t>
      </w:r>
    </w:p>
    <w:p>
      <w:pPr>
        <w:spacing w:after="0" w:line="2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0000"/>
        </w:rPr>
        <w:t>—In July 2021, the FASB issued ASU 2021-05,</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 (Topic 842): Lessors—Certain Leases with Variable Lease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Payments</w:t>
      </w:r>
      <w:r>
        <w:rPr>
          <w:rFonts w:ascii="Arial" w:cs="Arial" w:eastAsia="Arial" w:hAnsi="Arial"/>
          <w:sz w:val="16"/>
          <w:szCs w:val="16"/>
          <w:color w:val="000000"/>
        </w:rPr>
        <w:t>. This ASU requires lessors to classify and account for a lease with variable lease payments that do not depend on a reference index or a rate as</w:t>
      </w:r>
      <w:r>
        <w:rPr>
          <w:rFonts w:ascii="Arial" w:cs="Arial" w:eastAsia="Arial" w:hAnsi="Arial"/>
          <w:sz w:val="16"/>
          <w:szCs w:val="16"/>
          <w:i w:val="1"/>
          <w:iCs w:val="1"/>
          <w:color w:val="000000"/>
        </w:rPr>
        <w:t xml:space="preserve"> </w:t>
      </w:r>
      <w:r>
        <w:rPr>
          <w:rFonts w:ascii="Arial" w:cs="Arial" w:eastAsia="Arial" w:hAnsi="Arial"/>
          <w:sz w:val="16"/>
          <w:szCs w:val="16"/>
          <w:color w:val="000000"/>
        </w:rPr>
        <w:t>an operating lease if (i) the lease would have been classified as a sales-type lease or a direct financing lease under Topic 842 and (ii) the lessor would have otherwise recognized a day-one loss. This standard is effective for all reporting periods beginning after December 15, 2021. We adopted this guidance in the first quarter of 2022, which did not have a material impact on our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DISCONTINUED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FTAI Infrastructure Inc. (“FTAI Infrastructure”) Spin-Off</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On April 28, 2022, the Board of Directors of the Company unanimously approved the previously announced spin-off of the Company’s infrastructure business held by FTAI Infrastructure (a wholly owned subsidiary of the Company). The spin-off was effected as a distribution of all of the shares owned by the Company of common stock of FTAI Infrastructure to the holders of the Company’s ordinary shares as of July 21, 2022. The distribution was completed on August 1, 2022. Under ASC 205-20,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the spin-off met the criteria to be reported as a discontinued operation. Therefore, FTAI Infrastructure is presented as a discontinued operation within the Company’s financial statements for all periods prior to August 1, 2022.</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businesses. In connection with the spin-off, FTAI Infrastructure paid a dividend of $730.3 million to the Company. The Company used these proceeds to repay all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outstanding borrowings under its 2021 bridge loans, $200.0 million of its 6.50% senior unsecured notes due 2025, and approximately $175.0 million of the outstanding borrowings under its revolving credit facility. FTAI retained the aviation business and certain other assets, and FTAI’s remaining outstanding corporate indebtedness.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connection with the spin-off, the Company and the Manager assigned the Company’s then-existing management agreement to FTAI Infrastructure, and FTAI Infrastructure and the Manager executed an amended and restated agreement. The Company and certain of its subsidiaries executed a new management agreement with the Manager. The new management agreement has an initial term of six years. The Manager is entitled to a management fee and reimbursement of certain expenses on substantially similar terms as the previous arrangements with the Manager, which were assigned to FTAI Infrastructure. Prior to the Merger described below, our Manager remained entitled to incentive allocations (comprised of income incentive allocation and capital gains incentive allocation) on the same terms as they existed prior to spin-off. Following the Merger, the Company entered into a Services and Profit Sharing Agreement (the “Services and Profit Sharing Agreement”), with a subsidiary of the Company and Fortress Worldwide Transportation and Infrastructure Master GP LLC (“Master GP”), pursuant to which Master GP is entitled to incentive payments on substantially similar terms as the previous arrangements.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Critical Accounting Policies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Revenues of discontinued operations consist of the following revenue streams: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relate to</w:t>
      </w:r>
      <w:r>
        <w:rPr>
          <w:rFonts w:ascii="Arial" w:cs="Arial" w:eastAsia="Arial" w:hAnsi="Arial"/>
          <w:sz w:val="16"/>
          <w:szCs w:val="16"/>
          <w:i w:val="1"/>
          <w:iCs w:val="1"/>
          <w:color w:val="00497F"/>
        </w:rPr>
        <w:t xml:space="preserve"> </w:t>
      </w:r>
      <w:r>
        <w:rPr>
          <w:rFonts w:ascii="Arial" w:cs="Arial" w:eastAsia="Arial" w:hAnsi="Arial"/>
          <w:sz w:val="16"/>
          <w:szCs w:val="16"/>
          <w:color w:val="000000"/>
        </w:rPr>
        <w:t>performance obligations that are recognized over time using the right to invoice practical expedient, i.e., invoiced as the services are rendered and the customer simultaneously receives and consumes the benefit over the contract term. The Company’s performance of service and right to invoice corresponds with the value delivered to our customers. Revenues are typically invoiced and paid on a monthly basis.</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00497F"/>
        </w:rPr>
        <w:t>Rail Revenues</w:t>
      </w:r>
      <w:r>
        <w:rPr>
          <w:rFonts w:ascii="Arial" w:cs="Arial" w:eastAsia="Arial" w:hAnsi="Arial"/>
          <w:sz w:val="16"/>
          <w:szCs w:val="16"/>
          <w:color w:val="000000"/>
        </w:rPr>
        <w:t>—Rail revenues generally consist of the following performance obligations: industrial switching, interline services, demurrage and storage.</w:t>
      </w:r>
      <w:r>
        <w:rPr>
          <w:rFonts w:ascii="Arial" w:cs="Arial" w:eastAsia="Arial" w:hAnsi="Arial"/>
          <w:sz w:val="16"/>
          <w:szCs w:val="16"/>
          <w:i w:val="1"/>
          <w:iCs w:val="1"/>
          <w:color w:val="00497F"/>
        </w:rPr>
        <w:t xml:space="preserve"> </w:t>
      </w:r>
      <w:r>
        <w:rPr>
          <w:rFonts w:ascii="Arial" w:cs="Arial" w:eastAsia="Arial" w:hAnsi="Arial"/>
          <w:sz w:val="16"/>
          <w:szCs w:val="16"/>
          <w:color w:val="000000"/>
        </w:rPr>
        <w:t>Switching revenues are derived from the performance of switching services, which involve the movement of cars from one point to another within the limits of an individual plant, industrial area, or a rail yard. Switching revenues are recognized as the services are performed, and the services are generally completed on the same day they are initiated.</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Interline revenues are derived from transportation services for railcars that originate or terminate at our railroads and involve one or more other carriers. We record revenue related to interline traffic for transportation service segments provided by carriers along railroads that are not owned or controlled by us on a net basis. Interline revenues are recognized as the transportation movements occur.</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Ancillary services revenue primarily relates to demurrage and storage services. Demurrage represents charges assessed by railroads for the detention of cars by shippers or receivers of freight beyond a specified free time and is recognized on a per day basis. Storage services revenue is earned for the provision of storage of shippers’ railcars and is generally recognized on a per day, per car basis, as the storage services are provided.</w:t>
      </w:r>
    </w:p>
    <w:p>
      <w:pPr>
        <w:spacing w:after="0" w:line="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terms</w:t>
      </w:r>
      <w:r>
        <w:rPr>
          <w:rFonts w:ascii="Arial" w:cs="Arial" w:eastAsia="Arial" w:hAnsi="Arial"/>
          <w:sz w:val="16"/>
          <w:szCs w:val="16"/>
          <w:i w:val="1"/>
          <w:iCs w:val="1"/>
          <w:color w:val="00497F"/>
        </w:rPr>
        <w:t xml:space="preserve"> </w:t>
      </w:r>
      <w:r>
        <w:rPr>
          <w:rFonts w:ascii="Arial" w:cs="Arial" w:eastAsia="Arial" w:hAnsi="Arial"/>
          <w:sz w:val="16"/>
          <w:szCs w:val="16"/>
          <w:color w:val="000000"/>
        </w:rPr>
        <w:t>of the relevant lease agreement.</w:t>
      </w:r>
    </w:p>
    <w:p>
      <w:pPr>
        <w:spacing w:after="0" w:line="4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Revenues for the handling and</w:t>
      </w:r>
      <w:r>
        <w:rPr>
          <w:rFonts w:ascii="Arial" w:cs="Arial" w:eastAsia="Arial" w:hAnsi="Arial"/>
          <w:sz w:val="16"/>
          <w:szCs w:val="16"/>
          <w:i w:val="1"/>
          <w:iCs w:val="1"/>
          <w:color w:val="00497F"/>
        </w:rPr>
        <w:t xml:space="preserve"> </w:t>
      </w:r>
      <w:r>
        <w:rPr>
          <w:rFonts w:ascii="Arial" w:cs="Arial" w:eastAsia="Arial" w:hAnsi="Arial"/>
          <w:sz w:val="16"/>
          <w:szCs w:val="16"/>
          <w:color w:val="000000"/>
        </w:rPr>
        <w:t>storage of raw materials relate to performance obligations that are recognized over time using the right to invoice practical expedient, i.e., invoiced as the services are rendered and the customer simultaneously receives and consumes the benefit over the contract term. Our performance of service and right to invoice corresponds with the value delivered to our customers. Revenues for the sale of raw materials relate to contracts that contain performance obligations to deliver the product over the term of the contract. The revenues are recognized when the control of the product is transferred to the customer, based on the volume delivered and the price within the contract. Other revenues are typically invoiced and paid on a monthly basis.</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Additionally, other revenue consists of revenue related to derivative trading activities and also includes revenue related to providing roadside assistance services to customers in the intermodal and over-the-road trucking industries. Revenue is recognized when a performance obligation is satisfied by completing a repair service at a point in time. Revenues are typically invoiced for each repair and generally have 30-day payment terms.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Variable Interest Entity</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assessment of whether an entity is a VIE and the determination of whether to consolidate a VIE requires judgment. 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At December 31, 2021, we held an approximately 98% economic interest, and a 100% voting interest in Delaware River Partners LLC (“DRP”). DRP was solely reliant on us to finance its activities and therefore was a VIE. We concluded that we were the primary beneficiary; and accordingly, DRP has been presented on a consolidated basis in the tables below. Total VIE assets of DRP were $316.5 million and total VIE liabilities were $32.6 million as of December 31, 2021.</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Goodwill</w:t>
      </w:r>
    </w:p>
    <w:p>
      <w:pPr>
        <w:spacing w:after="0" w:line="12" w:lineRule="exact"/>
        <w:rPr>
          <w:sz w:val="20"/>
          <w:szCs w:val="20"/>
          <w:color w:val="auto"/>
        </w:rPr>
      </w:pPr>
    </w:p>
    <w:p>
      <w:pPr>
        <w:ind w:right="240"/>
        <w:spacing w:after="0" w:line="242" w:lineRule="auto"/>
        <w:rPr>
          <w:sz w:val="20"/>
          <w:szCs w:val="20"/>
          <w:color w:val="auto"/>
        </w:rPr>
      </w:pPr>
      <w:r>
        <w:rPr>
          <w:rFonts w:ascii="Arial" w:cs="Arial" w:eastAsia="Arial" w:hAnsi="Arial"/>
          <w:sz w:val="16"/>
          <w:szCs w:val="16"/>
          <w:color w:val="auto"/>
        </w:rPr>
        <w:t>Goodwill included the excess of the purchase price over the fair value of the net tangible and intangible assets associated with the acquisition of Jefferson Terminal and Transtar. Subsequent to the spin-off on August 1, 2022, the Company does not have any goodwill.</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reviewed the carrying values of goodwill at least annually to assess impairment since these assets are not amortized. An annual impairment review was conducted as of October 1st of each year. Additionally, we reviewed the carrying value of goodwill whenever events or changes in circumstances indicate that its carrying amount may not be recoverable. The determination of fair value involves significant management judgment.</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goodwill impairment test is performed to identify potential goodwill impairment and measure an impairment loss. A qualitative analysis was not elected for 2021 or 2020.</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goodwill impairment assessment compares the fair value of the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that the carrying value of the reporting unit exceeds its fair value.</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estimated the fair value of the Jefferson and Transtar reporting units using an income approach, specifically a discounted cash flow analysis. The analysis required us to make significant assumptions and estimates about the forecasted revenue growth rates, capital expenditures, the timing of future cash flows, and discount rates. The estimates and assumptions were used to consider historical performance if indicative of future performance and were consistent with the assumptions used in determining future profit plans for the reporting units.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impairments of goodwill for the years ended December 31, 2022, 2021, and 2020.</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Intangibles and amortization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Intangibles included the value of existing customer relationships acquired in connection with the acquisition of Jefferson Terminal and Transtar.</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Customer relationship intangible assets were amortized on a straight-line basis over their useful lives as the pattern in which the asset’s economic benefits are consumed cannot reliably be determined. Customer relationship intangible assets have useful lives ranging from 5 to 15 years, no estimated residual value, and amortization was recorded as a component of Depreciation and amortization in the Consolidated Statements of Operations. The weighted-average remaining amortization period was approximately 154 months as of December 31, 2021.</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Financial Information of Discontinued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components of net loss from discontinued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88"/>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7"/>
        </w:trPr>
        <w:tc>
          <w:tcPr>
            <w:tcW w:w="61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140,009</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120,219</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68,562</w:t>
            </w:r>
          </w:p>
        </w:tc>
      </w:tr>
      <w:tr>
        <w:trPr>
          <w:trHeight w:val="188"/>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9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197"/>
        </w:trPr>
        <w:tc>
          <w:tcPr>
            <w:tcW w:w="61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10,864</w:t>
            </w:r>
          </w:p>
        </w:tc>
      </w:tr>
      <w:tr>
        <w:trPr>
          <w:trHeight w:val="208"/>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58,527</w:t>
            </w:r>
          </w:p>
        </w:tc>
      </w:tr>
      <w:tr>
        <w:trPr>
          <w:trHeight w:val="197"/>
        </w:trPr>
        <w:tc>
          <w:tcPr>
            <w:tcW w:w="612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3,961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4,053</w:t>
            </w:r>
          </w:p>
        </w:tc>
      </w:tr>
      <w:tr>
        <w:trPr>
          <w:trHeight w:val="208"/>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1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15,638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13,073</w:t>
            </w:r>
          </w:p>
        </w:tc>
      </w:tr>
      <w:tr>
        <w:trPr>
          <w:trHeight w:val="208"/>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31,114</w:t>
            </w:r>
          </w:p>
        </w:tc>
      </w:tr>
      <w:tr>
        <w:trPr>
          <w:trHeight w:val="19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10,764</w:t>
            </w:r>
          </w:p>
        </w:tc>
      </w:tr>
      <w:tr>
        <w:trPr>
          <w:trHeight w:val="196"/>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185,433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192,205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128,395</w:t>
            </w:r>
          </w:p>
        </w:tc>
      </w:tr>
      <w:tr>
        <w:trPr>
          <w:trHeight w:val="196"/>
        </w:trPr>
        <w:tc>
          <w:tcPr>
            <w:tcW w:w="61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(46,602)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(3,107)</w:t>
            </w:r>
          </w:p>
        </w:tc>
      </w:tr>
      <w:tr>
        <w:trPr>
          <w:trHeight w:val="208"/>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r>
      <w:tr>
        <w:trPr>
          <w:trHeight w:val="197"/>
        </w:trPr>
        <w:tc>
          <w:tcPr>
            <w:tcW w:w="61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(4,724)</w:t>
            </w:r>
          </w:p>
        </w:tc>
      </w:tr>
      <w:tr>
        <w:trPr>
          <w:trHeight w:val="20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196"/>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(47,765)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(6,370)</w:t>
            </w:r>
          </w:p>
        </w:tc>
      </w:tr>
      <w:tr>
        <w:trPr>
          <w:trHeight w:val="202"/>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(92,028)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(66,203)</w:t>
            </w:r>
          </w:p>
        </w:tc>
      </w:tr>
      <w:tr>
        <w:trPr>
          <w:trHeight w:val="196"/>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w:t>
            </w:r>
          </w:p>
        </w:tc>
      </w:tr>
      <w:tr>
        <w:trPr>
          <w:trHeight w:val="196"/>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from discontinued operations, net of income taxes</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(101,416)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(87,845)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(64,641)</w:t>
            </w:r>
          </w:p>
        </w:tc>
      </w:tr>
      <w:tr>
        <w:trPr>
          <w:trHeight w:val="196"/>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(18,817)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(26,472)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(16,522)</w:t>
            </w:r>
          </w:p>
        </w:tc>
      </w:tr>
      <w:tr>
        <w:trPr>
          <w:trHeight w:val="222"/>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(82,599)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carrying value of the major classes of assets and liabilities of discontinued operations as of December 31, 2021: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2021</w:t>
            </w:r>
          </w:p>
        </w:tc>
      </w:tr>
      <w:tr>
        <w:trPr>
          <w:trHeight w:val="182"/>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49,872</w:t>
            </w: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251,983</w:t>
            </w: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50,301</w:t>
            </w: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36,012</w:t>
            </w:r>
          </w:p>
        </w:tc>
      </w:tr>
      <w:tr>
        <w:trPr>
          <w:trHeight w:val="191"/>
        </w:trPr>
        <w:tc>
          <w:tcPr>
            <w:tcW w:w="920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71,547</w:t>
            </w: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1,517,594</w:t>
            </w: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54,408</w:t>
            </w: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67,737</w:t>
            </w: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257,137</w:t>
            </w: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85,710</w:t>
            </w:r>
          </w:p>
        </w:tc>
      </w:tr>
      <w:tr>
        <w:trPr>
          <w:trHeight w:val="184"/>
        </w:trPr>
        <w:tc>
          <w:tcPr>
            <w:tcW w:w="9200" w:type="dxa"/>
            <w:vAlign w:val="bottom"/>
          </w:tcPr>
          <w:p>
            <w:pPr>
              <w:ind w:left="20"/>
              <w:spacing w:after="0"/>
              <w:rPr>
                <w:sz w:val="20"/>
                <w:szCs w:val="20"/>
                <w:color w:val="auto"/>
              </w:rPr>
            </w:pPr>
            <w:r>
              <w:rPr>
                <w:rFonts w:ascii="Arial" w:cs="Arial" w:eastAsia="Arial" w:hAnsi="Arial"/>
                <w:sz w:val="14"/>
                <w:szCs w:val="14"/>
                <w:b w:val="1"/>
                <w:bCs w:val="1"/>
                <w:color w:val="auto"/>
              </w:rPr>
              <w:t>Total assets of discontinued operations</w:t>
            </w:r>
          </w:p>
        </w:tc>
        <w:tc>
          <w:tcPr>
            <w:tcW w:w="2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2,442,301</w:t>
            </w:r>
          </w:p>
        </w:tc>
      </w:tr>
      <w:tr>
        <w:trPr>
          <w:trHeight w:val="26"/>
        </w:trPr>
        <w:tc>
          <w:tcPr>
            <w:tcW w:w="9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9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115,634</w:t>
            </w: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color w:val="auto"/>
              </w:rPr>
              <w:t>Debt, net</w:t>
            </w: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718,624</w:t>
            </w: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70,404</w:t>
            </w: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75,593</w:t>
            </w:r>
          </w:p>
        </w:tc>
      </w:tr>
      <w:tr>
        <w:trPr>
          <w:trHeight w:val="26"/>
        </w:trPr>
        <w:tc>
          <w:tcPr>
            <w:tcW w:w="9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of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980,255</w:t>
            </w:r>
          </w:p>
        </w:tc>
      </w:tr>
      <w:tr>
        <w:trPr>
          <w:trHeight w:val="20"/>
        </w:trPr>
        <w:tc>
          <w:tcPr>
            <w:tcW w:w="9200" w:type="dxa"/>
            <w:vAlign w:val="bottom"/>
            <w:tcBorders>
              <w:top w:val="single" w:sz="8" w:color="5B9BD5"/>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r>
    </w:tbl>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cash flows related to discontinued operations have not been segregated, and are included in the Consolidated Statements of Cash Flows for all periods presented. The following table summarizes depreciation and amortization, capital expenditures, and other significant operating and investing noncash items of discontinued operations for each period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88"/>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7"/>
        </w:trPr>
        <w:tc>
          <w:tcPr>
            <w:tcW w:w="61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46,601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11,331</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3,107</w:t>
            </w:r>
          </w:p>
        </w:tc>
      </w:tr>
      <w:tr>
        <w:trPr>
          <w:trHeight w:val="208"/>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31,114</w:t>
            </w:r>
          </w:p>
        </w:tc>
      </w:tr>
      <w:tr>
        <w:trPr>
          <w:trHeight w:val="197"/>
        </w:trPr>
        <w:tc>
          <w:tcPr>
            <w:tcW w:w="612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2,623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2,325</w:t>
            </w:r>
          </w:p>
        </w:tc>
      </w:tr>
      <w:tr>
        <w:trPr>
          <w:trHeight w:val="208"/>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6"/>
        </w:trPr>
        <w:tc>
          <w:tcPr>
            <w:tcW w:w="612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(129,920)</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(140,896)</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(247,961)</w:t>
            </w: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120" w:type="dxa"/>
            <w:vAlign w:val="bottom"/>
          </w:tcPr>
          <w:p>
            <w:pPr>
              <w:ind w:left="20"/>
              <w:spacing w:after="0"/>
              <w:rPr>
                <w:sz w:val="20"/>
                <w:szCs w:val="20"/>
                <w:color w:val="auto"/>
              </w:rPr>
            </w:pPr>
            <w:r>
              <w:rPr>
                <w:rFonts w:ascii="Arial" w:cs="Arial" w:eastAsia="Arial" w:hAnsi="Arial"/>
                <w:sz w:val="14"/>
                <w:szCs w:val="14"/>
                <w:color w:val="auto"/>
              </w:rPr>
              <w:t>Investment in unconsolidated entities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7,954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53,055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(4,690)</w:t>
            </w: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120" w:type="dxa"/>
            <w:vAlign w:val="bottom"/>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(182,963)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(129,907)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(26,609)</w:t>
            </w: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interests in unconsolidated entities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Company accounted for Long Ridge Terminal LLC, included in liabilities of discontinued operations at December 31, 2021 included above, using the equity method of accounting. Summarized financial data for Long Ridge Terminal LLC are shown in the following tables for the periods in which the Company held the equity investment.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3"/>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Balance Sheet</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208"/>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32,469</w:t>
            </w:r>
          </w:p>
        </w:tc>
        <w:tc>
          <w:tcPr>
            <w:tcW w:w="0" w:type="dxa"/>
            <w:vAlign w:val="bottom"/>
          </w:tcPr>
          <w:p>
            <w:pPr>
              <w:spacing w:after="0"/>
              <w:rPr>
                <w:sz w:val="1"/>
                <w:szCs w:val="1"/>
                <w:color w:val="auto"/>
              </w:rPr>
            </w:pPr>
          </w:p>
        </w:tc>
      </w:tr>
      <w:tr>
        <w:trPr>
          <w:trHeight w:val="197"/>
        </w:trPr>
        <w:tc>
          <w:tcPr>
            <w:tcW w:w="64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17,896</w:t>
            </w:r>
          </w:p>
        </w:tc>
        <w:tc>
          <w:tcPr>
            <w:tcW w:w="0" w:type="dxa"/>
            <w:vAlign w:val="bottom"/>
          </w:tcPr>
          <w:p>
            <w:pPr>
              <w:spacing w:after="0"/>
              <w:rPr>
                <w:sz w:val="1"/>
                <w:szCs w:val="1"/>
                <w:color w:val="auto"/>
              </w:rPr>
            </w:pPr>
          </w:p>
        </w:tc>
      </w:tr>
      <w:tr>
        <w:trPr>
          <w:trHeight w:val="208"/>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764,607</w:t>
            </w:r>
          </w:p>
        </w:tc>
        <w:tc>
          <w:tcPr>
            <w:tcW w:w="0" w:type="dxa"/>
            <w:vAlign w:val="bottom"/>
          </w:tcPr>
          <w:p>
            <w:pPr>
              <w:spacing w:after="0"/>
              <w:rPr>
                <w:sz w:val="1"/>
                <w:szCs w:val="1"/>
                <w:color w:val="auto"/>
              </w:rPr>
            </w:pPr>
          </w:p>
        </w:tc>
      </w:tr>
      <w:tr>
        <w:trPr>
          <w:trHeight w:val="197"/>
        </w:trPr>
        <w:tc>
          <w:tcPr>
            <w:tcW w:w="64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4,940</w:t>
            </w:r>
          </w:p>
        </w:tc>
        <w:tc>
          <w:tcPr>
            <w:tcW w:w="0" w:type="dxa"/>
            <w:vAlign w:val="bottom"/>
          </w:tcPr>
          <w:p>
            <w:pPr>
              <w:spacing w:after="0"/>
              <w:rPr>
                <w:sz w:val="1"/>
                <w:szCs w:val="1"/>
                <w:color w:val="auto"/>
              </w:rPr>
            </w:pPr>
          </w:p>
        </w:tc>
      </w:tr>
      <w:tr>
        <w:trPr>
          <w:trHeight w:val="208"/>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89,390</w:t>
            </w:r>
          </w:p>
        </w:tc>
        <w:tc>
          <w:tcPr>
            <w:tcW w:w="0" w:type="dxa"/>
            <w:vAlign w:val="bottom"/>
          </w:tcPr>
          <w:p>
            <w:pPr>
              <w:spacing w:after="0"/>
              <w:rPr>
                <w:sz w:val="1"/>
                <w:szCs w:val="1"/>
                <w:color w:val="auto"/>
              </w:rPr>
            </w:pPr>
          </w:p>
        </w:tc>
      </w:tr>
      <w:tr>
        <w:trPr>
          <w:trHeight w:val="197"/>
        </w:trPr>
        <w:tc>
          <w:tcPr>
            <w:tcW w:w="6440" w:type="dxa"/>
            <w:vAlign w:val="bottom"/>
          </w:tcPr>
          <w:p>
            <w:pPr>
              <w:ind w:left="20"/>
              <w:spacing w:after="0"/>
              <w:rPr>
                <w:sz w:val="20"/>
                <w:szCs w:val="20"/>
                <w:color w:val="auto"/>
              </w:rPr>
            </w:pPr>
            <w:r>
              <w:rPr>
                <w:rFonts w:ascii="Arial" w:cs="Arial" w:eastAsia="Arial" w:hAnsi="Arial"/>
                <w:sz w:val="14"/>
                <w:szCs w:val="14"/>
                <w:color w:val="auto"/>
              </w:rPr>
              <w:t>Inventory, net</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12,750</w:t>
            </w:r>
          </w:p>
        </w:tc>
        <w:tc>
          <w:tcPr>
            <w:tcW w:w="0" w:type="dxa"/>
            <w:vAlign w:val="bottom"/>
          </w:tcPr>
          <w:p>
            <w:pPr>
              <w:spacing w:after="0"/>
              <w:rPr>
                <w:sz w:val="1"/>
                <w:szCs w:val="1"/>
                <w:color w:val="auto"/>
              </w:rPr>
            </w:pPr>
          </w:p>
        </w:tc>
      </w:tr>
      <w:tr>
        <w:trPr>
          <w:trHeight w:val="202"/>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926,675</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16,121</w:t>
            </w:r>
          </w:p>
        </w:tc>
        <w:tc>
          <w:tcPr>
            <w:tcW w:w="0" w:type="dxa"/>
            <w:vAlign w:val="bottom"/>
          </w:tcPr>
          <w:p>
            <w:pPr>
              <w:spacing w:after="0"/>
              <w:rPr>
                <w:sz w:val="1"/>
                <w:szCs w:val="1"/>
                <w:color w:val="auto"/>
              </w:rPr>
            </w:pPr>
          </w:p>
        </w:tc>
      </w:tr>
      <w:tr>
        <w:trPr>
          <w:trHeight w:val="196"/>
        </w:trPr>
        <w:tc>
          <w:tcPr>
            <w:tcW w:w="6440" w:type="dxa"/>
            <w:vAlign w:val="bottom"/>
          </w:tcPr>
          <w:p>
            <w:pPr>
              <w:ind w:left="20"/>
              <w:spacing w:after="0"/>
              <w:rPr>
                <w:sz w:val="20"/>
                <w:szCs w:val="20"/>
                <w:color w:val="auto"/>
              </w:rPr>
            </w:pPr>
            <w:r>
              <w:rPr>
                <w:rFonts w:ascii="Arial" w:cs="Arial" w:eastAsia="Arial" w:hAnsi="Arial"/>
                <w:sz w:val="14"/>
                <w:szCs w:val="14"/>
                <w:color w:val="auto"/>
              </w:rPr>
              <w:t>Debt, net</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604,261</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liabilities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339,033</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2,246</w:t>
            </w: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961,661</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44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208"/>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(33,951)</w:t>
            </w:r>
          </w:p>
        </w:tc>
        <w:tc>
          <w:tcPr>
            <w:tcW w:w="0" w:type="dxa"/>
            <w:vAlign w:val="bottom"/>
          </w:tcPr>
          <w:p>
            <w:pPr>
              <w:spacing w:after="0"/>
              <w:rPr>
                <w:sz w:val="1"/>
                <w:szCs w:val="1"/>
                <w:color w:val="auto"/>
              </w:rPr>
            </w:pPr>
          </w:p>
        </w:tc>
      </w:tr>
      <w:tr>
        <w:trPr>
          <w:trHeight w:val="197"/>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3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(34,986)</w:t>
            </w:r>
          </w:p>
        </w:tc>
        <w:tc>
          <w:tcPr>
            <w:tcW w:w="0" w:type="dxa"/>
            <w:vAlign w:val="bottom"/>
          </w:tcPr>
          <w:p>
            <w:pPr>
              <w:spacing w:after="0"/>
              <w:rPr>
                <w:sz w:val="1"/>
                <w:szCs w:val="1"/>
                <w:color w:val="auto"/>
              </w:rPr>
            </w:pPr>
          </w:p>
        </w:tc>
      </w:tr>
      <w:tr>
        <w:trPr>
          <w:trHeight w:val="222"/>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926,675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Statement</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15,199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center"/>
              <w:ind w:left="628"/>
              <w:spacing w:after="0"/>
              <w:rPr>
                <w:sz w:val="20"/>
                <w:szCs w:val="20"/>
                <w:color w:val="auto"/>
              </w:rPr>
            </w:pPr>
            <w:r>
              <w:rPr>
                <w:rFonts w:ascii="Arial" w:cs="Arial" w:eastAsia="Arial" w:hAnsi="Arial"/>
                <w:sz w:val="14"/>
                <w:szCs w:val="14"/>
                <w:color w:val="auto"/>
              </w:rPr>
              <w:t>85,638</w:t>
            </w:r>
          </w:p>
        </w:tc>
        <w:tc>
          <w:tcPr>
            <w:tcW w:w="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24,917</w:t>
            </w:r>
          </w:p>
        </w:tc>
        <w:tc>
          <w:tcPr>
            <w:tcW w:w="0" w:type="dxa"/>
            <w:vAlign w:val="bottom"/>
          </w:tcPr>
          <w:p>
            <w:pPr>
              <w:spacing w:after="0"/>
              <w:rPr>
                <w:sz w:val="1"/>
                <w:szCs w:val="1"/>
                <w:color w:val="auto"/>
              </w:rPr>
            </w:pPr>
          </w:p>
        </w:tc>
      </w:tr>
      <w:tr>
        <w:trPr>
          <w:trHeight w:val="256"/>
        </w:trPr>
        <w:tc>
          <w:tcPr>
            <w:tcW w:w="64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4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36,693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center"/>
              <w:ind w:left="628"/>
              <w:spacing w:after="0"/>
              <w:rPr>
                <w:sz w:val="20"/>
                <w:szCs w:val="20"/>
                <w:color w:val="auto"/>
              </w:rPr>
            </w:pPr>
            <w:r>
              <w:rPr>
                <w:rFonts w:ascii="Arial" w:cs="Arial" w:eastAsia="Arial" w:hAnsi="Arial"/>
                <w:sz w:val="14"/>
                <w:szCs w:val="14"/>
                <w:color w:val="auto"/>
              </w:rPr>
              <w:t>28,310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16,339</w:t>
            </w:r>
          </w:p>
        </w:tc>
        <w:tc>
          <w:tcPr>
            <w:tcW w:w="0" w:type="dxa"/>
            <w:vAlign w:val="bottom"/>
          </w:tcPr>
          <w:p>
            <w:pPr>
              <w:spacing w:after="0"/>
              <w:rPr>
                <w:sz w:val="1"/>
                <w:szCs w:val="1"/>
                <w:color w:val="auto"/>
              </w:rPr>
            </w:pPr>
          </w:p>
        </w:tc>
      </w:tr>
      <w:tr>
        <w:trPr>
          <w:trHeight w:val="208"/>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29,381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center"/>
              <w:ind w:left="628"/>
              <w:spacing w:after="0"/>
              <w:rPr>
                <w:sz w:val="20"/>
                <w:szCs w:val="20"/>
                <w:color w:val="auto"/>
              </w:rPr>
            </w:pPr>
            <w:r>
              <w:rPr>
                <w:rFonts w:ascii="Arial" w:cs="Arial" w:eastAsia="Arial" w:hAnsi="Arial"/>
                <w:sz w:val="14"/>
                <w:szCs w:val="14"/>
                <w:color w:val="auto"/>
              </w:rPr>
              <w:t>24,836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11,004</w:t>
            </w:r>
          </w:p>
        </w:tc>
        <w:tc>
          <w:tcPr>
            <w:tcW w:w="0" w:type="dxa"/>
            <w:vAlign w:val="bottom"/>
          </w:tcPr>
          <w:p>
            <w:pPr>
              <w:spacing w:after="0"/>
              <w:rPr>
                <w:sz w:val="1"/>
                <w:szCs w:val="1"/>
                <w:color w:val="auto"/>
              </w:rPr>
            </w:pPr>
          </w:p>
        </w:tc>
      </w:tr>
      <w:tr>
        <w:trPr>
          <w:trHeight w:val="197"/>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30,622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color w:val="auto"/>
              </w:rPr>
              <w:t>11,005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2,037</w:t>
            </w: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96,696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3"/>
            <w:shd w:val="clear" w:color="auto" w:fill="CCEEFF"/>
          </w:tcPr>
          <w:p>
            <w:pPr>
              <w:jc w:val="center"/>
              <w:ind w:left="628"/>
              <w:spacing w:after="0"/>
              <w:rPr>
                <w:sz w:val="20"/>
                <w:szCs w:val="20"/>
                <w:color w:val="auto"/>
              </w:rPr>
            </w:pPr>
            <w:r>
              <w:rPr>
                <w:rFonts w:ascii="Arial" w:cs="Arial" w:eastAsia="Arial" w:hAnsi="Arial"/>
                <w:sz w:val="14"/>
                <w:szCs w:val="14"/>
                <w:color w:val="auto"/>
              </w:rPr>
              <w:t>64,151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29,380</w:t>
            </w:r>
          </w:p>
        </w:tc>
        <w:tc>
          <w:tcPr>
            <w:tcW w:w="0" w:type="dxa"/>
            <w:vAlign w:val="bottom"/>
          </w:tcPr>
          <w:p>
            <w:pPr>
              <w:spacing w:after="0"/>
              <w:rPr>
                <w:sz w:val="1"/>
                <w:szCs w:val="1"/>
                <w:color w:val="auto"/>
              </w:rPr>
            </w:pPr>
          </w:p>
        </w:tc>
      </w:tr>
      <w:tr>
        <w:trPr>
          <w:trHeight w:val="19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(234)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color w:val="auto"/>
                <w:w w:val="99"/>
              </w:rPr>
              <w:t>(44,302)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(1,967)</w:t>
            </w:r>
          </w:p>
        </w:tc>
        <w:tc>
          <w:tcPr>
            <w:tcW w:w="0" w:type="dxa"/>
            <w:vAlign w:val="bottom"/>
          </w:tcPr>
          <w:p>
            <w:pPr>
              <w:spacing w:after="0"/>
              <w:rPr>
                <w:sz w:val="1"/>
                <w:szCs w:val="1"/>
                <w:color w:val="auto"/>
              </w:rPr>
            </w:pPr>
          </w:p>
        </w:tc>
      </w:tr>
      <w:tr>
        <w:trPr>
          <w:trHeight w:val="222"/>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(81,731)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center"/>
              <w:ind w:left="628"/>
              <w:spacing w:after="0"/>
              <w:rPr>
                <w:sz w:val="20"/>
                <w:szCs w:val="20"/>
                <w:color w:val="auto"/>
              </w:rPr>
            </w:pPr>
            <w:r>
              <w:rPr>
                <w:rFonts w:ascii="Arial" w:cs="Arial" w:eastAsia="Arial" w:hAnsi="Arial"/>
                <w:sz w:val="14"/>
                <w:szCs w:val="14"/>
                <w:color w:val="auto"/>
                <w:w w:val="99"/>
              </w:rPr>
              <w:t>(22,815)</w:t>
            </w:r>
          </w:p>
        </w:tc>
        <w:tc>
          <w:tcPr>
            <w:tcW w:w="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00497F"/>
              </w:rPr>
              <w:t>4. LEASING EQUIPMENT, NET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40" w:type="dxa"/>
            <w:vAlign w:val="bottom"/>
          </w:tcPr>
          <w:p>
            <w:pPr>
              <w:spacing w:after="0"/>
              <w:rPr>
                <w:sz w:val="20"/>
                <w:szCs w:val="20"/>
                <w:color w:val="auto"/>
              </w:rPr>
            </w:pPr>
            <w:r>
              <w:rPr>
                <w:rFonts w:ascii="Arial" w:cs="Arial" w:eastAsia="Arial" w:hAnsi="Arial"/>
                <w:sz w:val="16"/>
                <w:szCs w:val="16"/>
                <w:color w:val="auto"/>
              </w:rPr>
              <w:t>Leasing equipment, net is summarized as follows: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2,413,230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2,312,040</w:t>
            </w:r>
          </w:p>
        </w:tc>
        <w:tc>
          <w:tcPr>
            <w:tcW w:w="0" w:type="dxa"/>
            <w:vAlign w:val="bottom"/>
          </w:tcPr>
          <w:p>
            <w:pPr>
              <w:spacing w:after="0"/>
              <w:rPr>
                <w:sz w:val="1"/>
                <w:szCs w:val="1"/>
                <w:color w:val="auto"/>
              </w:rPr>
            </w:pPr>
          </w:p>
        </w:tc>
      </w:tr>
      <w:tr>
        <w:trPr>
          <w:trHeight w:val="197"/>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(499,677)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(456,403)</w:t>
            </w:r>
          </w:p>
        </w:tc>
        <w:tc>
          <w:tcPr>
            <w:tcW w:w="0" w:type="dxa"/>
            <w:vAlign w:val="bottom"/>
          </w:tcPr>
          <w:p>
            <w:pPr>
              <w:spacing w:after="0"/>
              <w:rPr>
                <w:sz w:val="1"/>
                <w:szCs w:val="1"/>
                <w:color w:val="auto"/>
              </w:rPr>
            </w:pPr>
          </w:p>
        </w:tc>
      </w:tr>
      <w:tr>
        <w:trPr>
          <w:trHeight w:val="222"/>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1,913,553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1,855,637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Economic sanctions and export controls against Russia and Russia’s aviation industry have been imposed due to its invasion of Ukraine during the year ended December 31, 2022. As a result of the sanctions imposed on Russian airlines, we terminated all lease agreements with Russian airlines. As of December 31, 2022, four aircraft and one engine were still located in Ukraine and eight aircraft and seventeen engines were still located in Russia. We determined that it is unlikely that we will regain possession of the aircraft and engines that have not yet been recovered from Ukraine and Russia. As a result, we recognized an impairment charge totaling $120.0 million, net of maintenance deposits, to write-off the entire carrying value of leasing equipment assets that we do not expect to recover from Ukraine and Russia. Additionally, we identified certain assets in our leasing equipment portfolio with indicators of impairment. As a result, we adjusted the carrying value of these assets to fair value and recognized transactional impairment charges of $17.2 million, net of redelivery compensation during the year ended December 31, 2022.</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acquisitions and dispositions of aviation leasing equipment: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640" w:type="dxa"/>
            <w:vAlign w:val="bottom"/>
            <w:tcBorders>
              <w:bottom w:val="single" w:sz="8" w:color="auto"/>
            </w:tcBorders>
          </w:tcPr>
          <w:p>
            <w:pPr>
              <w:spacing w:after="0"/>
              <w:rPr>
                <w:sz w:val="17"/>
                <w:szCs w:val="17"/>
                <w:color w:val="auto"/>
              </w:rPr>
            </w:pPr>
          </w:p>
        </w:tc>
      </w:tr>
      <w:tr>
        <w:trPr>
          <w:trHeight w:val="196"/>
        </w:trPr>
        <w:tc>
          <w:tcPr>
            <w:tcW w:w="60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8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96"/>
        </w:trPr>
        <w:tc>
          <w:tcPr>
            <w:tcW w:w="7280" w:type="dxa"/>
            <w:vAlign w:val="bottom"/>
            <w:gridSpan w:val="2"/>
          </w:tcPr>
          <w:p>
            <w:pPr>
              <w:ind w:left="140"/>
              <w:spacing w:after="0"/>
              <w:rPr>
                <w:sz w:val="20"/>
                <w:szCs w:val="20"/>
                <w:color w:val="auto"/>
              </w:rPr>
            </w:pPr>
            <w:r>
              <w:rPr>
                <w:rFonts w:ascii="Arial" w:cs="Arial" w:eastAsia="Arial" w:hAnsi="Arial"/>
                <w:sz w:val="14"/>
                <w:szCs w:val="14"/>
                <w:color w:val="auto"/>
              </w:rPr>
              <w:t>Aircraft</w:t>
            </w:r>
          </w:p>
        </w:tc>
        <w:tc>
          <w:tcPr>
            <w:tcW w:w="440" w:type="dxa"/>
            <w:vAlign w:val="bottom"/>
          </w:tcPr>
          <w:p>
            <w:pPr>
              <w:jc w:val="right"/>
              <w:spacing w:after="0"/>
              <w:rPr>
                <w:sz w:val="20"/>
                <w:szCs w:val="20"/>
                <w:color w:val="auto"/>
              </w:rPr>
            </w:pPr>
            <w:r>
              <w:rPr>
                <w:rFonts w:ascii="Arial" w:cs="Arial" w:eastAsia="Arial" w:hAnsi="Arial"/>
                <w:sz w:val="14"/>
                <w:szCs w:val="14"/>
                <w:color w:val="auto"/>
              </w:rPr>
              <w:t>39</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9"/>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Engines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7280" w:type="dxa"/>
            <w:vAlign w:val="bottom"/>
            <w:gridSpan w:val="2"/>
          </w:tcPr>
          <w:p>
            <w:pPr>
              <w:ind w:left="20"/>
              <w:spacing w:after="0"/>
              <w:rPr>
                <w:sz w:val="20"/>
                <w:szCs w:val="20"/>
                <w:color w:val="auto"/>
              </w:rPr>
            </w:pPr>
            <w:r>
              <w:rPr>
                <w:rFonts w:ascii="Arial" w:cs="Arial" w:eastAsia="Arial" w:hAnsi="Arial"/>
                <w:sz w:val="14"/>
                <w:szCs w:val="14"/>
                <w:color w:val="auto"/>
              </w:rPr>
              <w:t>Dispositions: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9"/>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Aircraft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280" w:type="dxa"/>
            <w:vAlign w:val="bottom"/>
            <w:gridSpan w:val="2"/>
          </w:tcPr>
          <w:p>
            <w:pPr>
              <w:ind w:left="140"/>
              <w:spacing w:after="0"/>
              <w:rPr>
                <w:sz w:val="20"/>
                <w:szCs w:val="20"/>
                <w:color w:val="auto"/>
              </w:rPr>
            </w:pPr>
            <w:r>
              <w:rPr>
                <w:rFonts w:ascii="Arial" w:cs="Arial" w:eastAsia="Arial" w:hAnsi="Arial"/>
                <w:sz w:val="14"/>
                <w:szCs w:val="14"/>
                <w:color w:val="auto"/>
              </w:rPr>
              <w:t>Engines</w:t>
            </w:r>
          </w:p>
        </w:tc>
        <w:tc>
          <w:tcPr>
            <w:tcW w:w="440" w:type="dxa"/>
            <w:vAlign w:val="bottom"/>
          </w:tcPr>
          <w:p>
            <w:pPr>
              <w:jc w:val="right"/>
              <w:spacing w:after="0"/>
              <w:rPr>
                <w:sz w:val="20"/>
                <w:szCs w:val="20"/>
                <w:color w:val="auto"/>
              </w:rPr>
            </w:pPr>
            <w:r>
              <w:rPr>
                <w:rFonts w:ascii="Arial" w:cs="Arial" w:eastAsia="Arial" w:hAnsi="Arial"/>
                <w:sz w:val="14"/>
                <w:szCs w:val="14"/>
                <w:color w:val="auto"/>
              </w:rPr>
              <w:t>71</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25</w:t>
            </w: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0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202"/>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152,378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147,444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141,161</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PROPERTY, PLANT AND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96"/>
        </w:trPr>
        <w:tc>
          <w:tcPr>
            <w:tcW w:w="7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608"/>
              <w:spacing w:after="0"/>
              <w:rPr>
                <w:sz w:val="20"/>
                <w:szCs w:val="20"/>
                <w:color w:val="auto"/>
              </w:rPr>
            </w:pPr>
            <w:r>
              <w:rPr>
                <w:rFonts w:ascii="Arial" w:cs="Arial" w:eastAsia="Arial" w:hAnsi="Arial"/>
                <w:sz w:val="14"/>
                <w:szCs w:val="14"/>
                <w:b w:val="1"/>
                <w:bCs w:val="1"/>
                <w:color w:val="auto"/>
              </w:rPr>
              <w:t>2021</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7,864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36,777</w:t>
            </w:r>
          </w:p>
        </w:tc>
      </w:tr>
      <w:tr>
        <w:trPr>
          <w:trHeight w:val="196"/>
        </w:trPr>
        <w:tc>
          <w:tcPr>
            <w:tcW w:w="782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1,449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1,374</w:t>
            </w: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1,661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w:t>
            </w:r>
          </w:p>
        </w:tc>
      </w:tr>
      <w:tr>
        <w:trPr>
          <w:trHeight w:val="196"/>
        </w:trPr>
        <w:tc>
          <w:tcPr>
            <w:tcW w:w="7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10,974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38,684</w:t>
            </w: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(960)</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r>
      <w:tr>
        <w:trPr>
          <w:trHeight w:val="202"/>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10,014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38,263</w:t>
            </w:r>
          </w:p>
        </w:tc>
      </w:tr>
      <w:tr>
        <w:trPr>
          <w:trHeight w:val="20"/>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added property, plant and equipment of $14.4 million and $14.5 million during the years ended December 31, 2022 and 2021, respectively, which primarily consist of the build out of the well intervention tower and riser system for the Pride vessel and the purchase of additional aviation module containers. Additionally, we placed the well intervention tower into service on December 1, 2022, which resulted in a $42.1 million transfer out of property, plant and equipment and into leasing equipment.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center"/>
              <w:ind w:right="20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r>
      <w:tr>
        <w:trPr>
          <w:trHeight w:val="196"/>
        </w:trPr>
        <w:tc>
          <w:tcPr>
            <w:tcW w:w="3480" w:type="dxa"/>
            <w:vAlign w:val="bottom"/>
          </w:tcPr>
          <w:p>
            <w:pPr>
              <w:spacing w:after="0"/>
              <w:rPr>
                <w:sz w:val="17"/>
                <w:szCs w:val="17"/>
                <w:color w:val="auto"/>
              </w:rPr>
            </w:pPr>
          </w:p>
        </w:tc>
        <w:tc>
          <w:tcPr>
            <w:tcW w:w="4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7"/>
                <w:szCs w:val="17"/>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208"/>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w:t>
            </w:r>
          </w:p>
        </w:tc>
        <w:tc>
          <w:tcPr>
            <w:tcW w:w="4060" w:type="dxa"/>
            <w:vAlign w:val="bottom"/>
            <w:gridSpan w:val="2"/>
            <w:shd w:val="clear" w:color="auto" w:fill="CCEEFF"/>
          </w:tcPr>
          <w:p>
            <w:pPr>
              <w:jc w:val="right"/>
              <w:ind w:right="9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539</w:t>
            </w:r>
          </w:p>
        </w:tc>
        <w:tc>
          <w:tcPr>
            <w:tcW w:w="5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906"/>
        </w:trPr>
        <w:tc>
          <w:tcPr>
            <w:tcW w:w="3480" w:type="dxa"/>
            <w:vAlign w:val="bottom"/>
          </w:tcPr>
          <w:p>
            <w:pPr>
              <w:spacing w:after="0"/>
              <w:rPr>
                <w:sz w:val="24"/>
                <w:szCs w:val="24"/>
                <w:color w:val="auto"/>
              </w:rPr>
            </w:pPr>
          </w:p>
        </w:tc>
        <w:tc>
          <w:tcPr>
            <w:tcW w:w="2980" w:type="dxa"/>
            <w:vAlign w:val="bottom"/>
          </w:tcPr>
          <w:p>
            <w:pPr>
              <w:jc w:val="right"/>
              <w:ind w:right="688"/>
              <w:spacing w:after="0"/>
              <w:rPr>
                <w:sz w:val="20"/>
                <w:szCs w:val="20"/>
                <w:color w:val="auto"/>
              </w:rPr>
            </w:pPr>
            <w:r>
              <w:rPr>
                <w:rFonts w:ascii="Arial" w:cs="Arial" w:eastAsia="Arial" w:hAnsi="Arial"/>
                <w:sz w:val="14"/>
                <w:szCs w:val="14"/>
                <w:color w:val="auto"/>
              </w:rPr>
              <w:t>70</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3"/>
        </w:trPr>
        <w:tc>
          <w:tcPr>
            <w:tcW w:w="348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INVESTMENTS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4"/>
          </w:tcPr>
          <w:p>
            <w:pPr>
              <w:jc w:val="right"/>
              <w:ind w:right="1428"/>
              <w:spacing w:after="0"/>
              <w:rPr>
                <w:sz w:val="20"/>
                <w:szCs w:val="20"/>
                <w:color w:val="auto"/>
              </w:rPr>
            </w:pPr>
            <w:r>
              <w:rPr>
                <w:rFonts w:ascii="Arial" w:cs="Arial" w:eastAsia="Arial" w:hAnsi="Arial"/>
                <w:sz w:val="14"/>
                <w:szCs w:val="14"/>
                <w:b w:val="1"/>
                <w:bCs w:val="1"/>
                <w:color w:val="auto"/>
              </w:rPr>
              <w:t>Carrying Value</w:t>
            </w:r>
          </w:p>
        </w:tc>
      </w:tr>
      <w:tr>
        <w:trPr>
          <w:trHeight w:val="197"/>
        </w:trPr>
        <w:tc>
          <w:tcPr>
            <w:tcW w:w="268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2021</w:t>
            </w:r>
          </w:p>
        </w:tc>
      </w:tr>
      <w:tr>
        <w:trPr>
          <w:trHeight w:val="20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20,207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21,317</w:t>
            </w:r>
          </w:p>
        </w:tc>
      </w:tr>
      <w:tr>
        <w:trPr>
          <w:trHeight w:val="304"/>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Falcon MSN 177 LLC</w:t>
            </w:r>
          </w:p>
        </w:tc>
        <w:tc>
          <w:tcPr>
            <w:tcW w:w="22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1,830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w:t>
            </w:r>
          </w:p>
        </w:tc>
      </w:tr>
      <w:tr>
        <w:trPr>
          <w:trHeight w:val="221"/>
        </w:trPr>
        <w:tc>
          <w:tcPr>
            <w:tcW w:w="268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22,037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22,917</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year ended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income (losses):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202"/>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r>
      <w:tr>
        <w:trPr>
          <w:trHeight w:val="197"/>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Falcon MSN 177 LLC</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(369)</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December 2016, we invested $15 million for a 25% interest in an advanced engine repair joint venture. We focus on developing new cost savings programs for engine repairs. We exercise significant influence over this investment and account for this investment as an equity method investment.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Falcon MSN 177 LLC</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November 2021, we invested $1.6 million for a 50% interest in Falcon MSN 177 LLC, an entity that consists of one Dassault Falcon 2000 aircraft. Falcon MSN 177 LLC leases the aircraft to charter operators on aircraft, crew, maintenance and insurance contracts. We account for our investment in Falcon as an equity method investment as we have significant influence through our interest.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INTANGIBLE ASSETS AND LIABILITIES,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intangible assets and liabilities, net are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7"/>
                <w:szCs w:val="17"/>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2021</w:t>
            </w:r>
          </w:p>
        </w:tc>
      </w:tr>
      <w:tr>
        <w:trPr>
          <w:trHeight w:val="188"/>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22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r>
      <w:tr>
        <w:trPr>
          <w:trHeight w:val="197"/>
        </w:trPr>
        <w:tc>
          <w:tcPr>
            <w:tcW w:w="720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ind w:right="8"/>
              <w:spacing w:after="0"/>
              <w:rPr>
                <w:sz w:val="20"/>
                <w:szCs w:val="20"/>
                <w:color w:val="auto"/>
              </w:rPr>
            </w:pPr>
            <w:r>
              <w:rPr>
                <w:rFonts w:ascii="Arial" w:cs="Arial" w:eastAsia="Arial" w:hAnsi="Arial"/>
                <w:sz w:val="14"/>
                <w:szCs w:val="14"/>
                <w:b w:val="1"/>
                <w:bCs w:val="1"/>
                <w:color w:val="auto"/>
              </w:rPr>
              <w:t>64,202</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67,013</w:t>
            </w: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(22,247)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(36,051)</w:t>
            </w:r>
          </w:p>
        </w:tc>
      </w:tr>
      <w:tr>
        <w:trPr>
          <w:trHeight w:val="202"/>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41,955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30,962</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6"/>
        </w:trPr>
        <w:tc>
          <w:tcPr>
            <w:tcW w:w="7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197"/>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8"/>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13,152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14,795</w:t>
            </w:r>
          </w:p>
        </w:tc>
      </w:tr>
      <w:tr>
        <w:trPr>
          <w:trHeight w:val="197"/>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(6,068)</w:t>
            </w:r>
          </w:p>
        </w:tc>
      </w:tr>
      <w:tr>
        <w:trPr>
          <w:trHeight w:val="22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10,545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Intangible assets and liabilities are all held within the Aviation Leasing segment. Intangible liabilities relate to unfavorable lease intangibles and are included as a component of Other liabilities in the Consolidated Balance Sheets.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recorded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34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Classification in Consolidated Statements of</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2580" w:type="dxa"/>
            <w:vAlign w:val="bottom"/>
          </w:tcPr>
          <w:p>
            <w:pPr>
              <w:spacing w:after="0"/>
              <w:rPr>
                <w:sz w:val="5"/>
                <w:szCs w:val="5"/>
                <w:color w:val="auto"/>
              </w:rPr>
            </w:pPr>
          </w:p>
        </w:tc>
        <w:tc>
          <w:tcPr>
            <w:tcW w:w="3480" w:type="dxa"/>
            <w:vAlign w:val="bottom"/>
            <w:gridSpan w:val="2"/>
            <w:vMerge w:val="continue"/>
          </w:tcPr>
          <w:p>
            <w:pPr>
              <w:spacing w:after="0"/>
              <w:rPr>
                <w:sz w:val="5"/>
                <w:szCs w:val="5"/>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tcPr>
          <w:p>
            <w:pPr>
              <w:spacing w:after="0"/>
              <w:rPr>
                <w:sz w:val="16"/>
                <w:szCs w:val="16"/>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13,913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estimated net annual amortization of intangibles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12,229</w:t>
            </w:r>
          </w:p>
        </w:tc>
      </w:tr>
      <w:tr>
        <w:trPr>
          <w:trHeight w:val="197"/>
        </w:trPr>
        <w:tc>
          <w:tcPr>
            <w:tcW w:w="9400" w:type="dxa"/>
            <w:vAlign w:val="bottom"/>
          </w:tcPr>
          <w:p>
            <w:pPr>
              <w:ind w:left="20"/>
              <w:spacing w:after="0"/>
              <w:rPr>
                <w:sz w:val="20"/>
                <w:szCs w:val="20"/>
                <w:color w:val="auto"/>
              </w:rPr>
            </w:pPr>
            <w:r>
              <w:rPr>
                <w:rFonts w:ascii="Arial" w:cs="Arial" w:eastAsia="Arial" w:hAnsi="Arial"/>
                <w:sz w:val="14"/>
                <w:szCs w:val="14"/>
                <w:color w:val="auto"/>
              </w:rPr>
              <w:t>2024</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8,758</w:t>
            </w:r>
          </w:p>
        </w:tc>
      </w:tr>
      <w:tr>
        <w:trPr>
          <w:trHeight w:val="208"/>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5,853</w:t>
            </w:r>
          </w:p>
        </w:tc>
      </w:tr>
      <w:tr>
        <w:trPr>
          <w:trHeight w:val="197"/>
        </w:trPr>
        <w:tc>
          <w:tcPr>
            <w:tcW w:w="9400" w:type="dxa"/>
            <w:vAlign w:val="bottom"/>
          </w:tcPr>
          <w:p>
            <w:pPr>
              <w:ind w:left="20"/>
              <w:spacing w:after="0"/>
              <w:rPr>
                <w:sz w:val="20"/>
                <w:szCs w:val="20"/>
                <w:color w:val="auto"/>
              </w:rPr>
            </w:pPr>
            <w:r>
              <w:rPr>
                <w:rFonts w:ascii="Arial" w:cs="Arial" w:eastAsia="Arial" w:hAnsi="Arial"/>
                <w:sz w:val="14"/>
                <w:szCs w:val="14"/>
                <w:color w:val="auto"/>
              </w:rPr>
              <w:t>2026</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4,167</w:t>
            </w:r>
          </w:p>
        </w:tc>
      </w:tr>
      <w:tr>
        <w:trPr>
          <w:trHeight w:val="208"/>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w:t>
            </w:r>
          </w:p>
        </w:tc>
      </w:tr>
      <w:tr>
        <w:trPr>
          <w:trHeight w:val="197"/>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r>
      <w:tr>
        <w:trPr>
          <w:trHeight w:val="227"/>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31,410</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DEBT,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December 31, 2022</w:t>
            </w: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2"/>
                <w:szCs w:val="12"/>
                <w:color w:val="auto"/>
              </w:rPr>
            </w:pPr>
          </w:p>
        </w:tc>
        <w:tc>
          <w:tcPr>
            <w:tcW w:w="3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Stated Interest Rate</w:t>
            </w:r>
          </w:p>
        </w:tc>
        <w:tc>
          <w:tcPr>
            <w:tcW w:w="14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Maturity Date</w:t>
            </w:r>
          </w:p>
        </w:tc>
        <w:tc>
          <w:tcPr>
            <w:tcW w:w="1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500" w:type="dxa"/>
            <w:vAlign w:val="bottom"/>
            <w:vMerge w:val="restart"/>
          </w:tcPr>
          <w:p>
            <w:pPr>
              <w:ind w:left="20"/>
              <w:spacing w:after="0"/>
              <w:rPr>
                <w:sz w:val="20"/>
                <w:szCs w:val="20"/>
                <w:color w:val="auto"/>
              </w:rPr>
            </w:pPr>
            <w:r>
              <w:rPr>
                <w:rFonts w:ascii="Arial" w:cs="Arial" w:eastAsia="Arial" w:hAnsi="Arial"/>
                <w:sz w:val="14"/>
                <w:szCs w:val="14"/>
                <w:color w:val="auto"/>
              </w:rPr>
              <w:t xml:space="preserve">Revolving Credit Facility </w:t>
            </w:r>
            <w:r>
              <w:rPr>
                <w:rFonts w:ascii="Arial" w:cs="Arial" w:eastAsia="Arial" w:hAnsi="Arial"/>
                <w:sz w:val="9"/>
                <w:szCs w:val="9"/>
                <w:color w:val="auto"/>
              </w:rPr>
              <w:t>(1)</w:t>
            </w:r>
          </w:p>
        </w:tc>
        <w:tc>
          <w:tcPr>
            <w:tcW w:w="1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150,000</w:t>
            </w:r>
          </w:p>
        </w:tc>
        <w:tc>
          <w:tcPr>
            <w:tcW w:w="100" w:type="dxa"/>
            <w:vAlign w:val="bottom"/>
          </w:tcPr>
          <w:p>
            <w:pPr>
              <w:spacing w:after="0"/>
              <w:rPr>
                <w:sz w:val="14"/>
                <w:szCs w:val="14"/>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4"/>
                <w:szCs w:val="14"/>
                <w:color w:val="auto"/>
              </w:rPr>
              <w:t>(i) Base Rate + 1.75%; or</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9/20/25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189,473</w:t>
            </w:r>
          </w:p>
        </w:tc>
        <w:tc>
          <w:tcPr>
            <w:tcW w:w="0" w:type="dxa"/>
            <w:vAlign w:val="bottom"/>
          </w:tcPr>
          <w:p>
            <w:pPr>
              <w:spacing w:after="0"/>
              <w:rPr>
                <w:sz w:val="1"/>
                <w:szCs w:val="1"/>
                <w:color w:val="auto"/>
              </w:rPr>
            </w:pPr>
          </w:p>
        </w:tc>
      </w:tr>
      <w:tr>
        <w:trPr>
          <w:trHeight w:val="171"/>
        </w:trPr>
        <w:tc>
          <w:tcPr>
            <w:tcW w:w="2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rPr>
              <w:t>(ii) Adjusted Term SOFR Rate + 2.75%</w:t>
            </w: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2021 Bridge Loans</w:t>
            </w: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 Base Rate + 1.75%; or</w:t>
            </w: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12/15/22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100,527</w:t>
            </w:r>
          </w:p>
        </w:tc>
        <w:tc>
          <w:tcPr>
            <w:tcW w:w="0" w:type="dxa"/>
            <w:vAlign w:val="bottom"/>
          </w:tcPr>
          <w:p>
            <w:pPr>
              <w:spacing w:after="0"/>
              <w:rPr>
                <w:sz w:val="1"/>
                <w:szCs w:val="1"/>
                <w:color w:val="auto"/>
              </w:rPr>
            </w:pPr>
          </w:p>
        </w:tc>
      </w:tr>
      <w:tr>
        <w:trPr>
          <w:trHeight w:val="171"/>
        </w:trPr>
        <w:tc>
          <w:tcPr>
            <w:tcW w:w="250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Adjusted Term SOFR Rate + 2.75%</w:t>
            </w:r>
          </w:p>
        </w:tc>
        <w:tc>
          <w:tcPr>
            <w:tcW w:w="13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00" w:type="dxa"/>
            <w:vAlign w:val="bottom"/>
          </w:tcPr>
          <w:p>
            <w:pPr>
              <w:ind w:left="20"/>
              <w:spacing w:after="0"/>
              <w:rPr>
                <w:sz w:val="20"/>
                <w:szCs w:val="20"/>
                <w:color w:val="auto"/>
              </w:rPr>
            </w:pPr>
            <w:r>
              <w:rPr>
                <w:rFonts w:ascii="Arial" w:cs="Arial" w:eastAsia="Arial" w:hAnsi="Arial"/>
                <w:sz w:val="14"/>
                <w:szCs w:val="14"/>
                <w:color w:val="auto"/>
              </w:rPr>
              <w:t>Total loans payable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150,000</w:t>
            </w: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290,000</w:t>
            </w: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20"/>
              <w:spacing w:after="0"/>
              <w:rPr>
                <w:sz w:val="20"/>
                <w:szCs w:val="20"/>
                <w:color w:val="auto"/>
              </w:rPr>
            </w:pPr>
            <w:r>
              <w:rPr>
                <w:rFonts w:ascii="Arial" w:cs="Arial" w:eastAsia="Arial" w:hAnsi="Arial"/>
                <w:sz w:val="14"/>
                <w:szCs w:val="14"/>
                <w:color w:val="auto"/>
              </w:rPr>
              <w:t xml:space="preserve">Senior Notes due 2025 </w:t>
            </w:r>
            <w:r>
              <w:rPr>
                <w:rFonts w:ascii="Arial" w:cs="Arial" w:eastAsia="Arial" w:hAnsi="Arial"/>
                <w:sz w:val="9"/>
                <w:szCs w:val="9"/>
                <w:color w:val="auto"/>
              </w:rPr>
              <w:t>(2)</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653,036</w:t>
            </w:r>
          </w:p>
        </w:tc>
        <w:tc>
          <w:tcPr>
            <w:tcW w:w="3780" w:type="dxa"/>
            <w:vAlign w:val="bottom"/>
            <w:gridSpan w:val="2"/>
          </w:tcPr>
          <w:p>
            <w:pPr>
              <w:jc w:val="center"/>
              <w:ind w:left="4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10/1/25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852,198</w:t>
            </w: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400,000</w:t>
            </w:r>
          </w:p>
        </w:tc>
        <w:tc>
          <w:tcPr>
            <w:tcW w:w="37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97"/>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Senior Notes due 2028 </w:t>
            </w:r>
            <w:r>
              <w:rPr>
                <w:rFonts w:ascii="Arial" w:cs="Arial" w:eastAsia="Arial" w:hAnsi="Arial"/>
                <w:sz w:val="9"/>
                <w:szCs w:val="9"/>
                <w:color w:val="auto"/>
              </w:rPr>
              <w:t>(3)</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1,002,091</w:t>
            </w:r>
          </w:p>
        </w:tc>
        <w:tc>
          <w:tcPr>
            <w:tcW w:w="378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5/1/28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1,002,416</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bonds payable</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2,055,127</w:t>
            </w: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2,254,614</w:t>
            </w:r>
          </w:p>
        </w:tc>
        <w:tc>
          <w:tcPr>
            <w:tcW w:w="0" w:type="dxa"/>
            <w:vAlign w:val="bottom"/>
          </w:tcPr>
          <w:p>
            <w:pPr>
              <w:spacing w:after="0"/>
              <w:rPr>
                <w:sz w:val="1"/>
                <w:szCs w:val="1"/>
                <w:color w:val="auto"/>
              </w:rPr>
            </w:pPr>
          </w:p>
        </w:tc>
      </w:tr>
      <w:tr>
        <w:trPr>
          <w:trHeight w:val="190"/>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Debt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2,205,127</w:t>
            </w: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2,544,614</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Debt issuance costs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(29,400)</w:t>
            </w: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(43,027)</w:t>
            </w:r>
          </w:p>
        </w:tc>
        <w:tc>
          <w:tcPr>
            <w:tcW w:w="0" w:type="dxa"/>
            <w:vAlign w:val="bottom"/>
          </w:tcPr>
          <w:p>
            <w:pPr>
              <w:spacing w:after="0"/>
              <w:rPr>
                <w:sz w:val="1"/>
                <w:szCs w:val="1"/>
                <w:color w:val="auto"/>
              </w:rPr>
            </w:pPr>
          </w:p>
        </w:tc>
      </w:tr>
      <w:tr>
        <w:trPr>
          <w:trHeight w:val="202"/>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Total debt, net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2,175,727</w:t>
            </w:r>
          </w:p>
        </w:tc>
        <w:tc>
          <w:tcPr>
            <w:tcW w:w="1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2,501,587</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100,527</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spacing w:after="0" w:line="75" w:lineRule="exact"/>
        <w:rPr>
          <w:sz w:val="20"/>
          <w:szCs w:val="20"/>
          <w:color w:val="auto"/>
        </w:rPr>
      </w:pPr>
    </w:p>
    <w:p>
      <w:pPr>
        <w:ind w:left="140" w:hanging="132"/>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14" w:lineRule="exact"/>
        <w:rPr>
          <w:rFonts w:ascii="Arial" w:cs="Arial" w:eastAsia="Arial" w:hAnsi="Arial"/>
          <w:sz w:val="9"/>
          <w:szCs w:val="9"/>
          <w:color w:val="auto"/>
        </w:rPr>
      </w:pPr>
    </w:p>
    <w:p>
      <w:pPr>
        <w:ind w:left="180" w:hanging="172"/>
        <w:spacing w:after="0" w:line="278" w:lineRule="auto"/>
        <w:tabs>
          <w:tab w:leader="none" w:pos="158" w:val="left"/>
        </w:tabs>
        <w:numPr>
          <w:ilvl w:val="0"/>
          <w:numId w:val="29"/>
        </w:numPr>
        <w:rPr>
          <w:rFonts w:ascii="Arial" w:cs="Arial" w:eastAsia="Arial" w:hAnsi="Arial"/>
          <w:sz w:val="9"/>
          <w:szCs w:val="9"/>
          <w:color w:val="auto"/>
        </w:rPr>
      </w:pPr>
      <w:r>
        <w:rPr>
          <w:rFonts w:ascii="Arial" w:cs="Arial" w:eastAsia="Arial" w:hAnsi="Arial"/>
          <w:sz w:val="14"/>
          <w:szCs w:val="14"/>
          <w:color w:val="auto"/>
        </w:rPr>
        <w:t>Includes unamortized discount of $1,318 and $3,509 at December 31, 2022 and 2021, respectively, and an unamortized premium of $4,354 and $5,707 at December 31, 2022 and 2021, respectively.</w:t>
      </w: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Includes an unamortized premium of $2,091 and $2,416 at December 31, 2022 and 2021, respectively.</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September 20, 2022, the Company amended and restated its Revolving Credit Facility which provides for revolving loans to be made available to the Company in an aggregate principal amount of up to $225.0 million, of which up to $25.0 million may be utilized for the issuance of letters of credit. On November 22, 2022, the Company entered into an additional amendment which provides for additional revolving commitments by Citizens Bank, National Association, as an incremental lender in an aggregate principal amount of $75.0 million (the “Incremental Commitment”). After giving effect to the Incremental Commitment, the aggregate principal amount of the Commitments available to the Company is $300.0 million (the “Revolving Credit Facility”), of which up to $25.0 million may be utilized for the issuance of letters of credit.</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conjunction with the spin-off of FTAI Infrastructure, the Company repaid all outstanding borrowings under its 2021 bridge loans and $200.0 million of its 6.50% senior unsecured notes due 2025, and approximately $175.0 million of the outstanding borrowings under its revolving credit facility. The Company recorded a loss on extinguishment of debt of $19.9 million as a result of these pay downs.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December 31, 2022.</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scheduled principal repayments under our debt agreements for the next five years and thereafter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w:t>
            </w:r>
          </w:p>
        </w:tc>
        <w:tc>
          <w:tcPr>
            <w:tcW w:w="8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97"/>
        </w:trPr>
        <w:tc>
          <w:tcPr>
            <w:tcW w:w="284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800" w:type="dxa"/>
            <w:vAlign w:val="bottom"/>
          </w:tcPr>
          <w:p>
            <w:pPr>
              <w:spacing w:after="0"/>
              <w:rPr>
                <w:sz w:val="17"/>
                <w:szCs w:val="17"/>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650,000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650,000</w:t>
            </w: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8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97"/>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Senior Notes due 2028</w:t>
            </w:r>
          </w:p>
        </w:tc>
        <w:tc>
          <w:tcPr>
            <w:tcW w:w="8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34"/>
        </w:trPr>
        <w:tc>
          <w:tcPr>
            <w:tcW w:w="28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Total principal payments on loans and</w:t>
            </w:r>
          </w:p>
        </w:tc>
        <w:tc>
          <w:tcPr>
            <w:tcW w:w="80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   $</w:t>
            </w:r>
          </w:p>
        </w:tc>
        <w:tc>
          <w:tcPr>
            <w:tcW w:w="66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   $</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800,000</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3"/>
            <w:vMerge w:val="restart"/>
            <w:shd w:val="clear" w:color="auto" w:fill="CCEEFF"/>
          </w:tcPr>
          <w:p>
            <w:pPr>
              <w:ind w:left="660"/>
              <w:spacing w:after="0"/>
              <w:rPr>
                <w:sz w:val="20"/>
                <w:szCs w:val="20"/>
                <w:color w:val="auto"/>
              </w:rPr>
            </w:pPr>
            <w:r>
              <w:rPr>
                <w:rFonts w:ascii="Arial" w:cs="Arial" w:eastAsia="Arial" w:hAnsi="Arial"/>
                <w:sz w:val="14"/>
                <w:szCs w:val="14"/>
                <w:b w:val="1"/>
                <w:bCs w:val="1"/>
                <w:color w:val="auto"/>
              </w:rPr>
              <w:t>—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400,000</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1,000,000</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2,200,000</w:t>
            </w:r>
          </w:p>
        </w:tc>
        <w:tc>
          <w:tcPr>
            <w:tcW w:w="0" w:type="dxa"/>
            <w:vAlign w:val="bottom"/>
          </w:tcPr>
          <w:p>
            <w:pPr>
              <w:spacing w:after="0"/>
              <w:rPr>
                <w:sz w:val="1"/>
                <w:szCs w:val="1"/>
                <w:color w:val="auto"/>
              </w:rPr>
            </w:pPr>
          </w:p>
        </w:tc>
      </w:tr>
      <w:tr>
        <w:trPr>
          <w:trHeight w:val="18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800" w:type="dxa"/>
            <w:vAlign w:val="bottom"/>
            <w:vMerge w:val="continue"/>
            <w:shd w:val="clear" w:color="auto" w:fill="CCEEFF"/>
          </w:tcPr>
          <w:p>
            <w:pPr>
              <w:spacing w:after="0"/>
              <w:rPr>
                <w:sz w:val="15"/>
                <w:szCs w:val="15"/>
                <w:color w:val="auto"/>
              </w:rPr>
            </w:pPr>
          </w:p>
        </w:tc>
        <w:tc>
          <w:tcPr>
            <w:tcW w:w="1200" w:type="dxa"/>
            <w:vAlign w:val="bottom"/>
            <w:gridSpan w:val="3"/>
            <w:vMerge w:val="continue"/>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220" w:type="dxa"/>
            <w:vAlign w:val="bottom"/>
            <w:gridSpan w:val="3"/>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FAIR VALUE MEASUREMENTS</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01"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278" w:lineRule="auto"/>
        <w:tabs>
          <w:tab w:leader="none" w:pos="3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7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26"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notes receivable, accounts payable and accrued liabilities, loans payable,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fair values of our bonds payable reported as Debt, net in the Consolidated Balance Sheets are presented in the table below and classified as Level 2 within the fair value hierarchy: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19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 2022</w:t>
            </w:r>
          </w:p>
        </w:tc>
        <w:tc>
          <w:tcPr>
            <w:tcW w:w="19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2021</w:t>
            </w:r>
          </w:p>
        </w:tc>
      </w:tr>
      <w:tr>
        <w:trPr>
          <w:trHeight w:val="202"/>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613,152</w:t>
            </w:r>
          </w:p>
        </w:tc>
        <w:tc>
          <w:tcPr>
            <w:tcW w:w="1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881,408</w:t>
            </w:r>
          </w:p>
        </w:tc>
      </w:tr>
      <w:tr>
        <w:trPr>
          <w:trHeight w:val="196"/>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1880" w:type="dxa"/>
            <w:vAlign w:val="bottom"/>
          </w:tcPr>
          <w:p>
            <w:pPr>
              <w:jc w:val="right"/>
              <w:spacing w:after="0"/>
              <w:rPr>
                <w:sz w:val="20"/>
                <w:szCs w:val="20"/>
                <w:color w:val="auto"/>
              </w:rPr>
            </w:pPr>
            <w:r>
              <w:rPr>
                <w:rFonts w:ascii="Arial" w:cs="Arial" w:eastAsia="Arial" w:hAnsi="Arial"/>
                <w:sz w:val="14"/>
                <w:szCs w:val="14"/>
                <w:color w:val="auto"/>
              </w:rPr>
              <w:t>402,032</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448,848</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853,490</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1,019,470</w:t>
            </w:r>
          </w:p>
        </w:tc>
      </w:tr>
    </w:tbl>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values of all other items reported as Debt, net in the Consolidated Balance Sheets approximate their carrying values due to their bearing market rates of interest and are classified as Level 2 within the fair value hierarchy.</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measure the fair value of certain assets on a non-recurring basis when GAAP requires the application of fair value, including events or changes in circumstances that indicate that the carrying amounts of assets may not be recoverable. Assets subject to these measurements include intangible assets, property, plant and equipment, leasing equipment and inventory.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leasing and eventual sale of assets.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REVENUES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We disaggregate our revenue from contracts with customers by products and services provided for each of our segments, as we believe it best depicts the nature, amount, timing and uncertainty of our revenue. Revenues are within the scope of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ASC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unless otherwise noted. We have elected to exclude sales and other similar taxes from revenues.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2022, we updated our corporate strategy based on the opportunities available in the market such that the sale of aircraft and</w:t>
      </w:r>
    </w:p>
    <w:p>
      <w:pPr>
        <w:jc w:val="both"/>
        <w:spacing w:after="0" w:line="220" w:lineRule="auto"/>
        <w:rPr>
          <w:sz w:val="20"/>
          <w:szCs w:val="20"/>
          <w:color w:val="auto"/>
        </w:rPr>
      </w:pPr>
      <w:r>
        <w:rPr>
          <w:rFonts w:ascii="Arial" w:cs="Arial" w:eastAsia="Arial" w:hAnsi="Arial"/>
          <w:sz w:val="16"/>
          <w:szCs w:val="16"/>
          <w:color w:val="auto"/>
        </w:rPr>
        <w:t>engines is now an output of our recurring, ordinary activities. As a result of this update, the transaction price allocated to the sale of assets is included in Revenues in the Consolidated Statement of Operations for the third and fourth quarters of 2022 and are accounted for in accordance with ASC 606. The</w:t>
      </w:r>
    </w:p>
    <w:p>
      <w:pPr>
        <w:jc w:val="both"/>
        <w:spacing w:after="0" w:line="233" w:lineRule="auto"/>
        <w:rPr>
          <w:sz w:val="20"/>
          <w:szCs w:val="20"/>
          <w:color w:val="auto"/>
        </w:rPr>
      </w:pPr>
      <w:r>
        <w:rPr>
          <w:rFonts w:ascii="Arial" w:cs="Arial" w:eastAsia="Arial" w:hAnsi="Arial"/>
          <w:sz w:val="16"/>
          <w:szCs w:val="16"/>
          <w:color w:val="auto"/>
        </w:rPr>
        <w:t xml:space="preserve">corresponding net book values of the assets sold are recorded in Cost of sales in the Consolidated Statement of Operations for the third and fourth quarters of 2022. Sales transactions of aircraft and engines prior to the third quarter of 2022 were accounted for in accordance with ASC 610-20, </w:t>
      </w:r>
      <w:r>
        <w:rPr>
          <w:rFonts w:ascii="Arial" w:cs="Arial" w:eastAsia="Arial" w:hAnsi="Arial"/>
          <w:sz w:val="16"/>
          <w:szCs w:val="16"/>
          <w:i w:val="1"/>
          <w:iCs w:val="1"/>
          <w:color w:val="auto"/>
        </w:rPr>
        <w:t>Gains and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the derecognition of nonfinancial assets </w:t>
      </w:r>
      <w:r>
        <w:rPr>
          <w:rFonts w:ascii="Arial" w:cs="Arial" w:eastAsia="Arial" w:hAnsi="Arial"/>
          <w:sz w:val="16"/>
          <w:szCs w:val="16"/>
          <w:color w:val="auto"/>
        </w:rPr>
        <w:t>and were included in Gain (loss) on sale of assets, net on the Consolidated Statement of Operations, as we</w:t>
      </w:r>
      <w:r>
        <w:rPr>
          <w:rFonts w:ascii="Arial" w:cs="Arial" w:eastAsia="Arial" w:hAnsi="Arial"/>
          <w:sz w:val="16"/>
          <w:szCs w:val="16"/>
          <w:i w:val="1"/>
          <w:iCs w:val="1"/>
          <w:color w:val="auto"/>
        </w:rPr>
        <w:t xml:space="preserve"> </w:t>
      </w:r>
      <w:r>
        <w:rPr>
          <w:rFonts w:ascii="Arial" w:cs="Arial" w:eastAsia="Arial" w:hAnsi="Arial"/>
          <w:sz w:val="16"/>
          <w:szCs w:val="16"/>
          <w:color w:val="auto"/>
        </w:rPr>
        <w:t>were previously only occasionally selling these assets. Generally, assets sold were under leasing arrangements with customers prior to sales and were included in Leasing equipment, net,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Year Ended December 31, 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Aerospace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4"/>
                <w:szCs w:val="14"/>
                <w:color w:val="auto"/>
              </w:rPr>
              <w:t>Lease income</w:t>
            </w:r>
          </w:p>
        </w:tc>
        <w:tc>
          <w:tcPr>
            <w:tcW w:w="4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158,628</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20,246</w:t>
            </w:r>
          </w:p>
        </w:tc>
        <w:tc>
          <w:tcPr>
            <w:tcW w:w="4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178,874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Maintenance revenue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148,846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148,846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4"/>
                <w:szCs w:val="14"/>
                <w:color w:val="auto"/>
              </w:rPr>
              <w:t>Finance lease income</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440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Asset sales revenue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208,500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208,500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4"/>
                <w:szCs w:val="14"/>
                <w:color w:val="auto"/>
              </w:rPr>
              <w:t>Aerospace products revenue</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153,550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153,550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revenue</w:t>
            </w: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11,499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6,702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18,201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revenues</w:t>
            </w:r>
          </w:p>
        </w:tc>
        <w:tc>
          <w:tcPr>
            <w:tcW w:w="2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527,913</w:t>
            </w:r>
          </w:p>
        </w:tc>
        <w:tc>
          <w:tcPr>
            <w:tcW w:w="120" w:type="dxa"/>
            <w:vAlign w:val="bottom"/>
            <w:gridSpan w:val="2"/>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153,550</w:t>
            </w:r>
          </w:p>
        </w:tc>
        <w:tc>
          <w:tcPr>
            <w:tcW w:w="2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26,948</w:t>
            </w:r>
          </w:p>
        </w:tc>
        <w:tc>
          <w:tcPr>
            <w:tcW w:w="120" w:type="dxa"/>
            <w:vAlign w:val="bottom"/>
            <w:gridSpan w:val="2"/>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708,411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Year Ended December 31, 2021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rPr>
              <w:t>Aerospace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58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4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161,986</w:t>
            </w:r>
          </w:p>
        </w:tc>
        <w:tc>
          <w:tcPr>
            <w:tcW w:w="30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10,131</w:t>
            </w:r>
          </w:p>
        </w:tc>
        <w:tc>
          <w:tcPr>
            <w:tcW w:w="40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172,117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Maintenance revenue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128,819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580" w:type="dxa"/>
            <w:vAlign w:val="bottom"/>
          </w:tcPr>
          <w:p>
            <w:pPr>
              <w:ind w:left="120"/>
              <w:spacing w:after="0"/>
              <w:rPr>
                <w:sz w:val="20"/>
                <w:szCs w:val="20"/>
                <w:color w:val="auto"/>
              </w:rPr>
            </w:pPr>
            <w:r>
              <w:rPr>
                <w:rFonts w:ascii="Arial" w:cs="Arial" w:eastAsia="Arial" w:hAnsi="Arial"/>
                <w:sz w:val="14"/>
                <w:szCs w:val="14"/>
                <w:color w:val="auto"/>
              </w:rPr>
              <w:t>Finance lease income</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Asset sales revenue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5580" w:type="dxa"/>
            <w:vAlign w:val="bottom"/>
          </w:tcPr>
          <w:p>
            <w:pPr>
              <w:ind w:left="120"/>
              <w:spacing w:after="0"/>
              <w:rPr>
                <w:sz w:val="20"/>
                <w:szCs w:val="20"/>
                <w:color w:val="auto"/>
              </w:rPr>
            </w:pPr>
            <w:r>
              <w:rPr>
                <w:rFonts w:ascii="Arial" w:cs="Arial" w:eastAsia="Arial" w:hAnsi="Arial"/>
                <w:sz w:val="14"/>
                <w:szCs w:val="14"/>
                <w:color w:val="auto"/>
              </w:rPr>
              <w:t>Aerospace products revenue</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23,301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5,569</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4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298,121</w:t>
            </w:r>
          </w:p>
        </w:tc>
        <w:tc>
          <w:tcPr>
            <w:tcW w:w="30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23,301</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14,161</w:t>
            </w:r>
          </w:p>
        </w:tc>
        <w:tc>
          <w:tcPr>
            <w:tcW w:w="40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335,583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Aerospace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4"/>
                <w:szCs w:val="14"/>
                <w:color w:val="auto"/>
              </w:rPr>
              <w:t>Lease income</w:t>
            </w:r>
          </w:p>
        </w:tc>
        <w:tc>
          <w:tcPr>
            <w:tcW w:w="4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166,331</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11,145</w:t>
            </w:r>
          </w:p>
        </w:tc>
        <w:tc>
          <w:tcPr>
            <w:tcW w:w="40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177,476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Maintenance revenue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101,462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4"/>
                <w:szCs w:val="14"/>
                <w:color w:val="auto"/>
              </w:rPr>
              <w:t>Finance lease income</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2,260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Asset sales revenue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4"/>
                <w:szCs w:val="14"/>
                <w:color w:val="auto"/>
              </w:rPr>
              <w:t>Aerospace products revenue</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revenue</w:t>
            </w: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16,736</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revenues</w:t>
            </w:r>
          </w:p>
        </w:tc>
        <w:tc>
          <w:tcPr>
            <w:tcW w:w="4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281,211</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16,723</w:t>
            </w:r>
          </w:p>
        </w:tc>
        <w:tc>
          <w:tcPr>
            <w:tcW w:w="40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297,934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as of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December 31, 2022</w:t>
            </w:r>
          </w:p>
        </w:tc>
      </w:tr>
      <w:tr>
        <w:trPr>
          <w:trHeight w:val="202"/>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141,154</w:t>
            </w:r>
          </w:p>
        </w:tc>
      </w:tr>
      <w:tr>
        <w:trPr>
          <w:trHeight w:val="196"/>
        </w:trPr>
        <w:tc>
          <w:tcPr>
            <w:tcW w:w="9140" w:type="dxa"/>
            <w:vAlign w:val="bottom"/>
          </w:tcPr>
          <w:p>
            <w:pPr>
              <w:ind w:left="20"/>
              <w:spacing w:after="0"/>
              <w:rPr>
                <w:sz w:val="20"/>
                <w:szCs w:val="20"/>
                <w:color w:val="auto"/>
              </w:rPr>
            </w:pPr>
            <w:r>
              <w:rPr>
                <w:rFonts w:ascii="Arial" w:cs="Arial" w:eastAsia="Arial" w:hAnsi="Arial"/>
                <w:sz w:val="14"/>
                <w:szCs w:val="14"/>
                <w:color w:val="auto"/>
              </w:rPr>
              <w:t>2024</w:t>
            </w:r>
          </w:p>
        </w:tc>
        <w:tc>
          <w:tcPr>
            <w:tcW w:w="2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86,337</w:t>
            </w:r>
          </w:p>
        </w:tc>
      </w:tr>
      <w:tr>
        <w:trPr>
          <w:trHeight w:val="209"/>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58,334</w:t>
            </w:r>
          </w:p>
        </w:tc>
      </w:tr>
      <w:tr>
        <w:trPr>
          <w:trHeight w:val="196"/>
        </w:trPr>
        <w:tc>
          <w:tcPr>
            <w:tcW w:w="9140" w:type="dxa"/>
            <w:vAlign w:val="bottom"/>
          </w:tcPr>
          <w:p>
            <w:pPr>
              <w:ind w:left="20"/>
              <w:spacing w:after="0"/>
              <w:rPr>
                <w:sz w:val="20"/>
                <w:szCs w:val="20"/>
                <w:color w:val="auto"/>
              </w:rPr>
            </w:pPr>
            <w:r>
              <w:rPr>
                <w:rFonts w:ascii="Arial" w:cs="Arial" w:eastAsia="Arial" w:hAnsi="Arial"/>
                <w:sz w:val="14"/>
                <w:szCs w:val="14"/>
                <w:color w:val="auto"/>
              </w:rPr>
              <w:t>2026</w:t>
            </w:r>
          </w:p>
        </w:tc>
        <w:tc>
          <w:tcPr>
            <w:tcW w:w="2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39,465</w:t>
            </w:r>
          </w:p>
        </w:tc>
      </w:tr>
      <w:tr>
        <w:trPr>
          <w:trHeight w:val="209"/>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24,810</w:t>
            </w:r>
          </w:p>
        </w:tc>
      </w:tr>
      <w:tr>
        <w:trPr>
          <w:trHeight w:val="196"/>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44,285</w:t>
            </w:r>
          </w:p>
        </w:tc>
      </w:tr>
      <w:tr>
        <w:trPr>
          <w:trHeight w:val="227"/>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394,385</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EQUITY-BASED COMPENSATION</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to eligible employees, consultants, directors, and other individuals who provide services to us, each as determined by the Compensation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August 2022, in connection with the spin-off of our Infrastructure business, each FTAI option held by eligible employees, consultants, directors and other individuals who provide services to us was converted into an adjusted FTAI option and a new FTAI Infrastructure option. The exercise price of each adjusted FTAI Infrastructure option was set to collectively maintain the intrinsic value of the FTAI option immediately prior to the spin-off and to maintain the ratio of the exercise price of the adjusted FTAI option and the FTAI Infrastructure option, respectively, to the fair market value of the underlying shares.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information for our stock options: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Stock Options</w:t>
            </w: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2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Average Exercise</w:t>
            </w:r>
          </w:p>
        </w:tc>
        <w:tc>
          <w:tcPr>
            <w:tcW w:w="0" w:type="dxa"/>
            <w:vAlign w:val="bottom"/>
          </w:tcPr>
          <w:p>
            <w:pPr>
              <w:spacing w:after="0"/>
              <w:rPr>
                <w:sz w:val="1"/>
                <w:szCs w:val="1"/>
                <w:color w:val="auto"/>
              </w:rPr>
            </w:pPr>
          </w:p>
        </w:tc>
      </w:tr>
      <w:tr>
        <w:trPr>
          <w:trHeight w:val="189"/>
        </w:trPr>
        <w:tc>
          <w:tcPr>
            <w:tcW w:w="86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rPr>
              <w:t>Price</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as of December 31, 2021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3,762,742</w:t>
            </w:r>
          </w:p>
        </w:tc>
        <w:tc>
          <w:tcPr>
            <w:tcW w:w="90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97"/>
        </w:trPr>
        <w:tc>
          <w:tcPr>
            <w:tcW w:w="8660" w:type="dxa"/>
            <w:vAlign w:val="bottom"/>
          </w:tcPr>
          <w:p>
            <w:pPr>
              <w:ind w:left="140"/>
              <w:spacing w:after="0"/>
              <w:rPr>
                <w:sz w:val="20"/>
                <w:szCs w:val="20"/>
                <w:color w:val="auto"/>
              </w:rPr>
            </w:pPr>
            <w:r>
              <w:rPr>
                <w:rFonts w:ascii="Arial" w:cs="Arial" w:eastAsia="Arial" w:hAnsi="Arial"/>
                <w:sz w:val="14"/>
                <w:szCs w:val="14"/>
                <w:color w:val="auto"/>
              </w:rPr>
              <w:t>Granted</w:t>
            </w:r>
          </w:p>
        </w:tc>
        <w:tc>
          <w:tcPr>
            <w:tcW w:w="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exercised / vested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2,027,426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97"/>
        </w:trPr>
        <w:tc>
          <w:tcPr>
            <w:tcW w:w="8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forfeited and canceled</w:t>
            </w: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as of December 31, 2022</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1,735,316</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86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Stock Options</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660" w:type="dxa"/>
            <w:vAlign w:val="bottom"/>
          </w:tcPr>
          <w:p>
            <w:pPr>
              <w:ind w:left="140"/>
              <w:spacing w:after="0"/>
              <w:rPr>
                <w:sz w:val="20"/>
                <w:szCs w:val="20"/>
                <w:color w:val="auto"/>
              </w:rPr>
            </w:pPr>
            <w:r>
              <w:rPr>
                <w:rFonts w:ascii="Arial" w:cs="Arial" w:eastAsia="Arial" w:hAnsi="Arial"/>
                <w:sz w:val="14"/>
                <w:szCs w:val="14"/>
                <w:color w:val="auto"/>
              </w:rPr>
              <w:t>Weighted average exercise / issuance price (per share)</w:t>
            </w:r>
          </w:p>
        </w:tc>
        <w:tc>
          <w:tcPr>
            <w:tcW w:w="1240" w:type="dxa"/>
            <w:vAlign w:val="bottom"/>
            <w:gridSpan w:val="2"/>
          </w:tcPr>
          <w:p>
            <w:pPr>
              <w:jc w:val="right"/>
              <w:ind w:right="10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22.67</w:t>
            </w:r>
          </w:p>
        </w:tc>
        <w:tc>
          <w:tcPr>
            <w:tcW w:w="0" w:type="dxa"/>
            <w:vAlign w:val="bottom"/>
          </w:tcPr>
          <w:p>
            <w:pPr>
              <w:spacing w:after="0"/>
              <w:rPr>
                <w:sz w:val="1"/>
                <w:szCs w:val="1"/>
                <w:color w:val="auto"/>
              </w:rPr>
            </w:pPr>
          </w:p>
        </w:tc>
      </w:tr>
      <w:tr>
        <w:trPr>
          <w:trHeight w:val="208"/>
        </w:trPr>
        <w:tc>
          <w:tcPr>
            <w:tcW w:w="8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Aggregate intrinsic value (in thousands)</w:t>
            </w:r>
          </w:p>
        </w:tc>
        <w:tc>
          <w:tcPr>
            <w:tcW w:w="1240" w:type="dxa"/>
            <w:vAlign w:val="bottom"/>
            <w:gridSpan w:val="2"/>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w:t>
            </w:r>
          </w:p>
        </w:tc>
        <w:tc>
          <w:tcPr>
            <w:tcW w:w="0" w:type="dxa"/>
            <w:vAlign w:val="bottom"/>
          </w:tcPr>
          <w:p>
            <w:pPr>
              <w:spacing w:after="0"/>
              <w:rPr>
                <w:sz w:val="1"/>
                <w:szCs w:val="1"/>
                <w:color w:val="auto"/>
              </w:rPr>
            </w:pPr>
          </w:p>
        </w:tc>
      </w:tr>
      <w:tr>
        <w:trPr>
          <w:trHeight w:val="191"/>
        </w:trPr>
        <w:tc>
          <w:tcPr>
            <w:tcW w:w="8660" w:type="dxa"/>
            <w:vAlign w:val="bottom"/>
          </w:tcPr>
          <w:p>
            <w:pPr>
              <w:ind w:left="140"/>
              <w:spacing w:after="0"/>
              <w:rPr>
                <w:sz w:val="20"/>
                <w:szCs w:val="20"/>
                <w:color w:val="auto"/>
              </w:rPr>
            </w:pPr>
            <w:r>
              <w:rPr>
                <w:rFonts w:ascii="Arial" w:cs="Arial" w:eastAsia="Arial" w:hAnsi="Arial"/>
                <w:sz w:val="14"/>
                <w:szCs w:val="14"/>
                <w:color w:val="auto"/>
              </w:rPr>
              <w:t>Weighted average remaining contractual term (in years)</w:t>
            </w: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2022, the Manager transferred 336,862 of its options to certain of the Manager’s employees.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Stock Options</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connection with our equity offerings (see Note 15 for details), we granted options to the Manager related to ordinary shares. The fair value of these options was recorded as an increase in equity with an offsetting reduction of capital proceeds received.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the options related to our shares:</w:t>
      </w:r>
    </w:p>
    <w:p>
      <w:pPr>
        <w:spacing w:after="0" w:line="314"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 December 31,</w:t>
      </w:r>
    </w:p>
    <w:p>
      <w:pPr>
        <w:sectPr>
          <w:pgSz w:w="11900" w:h="16838" w:orient="portrait"/>
          <w:cols w:equalWidth="0" w:num="1">
            <w:col w:w="11240"/>
          </w:cols>
          <w:pgMar w:left="320" w:top="118" w:right="339" w:bottom="1440" w:gutter="0" w:footer="0" w:header="0"/>
        </w:sectPr>
      </w:pPr>
    </w:p>
    <w:p>
      <w:pPr>
        <w:spacing w:after="0" w:line="289" w:lineRule="exact"/>
        <w:rPr>
          <w:sz w:val="20"/>
          <w:szCs w:val="20"/>
          <w:color w:val="auto"/>
        </w:rPr>
      </w:pPr>
    </w:p>
    <w:p>
      <w:pPr>
        <w:ind w:left="20" w:right="140"/>
        <w:spacing w:after="0" w:line="289" w:lineRule="auto"/>
        <w:rPr>
          <w:sz w:val="20"/>
          <w:szCs w:val="20"/>
          <w:color w:val="auto"/>
        </w:rPr>
      </w:pPr>
      <w:r>
        <w:rPr>
          <w:rFonts w:ascii="Arial" w:cs="Arial" w:eastAsia="Arial" w:hAnsi="Arial"/>
          <w:sz w:val="14"/>
          <w:szCs w:val="14"/>
          <w:color w:val="auto"/>
        </w:rPr>
        <w:t>Number of options Fair value ($ millions)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Ranges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volatility</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 free interest rate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dividend yield</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The expected share volatility is based on an assessment of the volatility of our publicly traded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-608965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-342900</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0</wp:posOffset>
            </wp:positionV>
            <wp:extent cx="713232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risk-free rate is determined using the implied yield currently available</w:t>
      </w:r>
    </w:p>
    <w:p>
      <w:pPr>
        <w:ind w:right="40"/>
        <w:spacing w:after="0" w:line="229" w:lineRule="auto"/>
        <w:rPr>
          <w:sz w:val="20"/>
          <w:szCs w:val="20"/>
          <w:color w:val="auto"/>
        </w:rPr>
      </w:pPr>
      <w:r>
        <w:rPr>
          <w:rFonts w:ascii="Arial" w:cs="Arial" w:eastAsia="Arial" w:hAnsi="Arial"/>
          <w:sz w:val="14"/>
          <w:szCs w:val="14"/>
          <w:color w:val="auto"/>
        </w:rPr>
        <w:t>on U.S. government bonds with a term consistent with the expected term on the date of grant.</w:t>
      </w:r>
    </w:p>
    <w:p>
      <w:pPr>
        <w:spacing w:after="0" w:line="30"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The expected dividend yield is based on management’s current expected dividend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0</wp:posOffset>
            </wp:positionV>
            <wp:extent cx="7132320" cy="2146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39" w:lineRule="auto"/>
        <w:rPr>
          <w:sz w:val="20"/>
          <w:szCs w:val="20"/>
          <w:color w:val="auto"/>
        </w:rPr>
      </w:pPr>
      <w:r>
        <w:rPr>
          <w:rFonts w:ascii="Arial" w:cs="Arial" w:eastAsia="Arial" w:hAnsi="Arial"/>
          <w:sz w:val="14"/>
          <w:szCs w:val="14"/>
          <w:color w:val="auto"/>
        </w:rPr>
        <w:t>Expected term used represents the period of time the options granted are expected to be outstanding.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480" w:type="dxa"/>
            <w:vAlign w:val="bottom"/>
            <w:tcBorders>
              <w:top w:val="single" w:sz="8" w:color="auto"/>
              <w:bottom w:val="single" w:sz="8" w:color="auto"/>
            </w:tcBorders>
            <w:gridSpan w:val="2"/>
          </w:tcPr>
          <w:p>
            <w:pPr>
              <w:jc w:val="center"/>
              <w:ind w:left="568"/>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spacing w:after="0"/>
              <w:rPr>
                <w:sz w:val="17"/>
                <w:szCs w:val="17"/>
                <w:color w:val="auto"/>
              </w:rPr>
            </w:pPr>
          </w:p>
        </w:tc>
      </w:tr>
      <w:tr>
        <w:trPr>
          <w:trHeight w:val="190"/>
        </w:trPr>
        <w:tc>
          <w:tcPr>
            <w:tcW w:w="1480" w:type="dxa"/>
            <w:vAlign w:val="bottom"/>
            <w:gridSpan w:val="2"/>
          </w:tcPr>
          <w:p>
            <w:pPr>
              <w:jc w:val="center"/>
              <w:ind w:left="568"/>
              <w:spacing w:after="0"/>
              <w:rPr>
                <w:sz w:val="20"/>
                <w:szCs w:val="20"/>
                <w:color w:val="auto"/>
              </w:rPr>
            </w:pPr>
            <w:r>
              <w:rPr>
                <w:rFonts w:ascii="Arial" w:cs="Arial" w:eastAsia="Arial" w:hAnsi="Arial"/>
                <w:sz w:val="14"/>
                <w:szCs w:val="14"/>
                <w:color w:val="auto"/>
              </w:rPr>
              <w:t>1,684,318</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left="588"/>
              <w:spacing w:after="0"/>
              <w:rPr>
                <w:sz w:val="20"/>
                <w:szCs w:val="20"/>
                <w:color w:val="auto"/>
              </w:rPr>
            </w:pPr>
            <w:r>
              <w:rPr>
                <w:rFonts w:ascii="Arial" w:cs="Arial" w:eastAsia="Arial" w:hAnsi="Arial"/>
                <w:sz w:val="14"/>
                <w:szCs w:val="14"/>
                <w:color w:val="auto"/>
              </w:rPr>
              <w:t>129,988</w:t>
            </w:r>
          </w:p>
        </w:tc>
        <w:tc>
          <w:tcPr>
            <w:tcW w:w="680" w:type="dxa"/>
            <w:vAlign w:val="bottom"/>
          </w:tcPr>
          <w:p>
            <w:pPr>
              <w:spacing w:after="0"/>
              <w:rPr>
                <w:sz w:val="16"/>
                <w:szCs w:val="16"/>
                <w:color w:val="auto"/>
              </w:rPr>
            </w:pPr>
          </w:p>
        </w:tc>
      </w:tr>
      <w:tr>
        <w:trPr>
          <w:trHeight w:val="203"/>
        </w:trPr>
        <w:tc>
          <w:tcPr>
            <w:tcW w:w="1480" w:type="dxa"/>
            <w:vAlign w:val="bottom"/>
            <w:gridSpan w:val="2"/>
          </w:tcPr>
          <w:p>
            <w:pPr>
              <w:jc w:val="center"/>
              <w:ind w:left="568"/>
              <w:spacing w:after="0"/>
              <w:rPr>
                <w:sz w:val="20"/>
                <w:szCs w:val="20"/>
                <w:color w:val="auto"/>
              </w:rPr>
            </w:pPr>
            <w:r>
              <w:rPr>
                <w:rFonts w:ascii="Arial" w:cs="Arial" w:eastAsia="Arial" w:hAnsi="Arial"/>
                <w:sz w:val="14"/>
                <w:szCs w:val="14"/>
                <w:color w:val="auto"/>
              </w:rPr>
              <w:t>$13.8</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left="588"/>
              <w:spacing w:after="0"/>
              <w:rPr>
                <w:sz w:val="20"/>
                <w:szCs w:val="20"/>
                <w:color w:val="auto"/>
              </w:rPr>
            </w:pPr>
            <w:r>
              <w:rPr>
                <w:rFonts w:ascii="Arial" w:cs="Arial" w:eastAsia="Arial" w:hAnsi="Arial"/>
                <w:sz w:val="14"/>
                <w:szCs w:val="14"/>
                <w:color w:val="auto"/>
              </w:rPr>
              <w:t>$0.7</w:t>
            </w:r>
          </w:p>
        </w:tc>
        <w:tc>
          <w:tcPr>
            <w:tcW w:w="680" w:type="dxa"/>
            <w:vAlign w:val="bottom"/>
          </w:tcPr>
          <w:p>
            <w:pPr>
              <w:spacing w:after="0"/>
              <w:rPr>
                <w:sz w:val="17"/>
                <w:szCs w:val="17"/>
                <w:color w:val="auto"/>
              </w:rPr>
            </w:pPr>
          </w:p>
        </w:tc>
      </w:tr>
      <w:tr>
        <w:trPr>
          <w:trHeight w:val="540"/>
        </w:trPr>
        <w:tc>
          <w:tcPr>
            <w:tcW w:w="1000" w:type="dxa"/>
            <w:vAlign w:val="bottom"/>
          </w:tcPr>
          <w:p>
            <w:pPr>
              <w:jc w:val="right"/>
              <w:spacing w:after="0"/>
              <w:rPr>
                <w:sz w:val="20"/>
                <w:szCs w:val="20"/>
                <w:color w:val="auto"/>
              </w:rPr>
            </w:pPr>
            <w:r>
              <w:rPr>
                <w:rFonts w:ascii="Arial" w:cs="Arial" w:eastAsia="Arial" w:hAnsi="Arial"/>
                <w:sz w:val="14"/>
                <w:szCs w:val="14"/>
                <w:color w:val="auto"/>
              </w:rPr>
              <w:t>44.78 %</w:t>
            </w:r>
          </w:p>
        </w:tc>
        <w:tc>
          <w:tcPr>
            <w:tcW w:w="480" w:type="dxa"/>
            <w:vAlign w:val="bottom"/>
          </w:tcPr>
          <w:p>
            <w:pPr>
              <w:jc w:val="center"/>
              <w:ind w:right="288"/>
              <w:spacing w:after="0"/>
              <w:rPr>
                <w:sz w:val="20"/>
                <w:szCs w:val="20"/>
                <w:color w:val="auto"/>
              </w:rPr>
            </w:pPr>
            <w:r>
              <w:rPr>
                <w:rFonts w:ascii="Arial" w:cs="Arial" w:eastAsia="Arial" w:hAnsi="Arial"/>
                <w:sz w:val="14"/>
                <w:szCs w:val="14"/>
                <w:color w:val="auto"/>
                <w:w w:val="84"/>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45.60 %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61.27 %</w:t>
            </w:r>
          </w:p>
        </w:tc>
        <w:tc>
          <w:tcPr>
            <w:tcW w:w="460" w:type="dxa"/>
            <w:vAlign w:val="bottom"/>
          </w:tcPr>
          <w:p>
            <w:pPr>
              <w:jc w:val="center"/>
              <w:ind w:right="2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62.12 %</w:t>
            </w:r>
          </w:p>
        </w:tc>
      </w:tr>
      <w:tr>
        <w:trPr>
          <w:trHeight w:val="486"/>
        </w:trPr>
        <w:tc>
          <w:tcPr>
            <w:tcW w:w="1000" w:type="dxa"/>
            <w:vAlign w:val="bottom"/>
          </w:tcPr>
          <w:p>
            <w:pPr>
              <w:jc w:val="right"/>
              <w:spacing w:after="0"/>
              <w:rPr>
                <w:sz w:val="20"/>
                <w:szCs w:val="20"/>
                <w:color w:val="auto"/>
              </w:rPr>
            </w:pPr>
            <w:r>
              <w:rPr>
                <w:rFonts w:ascii="Arial" w:cs="Arial" w:eastAsia="Arial" w:hAnsi="Arial"/>
                <w:sz w:val="14"/>
                <w:szCs w:val="14"/>
                <w:color w:val="auto"/>
              </w:rPr>
              <w:t>1.34 %</w:t>
            </w:r>
          </w:p>
        </w:tc>
        <w:tc>
          <w:tcPr>
            <w:tcW w:w="480" w:type="dxa"/>
            <w:vAlign w:val="bottom"/>
          </w:tcPr>
          <w:p>
            <w:pPr>
              <w:jc w:val="center"/>
              <w:ind w:right="288"/>
              <w:spacing w:after="0"/>
              <w:rPr>
                <w:sz w:val="20"/>
                <w:szCs w:val="20"/>
                <w:color w:val="auto"/>
              </w:rPr>
            </w:pPr>
            <w:r>
              <w:rPr>
                <w:rFonts w:ascii="Arial" w:cs="Arial" w:eastAsia="Arial" w:hAnsi="Arial"/>
                <w:sz w:val="14"/>
                <w:szCs w:val="14"/>
                <w:color w:val="auto"/>
                <w:w w:val="84"/>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1.70 %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0.51 %</w:t>
            </w:r>
          </w:p>
        </w:tc>
        <w:tc>
          <w:tcPr>
            <w:tcW w:w="460" w:type="dxa"/>
            <w:vAlign w:val="bottom"/>
          </w:tcPr>
          <w:p>
            <w:pPr>
              <w:jc w:val="center"/>
              <w:ind w:right="2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0.76 %</w:t>
            </w:r>
          </w:p>
        </w:tc>
      </w:tr>
      <w:tr>
        <w:trPr>
          <w:trHeight w:val="338"/>
        </w:trPr>
        <w:tc>
          <w:tcPr>
            <w:tcW w:w="1000" w:type="dxa"/>
            <w:vAlign w:val="bottom"/>
          </w:tcPr>
          <w:p>
            <w:pPr>
              <w:jc w:val="right"/>
              <w:spacing w:after="0"/>
              <w:rPr>
                <w:sz w:val="20"/>
                <w:szCs w:val="20"/>
                <w:color w:val="auto"/>
              </w:rPr>
            </w:pPr>
            <w:r>
              <w:rPr>
                <w:rFonts w:ascii="Arial" w:cs="Arial" w:eastAsia="Arial" w:hAnsi="Arial"/>
                <w:sz w:val="14"/>
                <w:szCs w:val="14"/>
                <w:color w:val="auto"/>
              </w:rPr>
              <w:t>3.16 %</w:t>
            </w:r>
          </w:p>
        </w:tc>
        <w:tc>
          <w:tcPr>
            <w:tcW w:w="480" w:type="dxa"/>
            <w:vAlign w:val="bottom"/>
          </w:tcPr>
          <w:p>
            <w:pPr>
              <w:jc w:val="center"/>
              <w:ind w:right="288"/>
              <w:spacing w:after="0"/>
              <w:rPr>
                <w:sz w:val="20"/>
                <w:szCs w:val="20"/>
                <w:color w:val="auto"/>
              </w:rPr>
            </w:pPr>
            <w:r>
              <w:rPr>
                <w:rFonts w:ascii="Arial" w:cs="Arial" w:eastAsia="Arial" w:hAnsi="Arial"/>
                <w:sz w:val="14"/>
                <w:szCs w:val="14"/>
                <w:color w:val="auto"/>
                <w:w w:val="84"/>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3.64 %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6.23 %</w:t>
            </w:r>
          </w:p>
        </w:tc>
        <w:tc>
          <w:tcPr>
            <w:tcW w:w="460" w:type="dxa"/>
            <w:vAlign w:val="bottom"/>
          </w:tcPr>
          <w:p>
            <w:pPr>
              <w:jc w:val="center"/>
              <w:ind w:right="2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11.79 %</w:t>
            </w:r>
          </w:p>
        </w:tc>
      </w:tr>
      <w:tr>
        <w:trPr>
          <w:trHeight w:val="338"/>
        </w:trPr>
        <w:tc>
          <w:tcPr>
            <w:tcW w:w="1480" w:type="dxa"/>
            <w:vAlign w:val="bottom"/>
            <w:gridSpan w:val="2"/>
          </w:tcPr>
          <w:p>
            <w:pPr>
              <w:ind w:left="780"/>
              <w:spacing w:after="0"/>
              <w:rPr>
                <w:sz w:val="20"/>
                <w:szCs w:val="20"/>
                <w:color w:val="auto"/>
              </w:rPr>
            </w:pPr>
            <w:r>
              <w:rPr>
                <w:rFonts w:ascii="Arial" w:cs="Arial" w:eastAsia="Arial" w:hAnsi="Arial"/>
                <w:sz w:val="14"/>
                <w:szCs w:val="14"/>
                <w:color w:val="auto"/>
              </w:rPr>
              <w:t>10 years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ind w:left="800"/>
              <w:spacing w:after="0"/>
              <w:rPr>
                <w:sz w:val="20"/>
                <w:szCs w:val="20"/>
                <w:color w:val="auto"/>
              </w:rPr>
            </w:pPr>
            <w:r>
              <w:rPr>
                <w:rFonts w:ascii="Arial" w:cs="Arial" w:eastAsia="Arial" w:hAnsi="Arial"/>
                <w:sz w:val="14"/>
                <w:szCs w:val="14"/>
                <w:color w:val="auto"/>
              </w:rPr>
              <w:t>10 years</w:t>
            </w:r>
          </w:p>
        </w:tc>
        <w:tc>
          <w:tcPr>
            <w:tcW w:w="680" w:type="dxa"/>
            <w:vAlign w:val="bottom"/>
          </w:tcPr>
          <w:p>
            <w:pPr>
              <w:spacing w:after="0"/>
              <w:rPr>
                <w:sz w:val="24"/>
                <w:szCs w:val="24"/>
                <w:color w:val="auto"/>
              </w:rPr>
            </w:pPr>
          </w:p>
        </w:tc>
      </w:tr>
    </w:tbl>
    <w:p>
      <w:pPr>
        <w:spacing w:after="0" w:line="213" w:lineRule="exact"/>
        <w:rPr>
          <w:sz w:val="20"/>
          <w:szCs w:val="20"/>
          <w:color w:val="auto"/>
        </w:rPr>
      </w:pPr>
    </w:p>
    <w:p>
      <w:pPr>
        <w:sectPr>
          <w:pgSz w:w="11900" w:h="16838" w:orient="portrait"/>
          <w:cols w:equalWidth="0" w:num="3">
            <w:col w:w="1540" w:space="600"/>
            <w:col w:w="4660" w:space="60"/>
            <w:col w:w="4380"/>
          </w:cols>
          <w:pgMar w:left="320" w:top="118" w:right="339"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No options were granted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INCOME TAXES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(benefit) provision included in the Consolidated Statements of Operations are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6"/>
        </w:trPr>
        <w:tc>
          <w:tcPr>
            <w:tcW w:w="62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8"/>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7"/>
        </w:trPr>
        <w:tc>
          <w:tcPr>
            <w:tcW w:w="6240" w:type="dxa"/>
            <w:vAlign w:val="bottom"/>
          </w:tcPr>
          <w:p>
            <w:pPr>
              <w:ind w:left="140"/>
              <w:spacing w:after="0"/>
              <w:rPr>
                <w:sz w:val="20"/>
                <w:szCs w:val="20"/>
                <w:color w:val="auto"/>
              </w:rPr>
            </w:pPr>
            <w:r>
              <w:rPr>
                <w:rFonts w:ascii="Arial" w:cs="Arial" w:eastAsia="Arial" w:hAnsi="Arial"/>
                <w:sz w:val="14"/>
                <w:szCs w:val="14"/>
                <w:color w:val="auto"/>
              </w:rPr>
              <w:t>Cayman Islands</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United States:</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7"/>
        </w:trPr>
        <w:tc>
          <w:tcPr>
            <w:tcW w:w="6240" w:type="dxa"/>
            <w:vAlign w:val="bottom"/>
          </w:tcPr>
          <w:p>
            <w:pPr>
              <w:ind w:left="240"/>
              <w:spacing w:after="0"/>
              <w:rPr>
                <w:sz w:val="20"/>
                <w:szCs w:val="20"/>
                <w:color w:val="auto"/>
              </w:rPr>
            </w:pPr>
            <w:r>
              <w:rPr>
                <w:rFonts w:ascii="Arial" w:cs="Arial" w:eastAsia="Arial" w:hAnsi="Arial"/>
                <w:sz w:val="14"/>
                <w:szCs w:val="14"/>
                <w:color w:val="auto"/>
              </w:rPr>
              <w:t>Federal</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522</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08"/>
        </w:trPr>
        <w:tc>
          <w:tcPr>
            <w:tcW w:w="6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 and local</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1,687</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Non-U.S.</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w:t>
            </w:r>
          </w:p>
        </w:tc>
      </w:tr>
      <w:tr>
        <w:trPr>
          <w:trHeight w:val="202"/>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2,652</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r>
      <w:tr>
        <w:trPr>
          <w:trHeight w:val="197"/>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Deferred:</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8"/>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Cayman Islands</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2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8"/>
        </w:trPr>
        <w:tc>
          <w:tcPr>
            <w:tcW w:w="6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Federal</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1,305</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197"/>
        </w:trPr>
        <w:tc>
          <w:tcPr>
            <w:tcW w:w="6240" w:type="dxa"/>
            <w:vAlign w:val="bottom"/>
          </w:tcPr>
          <w:p>
            <w:pPr>
              <w:ind w:left="240"/>
              <w:spacing w:after="0"/>
              <w:rPr>
                <w:sz w:val="20"/>
                <w:szCs w:val="20"/>
                <w:color w:val="auto"/>
              </w:rPr>
            </w:pPr>
            <w:r>
              <w:rPr>
                <w:rFonts w:ascii="Arial" w:cs="Arial" w:eastAsia="Arial" w:hAnsi="Arial"/>
                <w:sz w:val="14"/>
                <w:szCs w:val="14"/>
                <w:color w:val="auto"/>
              </w:rPr>
              <w:t>State and local</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242</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0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Non-U.S.</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(4,150)</w:t>
            </w:r>
          </w:p>
        </w:tc>
      </w:tr>
      <w:tr>
        <w:trPr>
          <w:trHeight w:val="196"/>
        </w:trPr>
        <w:tc>
          <w:tcPr>
            <w:tcW w:w="6240" w:type="dxa"/>
            <w:vAlign w:val="bottom"/>
          </w:tcPr>
          <w:p>
            <w:pPr>
              <w:ind w:left="20"/>
              <w:spacing w:after="0"/>
              <w:rPr>
                <w:sz w:val="20"/>
                <w:szCs w:val="20"/>
                <w:color w:val="auto"/>
              </w:rPr>
            </w:pPr>
            <w:r>
              <w:rPr>
                <w:rFonts w:ascii="Arial" w:cs="Arial" w:eastAsia="Arial" w:hAnsi="Arial"/>
                <w:sz w:val="14"/>
                <w:szCs w:val="14"/>
                <w:color w:val="auto"/>
              </w:rPr>
              <w:t>Total deferred (benefit) provision</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2,648</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(4,766)</w:t>
            </w: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Provision for (benefit from) income taxes:</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r>
      <w:tr>
        <w:trPr>
          <w:trHeight w:val="196"/>
        </w:trPr>
        <w:tc>
          <w:tcPr>
            <w:tcW w:w="62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5,300</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3,126</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(4,343)</w:t>
            </w:r>
          </w:p>
        </w:tc>
      </w:tr>
      <w:tr>
        <w:trPr>
          <w:trHeight w:val="20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8,227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w:t>
            </w:r>
          </w:p>
        </w:tc>
      </w:tr>
      <w:tr>
        <w:trPr>
          <w:trHeight w:val="202"/>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13,527</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(1,057)</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(5,905)</w:t>
            </w:r>
          </w:p>
        </w:tc>
      </w:tr>
      <w:tr>
        <w:trPr>
          <w:trHeight w:val="20"/>
        </w:trPr>
        <w:tc>
          <w:tcPr>
            <w:tcW w:w="6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is an exempted entity domiciled in the Cayman Islands where income taxes are not imposed. The Company is considered a Passive Foreign Investment Company for U.S. income tax purposes and certain income taxes are imposed on our owners. Taxable income or loss generated by our corporate subsidiaries is subject to U.S. federal, state and foreign corporate income tax in locations where they conduct business.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difference between our reported total provision for income taxes and the Cayman Islands statutory rate of 0% is as follows: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2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20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subject to tax in the United States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r>
      <w:tr>
        <w:trPr>
          <w:trHeight w:val="196"/>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Foreign taxes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13.5 %</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3.2 %</w:t>
            </w: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10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w:t>
            </w:r>
          </w:p>
        </w:tc>
        <w:tc>
          <w:tcPr>
            <w:tcW w:w="12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6.5 %</w:t>
            </w:r>
          </w:p>
        </w:tc>
      </w:tr>
      <w:tr>
        <w:trPr>
          <w:trHeight w:val="202"/>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21"/>
        </w:trPr>
        <w:tc>
          <w:tcPr>
            <w:tcW w:w="6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our deferred tax assets and liabilities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8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7"/>
        </w:trPr>
        <w:tc>
          <w:tcPr>
            <w:tcW w:w="7840" w:type="dxa"/>
            <w:vAlign w:val="bottom"/>
          </w:tcPr>
          <w:p>
            <w:pPr>
              <w:ind w:left="140"/>
              <w:spacing w:after="0"/>
              <w:rPr>
                <w:sz w:val="20"/>
                <w:szCs w:val="20"/>
                <w:color w:val="auto"/>
              </w:rPr>
            </w:pPr>
            <w:r>
              <w:rPr>
                <w:rFonts w:ascii="Arial" w:cs="Arial" w:eastAsia="Arial" w:hAnsi="Arial"/>
                <w:sz w:val="14"/>
                <w:szCs w:val="14"/>
                <w:color w:val="auto"/>
              </w:rPr>
              <w:t>Net operating loss carryforwards</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43,116</w:t>
            </w:r>
          </w:p>
        </w:tc>
        <w:tc>
          <w:tcPr>
            <w:tcW w:w="12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27,154</w:t>
            </w:r>
          </w:p>
        </w:tc>
      </w:tr>
      <w:tr>
        <w:trPr>
          <w:trHeight w:val="208"/>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r>
      <w:tr>
        <w:trPr>
          <w:trHeight w:val="197"/>
        </w:trPr>
        <w:tc>
          <w:tcPr>
            <w:tcW w:w="7840" w:type="dxa"/>
            <w:vAlign w:val="bottom"/>
          </w:tcPr>
          <w:p>
            <w:pPr>
              <w:ind w:left="140"/>
              <w:spacing w:after="0"/>
              <w:rPr>
                <w:sz w:val="20"/>
                <w:szCs w:val="20"/>
                <w:color w:val="auto"/>
              </w:rPr>
            </w:pPr>
            <w:r>
              <w:rPr>
                <w:rFonts w:ascii="Arial" w:cs="Arial" w:eastAsia="Arial" w:hAnsi="Arial"/>
                <w:sz w:val="14"/>
                <w:szCs w:val="14"/>
                <w:color w:val="auto"/>
              </w:rPr>
              <w:t>Investment in Partnerships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963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1,519</w:t>
            </w:r>
          </w:p>
        </w:tc>
      </w:tr>
      <w:tr>
        <w:trPr>
          <w:trHeight w:val="203"/>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272</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Total deferred tax assets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47,105</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30,523</w:t>
            </w:r>
          </w:p>
        </w:tc>
      </w:tr>
      <w:tr>
        <w:trPr>
          <w:trHeight w:val="203"/>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valuation allowance</w:t>
            </w:r>
          </w:p>
        </w:tc>
        <w:tc>
          <w:tcPr>
            <w:tcW w:w="10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(27,565)</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(9,142)</w:t>
            </w: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Net deferred tax assets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19,540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21,381</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7"/>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Fixed assets</w:t>
            </w: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(22,794)</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(20,072)</w:t>
            </w:r>
          </w:p>
        </w:tc>
      </w:tr>
      <w:tr>
        <w:trPr>
          <w:trHeight w:val="22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tax liabilities</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Deferred tax assets and liabilities are reported net in Other assets or Other liabilities in the Consolidated Balance Sheets.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We have analyzed our deferred tax assets and have determined, based on the weight of available evidence, that it is more likely than not that a significant portion will not be realized. Accordingly, valuation allowances have been recognized as of December 31, 2022, 2021 and 2020 of $27.6 million, $9.1 million and $6.8 million, respectively, related to certain deductible temporary differences and net operating loss carryforwards.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the valuation allowance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0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202"/>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beginning of period</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2,603</w:t>
            </w:r>
          </w:p>
        </w:tc>
      </w:tr>
      <w:tr>
        <w:trPr>
          <w:trHeight w:val="196"/>
        </w:trPr>
        <w:tc>
          <w:tcPr>
            <w:tcW w:w="6080" w:type="dxa"/>
            <w:vAlign w:val="bottom"/>
          </w:tcPr>
          <w:p>
            <w:pPr>
              <w:ind w:left="140"/>
              <w:spacing w:after="0"/>
              <w:rPr>
                <w:sz w:val="20"/>
                <w:szCs w:val="20"/>
                <w:color w:val="auto"/>
              </w:rPr>
            </w:pPr>
            <w:r>
              <w:rPr>
                <w:rFonts w:ascii="Arial" w:cs="Arial" w:eastAsia="Arial" w:hAnsi="Arial"/>
                <w:sz w:val="14"/>
                <w:szCs w:val="14"/>
                <w:color w:val="auto"/>
              </w:rPr>
              <w:t>Change due to current year losses</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22,094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2,356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4,191</w:t>
            </w:r>
          </w:p>
        </w:tc>
      </w:tr>
      <w:tr>
        <w:trPr>
          <w:trHeight w:val="203"/>
        </w:trPr>
        <w:tc>
          <w:tcPr>
            <w:tcW w:w="6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due to current year releases</w:t>
            </w:r>
          </w:p>
        </w:tc>
        <w:tc>
          <w:tcPr>
            <w:tcW w:w="10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6080" w:type="dxa"/>
            <w:vAlign w:val="bottom"/>
          </w:tcPr>
          <w:p>
            <w:pPr>
              <w:ind w:left="20"/>
              <w:spacing w:after="0"/>
              <w:rPr>
                <w:sz w:val="20"/>
                <w:szCs w:val="20"/>
                <w:color w:val="auto"/>
              </w:rPr>
            </w:pPr>
            <w:r>
              <w:rPr>
                <w:rFonts w:ascii="Arial" w:cs="Arial" w:eastAsia="Arial" w:hAnsi="Arial"/>
                <w:sz w:val="14"/>
                <w:szCs w:val="14"/>
                <w:color w:val="auto"/>
              </w:rPr>
              <w:t>Valuation allowance at end of period</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27,565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6,794</w:t>
            </w:r>
          </w:p>
        </w:tc>
      </w:tr>
      <w:tr>
        <w:trPr>
          <w:trHeight w:val="20"/>
        </w:trPr>
        <w:tc>
          <w:tcPr>
            <w:tcW w:w="6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of December 31, 2022, certain of our corporate subsidiaries had U.S. federal net operating loss carryforwards of approximately $39.3 million that are available to offset future taxable income. If not utilized, $0.6 million of these carryforwards will begin to expire in the year 2037, with $38.7 million of these carryforwards having no expiration date. As of December 31, 2022, we also had net operating loss carryforwards for Irish income tax purposes of $250.1 million, which can be carried forward indefinitely against future business income, $1.3 million of net operating loss carryforwards for Malaysian income tax purposes, which will begin to expire in the year 2027, and $5.4 million of net operating loss carryforward for Australian income tax purpose, which can be carried forward indefinitely against the future business income. The utilization of the net operating loss carryforwards to reduce future income taxes will depend on the relevant corporate subsidiary's ability to generate sufficient taxable income prior to the expiration of the carryforward period, if any. In addition, the maximum annual use of net operating loss carryforwards may be limited after certain changes in share ownership.</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and for the period ended December 31, 2022,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2019. We do not believe that it is reasonably possible that the total amount of unrecognized tax benefits will significantly change within 12 months of the reporting date.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MANAGEMENT AGREEMENT AND AFFILIATE TRANSACTIONS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connection with the spin-off of FTAI Infrastructure on August 1, 2022, we assigned our then-existing management and advisory agreement, dated as of May 20, 2015, with our Manager to FTAI Infrastructure. On July 31, 2022, we entered into a new management and advisory agreement (the “Management Agreement”), by and among FTAI, FTAI Finance Holdco Ltd. (a wholly owned subsidiary of the Company), and each of the subsidiaries that are party thereto and the Manager, with substantially similar terms and conditions as the existing management and advisory agreement.</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In May 2015, in connection with our IPO, we entered into the Management Agreement. Additionally, we have entered into certain incentive allocation arrangements with Master GP, which owns approximately 0.01% of FTAI Aviation Holdco Ltd.</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Manager is entitled to a management fee and reimbursement of certain expenses. The management fee is determined by taking the average value of total equity (excluding non-controlling interests) determined on a consolidated basis in accordance with U.S. GAAP at the end of the two most recently completed months multiplied by an annual rate of 1.50%, and is payable monthly in arrears in cash.</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Master GP is entitled to incentive allocations (comprised of income incentive allocation and capital gains incentive allocation, defined below). 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Master GP during the relevant quarter.</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One of our subsidiaries allocates and distributes to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Master GP.</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20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3,489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10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646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3,562</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5,446</w:t>
            </w:r>
          </w:p>
        </w:tc>
      </w:tr>
      <w:tr>
        <w:trPr>
          <w:trHeight w:val="20"/>
        </w:trPr>
        <w:tc>
          <w:tcPr>
            <w:tcW w:w="6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by us, costs to obtain liability insurance to indemnify our directors and officers and the compensation and expenses of our transfer agent.</w:t>
      </w:r>
    </w:p>
    <w:p>
      <w:pPr>
        <w:spacing w:after="0" w:line="28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188"/>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7"/>
        </w:trPr>
        <w:tc>
          <w:tcPr>
            <w:tcW w:w="6460" w:type="dxa"/>
            <w:vAlign w:val="bottom"/>
          </w:tcPr>
          <w:p>
            <w:pPr>
              <w:ind w:left="140"/>
              <w:spacing w:after="0"/>
              <w:rPr>
                <w:sz w:val="20"/>
                <w:szCs w:val="20"/>
                <w:color w:val="auto"/>
              </w:rPr>
            </w:pPr>
            <w:r>
              <w:rPr>
                <w:rFonts w:ascii="Arial" w:cs="Arial" w:eastAsia="Arial" w:hAnsi="Arial"/>
                <w:sz w:val="14"/>
                <w:szCs w:val="14"/>
                <w:color w:val="auto"/>
              </w:rPr>
              <w:t>General and administrative expenses</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6,891</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4,915</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5,499</w:t>
            </w:r>
          </w:p>
        </w:tc>
      </w:tr>
      <w:tr>
        <w:trPr>
          <w:trHeight w:val="203"/>
        </w:trPr>
        <w:tc>
          <w:tcPr>
            <w:tcW w:w="6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10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1,144</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w:t>
            </w:r>
          </w:p>
        </w:tc>
      </w:tr>
      <w:tr>
        <w:trPr>
          <w:trHeight w:val="202"/>
        </w:trPr>
        <w:tc>
          <w:tcPr>
            <w:tcW w:w="646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8,035</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7,068</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7,580</w:t>
            </w:r>
          </w:p>
        </w:tc>
      </w:tr>
      <w:tr>
        <w:trPr>
          <w:trHeight w:val="21"/>
        </w:trPr>
        <w:tc>
          <w:tcPr>
            <w:tcW w:w="6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Master GP if Master GP is removed due to the termination of the Management Agreement in certain specified circumstances. The Incentive Allocation Fair Value Amount is an amount equal to the Income Incentive Allocation and the Capital Gains Incentive Allocation that would be paid to Master GP if our assets were sold for cash at their then current fair market value (as determined by an appraisal, taking into account, among other things, the expected future value of the underlying investments).</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Upon the successful completion of an offering of our ordinary shares or other equity securities (including securities issued as consideration in an acquisition), we grant the Manager options to purchase ordinary shares in an amount equal to 10% of the number of ordinary shares being sold in the offering (or if the issuance relates to equity securities other than our ordinary shares, options to purchase a number of ordinary shares equal to 10% of the gross capital raised in the equity issuance divided by the fair market value of a ordinary share as of the date of issuance), with an exercise price equal to the offering price per share paid by the public or other ultimate purchaser or attributed to such securities in connection with an acquisition (or the fair market value of a ordinary share as of the date of the equity issuance if it relates to equity securities other than our ordinary shares). Any ultimate purchaser of ordinary shares for which such options are granted may be an affiliate of the Manager.</w:t>
      </w:r>
    </w:p>
    <w:p>
      <w:pPr>
        <w:spacing w:after="0" w:line="9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1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4,688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SEGMENT INFORMATION</w:t>
      </w:r>
    </w:p>
    <w:p>
      <w:pPr>
        <w:spacing w:after="0" w:line="2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As a result of the spin-off of FTAI Infrastructure effective on August 1, 2022, the Company reevaluated its operating segments. 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exclusivity arrangements, aftermarket components for aircraft engines. The information for the year ended December 31, 2022 discloses the reportable segments on this basis, and prior periods have been restated to reflect the change in accordance with the requirements of ASC 280</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Segment Reporting</w:t>
      </w:r>
      <w:r>
        <w:rPr>
          <w:rFonts w:ascii="Arial" w:cs="Arial" w:eastAsia="Arial" w:hAnsi="Arial"/>
          <w:sz w:val="16"/>
          <w:szCs w:val="16"/>
          <w:color w:val="auto"/>
        </w:rPr>
        <w:t>.</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Our Chief Executive Officer is our Chief Operating Decision Maker (“CODM”). Segment information is presented in the same manner that our CODM reviews the operating results in assessing performance and allocating resources. The CODM evaluates performance for each reportable segment primarily based on Adjusted EBITDA. Historically, the CODM’s assessment of segment performance included asset information. During the third quarter of 2022, the CODM determined that segment asset information is not a key factor in measuring performance or allocating resources. Therefore, segment asset information is not included in the tables below as it is not provided to or reviewed by our CODM.</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During the year, the Company changed its measure of segment profit to include the add back of dividends on preferred shares in Adjusted EBITDA. Prior period Adjusted EBITDA amounts and the reconciliation to net income (loss) attributable to shareholders from continuing operations have been recast to reflect this change in the measure of segment profit.</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EBITDA.</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believe that net income (loss) attributable to shareholders from continuing operations, as defined by U.S. GAAP, is the most appropriate earnings measurement with which to reconcile Adjusted EBITDA. Adjusted EBITDA should not be considered as an alternative to net income (loss) attributable to shareholders as determined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Year Ended December 31,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2022</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564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527,913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153,550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26,948</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708,411</w:t>
            </w: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159,490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88,895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248,385</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81,232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39,065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132,264</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14,164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14,164</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13,207</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3,562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3,562</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144,258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152,917</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137,219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137,219</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169,194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169,194</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524,122</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101,363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245,427</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870,912</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(369)</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58,649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18,562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77,211</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(19,859)</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207</w:t>
            </w:r>
          </w:p>
        </w:tc>
        <w:tc>
          <w:tcPr>
            <w:tcW w:w="0" w:type="dxa"/>
            <w:vAlign w:val="bottom"/>
          </w:tcPr>
          <w:p>
            <w:pPr>
              <w:spacing w:after="0"/>
              <w:rPr>
                <w:sz w:val="1"/>
                <w:szCs w:val="1"/>
                <w:color w:val="auto"/>
              </w:rPr>
            </w:pPr>
          </w:p>
        </w:tc>
      </w:tr>
      <w:tr>
        <w:trPr>
          <w:trHeight w:val="202"/>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59,635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(19,898)</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57,190</w:t>
            </w:r>
          </w:p>
        </w:tc>
        <w:tc>
          <w:tcPr>
            <w:tcW w:w="0" w:type="dxa"/>
            <w:vAlign w:val="bottom"/>
          </w:tcPr>
          <w:p>
            <w:pPr>
              <w:spacing w:after="0"/>
              <w:rPr>
                <w:sz w:val="1"/>
                <w:szCs w:val="1"/>
                <w:color w:val="auto"/>
              </w:rPr>
            </w:pPr>
          </w:p>
        </w:tc>
      </w:tr>
      <w:tr>
        <w:trPr>
          <w:trHeight w:val="190"/>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63,426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69,640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(238,377)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(105,311)</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5,300</w:t>
            </w:r>
          </w:p>
        </w:tc>
        <w:tc>
          <w:tcPr>
            <w:tcW w:w="0" w:type="dxa"/>
            <w:vAlign w:val="bottom"/>
          </w:tcPr>
          <w:p>
            <w:pPr>
              <w:spacing w:after="0"/>
              <w:rPr>
                <w:sz w:val="1"/>
                <w:szCs w:val="1"/>
                <w:color w:val="auto"/>
              </w:rPr>
            </w:pPr>
          </w:p>
        </w:tc>
      </w:tr>
      <w:tr>
        <w:trPr>
          <w:trHeight w:val="19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60,924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66,679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(238,214)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(110,611)</w:t>
            </w:r>
          </w:p>
        </w:tc>
        <w:tc>
          <w:tcPr>
            <w:tcW w:w="0" w:type="dxa"/>
            <w:vAlign w:val="bottom"/>
          </w:tcPr>
          <w:p>
            <w:pPr>
              <w:spacing w:after="0"/>
              <w:rPr>
                <w:sz w:val="1"/>
                <w:szCs w:val="1"/>
                <w:color w:val="auto"/>
              </w:rPr>
            </w:pPr>
          </w:p>
        </w:tc>
      </w:tr>
      <w:tr>
        <w:trPr>
          <w:trHeight w:val="139"/>
        </w:trPr>
        <w:tc>
          <w:tcPr>
            <w:tcW w:w="56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Less: Net loss from continuing operations attributable to non-controlling interests in</w:t>
            </w:r>
          </w:p>
        </w:tc>
        <w:tc>
          <w:tcPr>
            <w:tcW w:w="4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4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27,164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27,164</w:t>
            </w:r>
          </w:p>
        </w:tc>
        <w:tc>
          <w:tcPr>
            <w:tcW w:w="0" w:type="dxa"/>
            <w:vAlign w:val="bottom"/>
          </w:tcPr>
          <w:p>
            <w:pPr>
              <w:spacing w:after="0"/>
              <w:rPr>
                <w:sz w:val="1"/>
                <w:szCs w:val="1"/>
                <w:color w:val="auto"/>
              </w:rPr>
            </w:pPr>
          </w:p>
        </w:tc>
      </w:tr>
      <w:tr>
        <w:trPr>
          <w:trHeight w:val="227"/>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 from continuing operations</w:t>
            </w: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60,924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66,679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(265,378)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(137,775)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2022</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564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384,125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70,365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(26,393)</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428,097</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(369)</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 unconsolidated entities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 and dividends on preferred shares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(196,358)</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(190,031)</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(3,489)</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(137,219)</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 instruments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 of debt and capital lease obligations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(19,859)</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(13,207)</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(5,300)</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 from continuing operations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(137,775)</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2022</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56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620" w:type="dxa"/>
            <w:vAlign w:val="bottom"/>
          </w:tcPr>
          <w:p>
            <w:pPr>
              <w:ind w:left="20"/>
              <w:spacing w:after="0"/>
              <w:rPr>
                <w:sz w:val="20"/>
                <w:szCs w:val="20"/>
                <w:color w:val="auto"/>
              </w:rPr>
            </w:pPr>
            <w:r>
              <w:rPr>
                <w:rFonts w:ascii="Arial" w:cs="Arial" w:eastAsia="Arial" w:hAnsi="Arial"/>
                <w:sz w:val="14"/>
                <w:szCs w:val="14"/>
                <w:color w:val="auto"/>
              </w:rPr>
              <w:t>Africa</w:t>
            </w: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1,865</w:t>
            </w:r>
          </w:p>
        </w:tc>
        <w:tc>
          <w:tcPr>
            <w:tcW w:w="0" w:type="dxa"/>
            <w:vAlign w:val="bottom"/>
          </w:tcPr>
          <w:p>
            <w:pPr>
              <w:spacing w:after="0"/>
              <w:rPr>
                <w:sz w:val="1"/>
                <w:szCs w:val="1"/>
                <w:color w:val="auto"/>
              </w:rPr>
            </w:pPr>
          </w:p>
        </w:tc>
      </w:tr>
      <w:tr>
        <w:trPr>
          <w:trHeight w:val="208"/>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84,953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124,632</w:t>
            </w:r>
          </w:p>
        </w:tc>
        <w:tc>
          <w:tcPr>
            <w:tcW w:w="0" w:type="dxa"/>
            <w:vAlign w:val="bottom"/>
          </w:tcPr>
          <w:p>
            <w:pPr>
              <w:spacing w:after="0"/>
              <w:rPr>
                <w:sz w:val="1"/>
                <w:szCs w:val="1"/>
                <w:color w:val="auto"/>
              </w:rPr>
            </w:pPr>
          </w:p>
        </w:tc>
      </w:tr>
      <w:tr>
        <w:trPr>
          <w:trHeight w:val="197"/>
        </w:trPr>
        <w:tc>
          <w:tcPr>
            <w:tcW w:w="5620" w:type="dxa"/>
            <w:vAlign w:val="bottom"/>
          </w:tcPr>
          <w:p>
            <w:pPr>
              <w:ind w:left="20"/>
              <w:spacing w:after="0"/>
              <w:rPr>
                <w:sz w:val="20"/>
                <w:szCs w:val="20"/>
                <w:color w:val="auto"/>
              </w:rPr>
            </w:pPr>
            <w:r>
              <w:rPr>
                <w:rFonts w:ascii="Arial" w:cs="Arial" w:eastAsia="Arial" w:hAnsi="Arial"/>
                <w:sz w:val="14"/>
                <w:szCs w:val="14"/>
                <w:color w:val="auto"/>
              </w:rPr>
              <w:t>Europe</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130,128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37,495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167,623</w:t>
            </w:r>
          </w:p>
        </w:tc>
        <w:tc>
          <w:tcPr>
            <w:tcW w:w="0" w:type="dxa"/>
            <w:vAlign w:val="bottom"/>
          </w:tcPr>
          <w:p>
            <w:pPr>
              <w:spacing w:after="0"/>
              <w:rPr>
                <w:sz w:val="1"/>
                <w:szCs w:val="1"/>
                <w:color w:val="auto"/>
              </w:rPr>
            </w:pPr>
          </w:p>
        </w:tc>
      </w:tr>
      <w:tr>
        <w:trPr>
          <w:trHeight w:val="208"/>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270,514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101,632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372,146</w:t>
            </w:r>
          </w:p>
        </w:tc>
        <w:tc>
          <w:tcPr>
            <w:tcW w:w="0" w:type="dxa"/>
            <w:vAlign w:val="bottom"/>
          </w:tcPr>
          <w:p>
            <w:pPr>
              <w:spacing w:after="0"/>
              <w:rPr>
                <w:sz w:val="1"/>
                <w:szCs w:val="1"/>
                <w:color w:val="auto"/>
              </w:rPr>
            </w:pPr>
          </w:p>
        </w:tc>
      </w:tr>
      <w:tr>
        <w:trPr>
          <w:trHeight w:val="197"/>
        </w:trPr>
        <w:tc>
          <w:tcPr>
            <w:tcW w:w="562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42,068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42,145</w:t>
            </w:r>
          </w:p>
        </w:tc>
        <w:tc>
          <w:tcPr>
            <w:tcW w:w="0" w:type="dxa"/>
            <w:vAlign w:val="bottom"/>
          </w:tcPr>
          <w:p>
            <w:pPr>
              <w:spacing w:after="0"/>
              <w:rPr>
                <w:sz w:val="1"/>
                <w:szCs w:val="1"/>
                <w:color w:val="auto"/>
              </w:rPr>
            </w:pPr>
          </w:p>
        </w:tc>
      </w:tr>
      <w:tr>
        <w:trPr>
          <w:trHeight w:val="227"/>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527,913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708,411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Year Ended December 31,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5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Products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4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2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335,583</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14,308</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59,615</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13,448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13,448</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17,911</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147,740</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10,463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10,463</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155,017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155,017</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2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183,880</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19,803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215,503</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419,186</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29,098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19,917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49,015</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02"/>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28,571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(3,217)</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43,868</w:t>
            </w:r>
          </w:p>
        </w:tc>
        <w:tc>
          <w:tcPr>
            <w:tcW w:w="0" w:type="dxa"/>
            <w:vAlign w:val="bottom"/>
          </w:tcPr>
          <w:p>
            <w:pPr>
              <w:spacing w:after="0"/>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142,812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(204,559)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(39,735)</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w:t>
            </w:r>
          </w:p>
        </w:tc>
        <w:tc>
          <w:tcPr>
            <w:tcW w:w="0" w:type="dxa"/>
            <w:vAlign w:val="bottom"/>
          </w:tcPr>
          <w:p>
            <w:pPr>
              <w:spacing w:after="0"/>
              <w:rPr>
                <w:sz w:val="1"/>
                <w:szCs w:val="1"/>
                <w:color w:val="auto"/>
              </w:rPr>
            </w:pPr>
          </w:p>
        </w:tc>
      </w:tr>
      <w:tr>
        <w:trPr>
          <w:trHeight w:val="19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140,739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(204,477)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(42,861)</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Net loss from continuing operations attributable to non-controlling interests in</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24,758</w:t>
            </w:r>
          </w:p>
        </w:tc>
        <w:tc>
          <w:tcPr>
            <w:tcW w:w="0" w:type="dxa"/>
            <w:vAlign w:val="bottom"/>
          </w:tcPr>
          <w:p>
            <w:pPr>
              <w:spacing w:after="0"/>
              <w:rPr>
                <w:sz w:val="1"/>
                <w:szCs w:val="1"/>
                <w:color w:val="auto"/>
              </w:rPr>
            </w:pPr>
          </w:p>
        </w:tc>
      </w:tr>
      <w:tr>
        <w:trPr>
          <w:trHeight w:val="222"/>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 from continuing operations</w:t>
            </w:r>
          </w:p>
        </w:tc>
        <w:tc>
          <w:tcPr>
            <w:tcW w:w="62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(67,619)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0"/>
        </w:trPr>
        <w:tc>
          <w:tcPr>
            <w:tcW w:w="5420" w:type="dxa"/>
            <w:vAlign w:val="bottom"/>
          </w:tcPr>
          <w:p>
            <w:pPr>
              <w:spacing w:after="0"/>
              <w:rPr>
                <w:sz w:val="24"/>
                <w:szCs w:val="24"/>
                <w:color w:val="auto"/>
              </w:rPr>
            </w:pPr>
          </w:p>
        </w:tc>
        <w:tc>
          <w:tcPr>
            <w:tcW w:w="620" w:type="dxa"/>
            <w:vAlign w:val="bottom"/>
            <w:gridSpan w:val="2"/>
          </w:tcPr>
          <w:p>
            <w:pPr>
              <w:jc w:val="right"/>
              <w:ind w:right="268"/>
              <w:spacing w:after="0"/>
              <w:rPr>
                <w:sz w:val="20"/>
                <w:szCs w:val="20"/>
                <w:color w:val="auto"/>
              </w:rPr>
            </w:pPr>
            <w:r>
              <w:rPr>
                <w:rFonts w:ascii="Arial" w:cs="Arial" w:eastAsia="Arial" w:hAnsi="Arial"/>
                <w:sz w:val="14"/>
                <w:szCs w:val="14"/>
                <w:color w:val="auto"/>
              </w:rPr>
              <w:t>84</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40"/>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p>
      <w:pPr>
        <w:jc w:val="right"/>
        <w:ind w:right="1720"/>
        <w:spacing w:after="0"/>
        <w:rPr>
          <w:sz w:val="20"/>
          <w:szCs w:val="20"/>
          <w:color w:val="auto"/>
        </w:rPr>
      </w:pPr>
      <w:r>
        <w:rPr>
          <w:rFonts w:ascii="Arial" w:cs="Arial" w:eastAsia="Arial" w:hAnsi="Arial"/>
          <w:sz w:val="14"/>
          <w:szCs w:val="14"/>
          <w:b w:val="1"/>
          <w:b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4"/>
                <w:szCs w:val="14"/>
                <w:color w:val="auto"/>
              </w:rPr>
            </w:pPr>
          </w:p>
        </w:tc>
        <w:tc>
          <w:tcPr>
            <w:tcW w:w="1180" w:type="dxa"/>
            <w:vAlign w:val="bottom"/>
          </w:tcPr>
          <w:p>
            <w:pPr>
              <w:jc w:val="center"/>
              <w:ind w:right="48"/>
              <w:spacing w:after="0"/>
              <w:rPr>
                <w:sz w:val="20"/>
                <w:szCs w:val="20"/>
                <w:color w:val="auto"/>
              </w:rPr>
            </w:pPr>
            <w:r>
              <w:rPr>
                <w:rFonts w:ascii="Arial" w:cs="Arial" w:eastAsia="Arial" w:hAnsi="Arial"/>
                <w:sz w:val="14"/>
                <w:szCs w:val="14"/>
                <w:b w:val="1"/>
                <w:bCs w:val="1"/>
                <w:color w:val="auto"/>
              </w:rPr>
              <w:t>Corporate and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6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9"/>
                <w:szCs w:val="9"/>
                <w:color w:val="auto"/>
              </w:rPr>
            </w:pPr>
          </w:p>
        </w:tc>
        <w:tc>
          <w:tcPr>
            <w:tcW w:w="11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321,913</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22,278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(21,363)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Non-controlling share of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Equity in losses of unconsolidated entities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Pro-rata share of Adjusted EBITDA from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Interest expense and dividends on preferred shares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Incentive allocations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Changes in fair value of non-hedge derivative instruments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Losses on the modification or extinguishment of debt and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Acquisition and transaction expenses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Equity-based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Provision for income taxes</w:t>
      </w:r>
    </w:p>
    <w:p>
      <w:pPr>
        <w:spacing w:after="0" w:line="55" w:lineRule="exact"/>
        <w:rPr>
          <w:sz w:val="20"/>
          <w:szCs w:val="20"/>
          <w:color w:val="auto"/>
        </w:rPr>
      </w:pPr>
    </w:p>
    <w:p>
      <w:pPr>
        <w:ind w:left="20"/>
        <w:spacing w:after="0"/>
        <w:tabs>
          <w:tab w:leader="none" w:pos="9920" w:val="left"/>
        </w:tabs>
        <w:rPr>
          <w:sz w:val="20"/>
          <w:szCs w:val="20"/>
          <w:color w:val="auto"/>
        </w:rPr>
      </w:pPr>
      <w:r>
        <w:rPr>
          <w:rFonts w:ascii="Arial" w:cs="Arial" w:eastAsia="Arial" w:hAnsi="Arial"/>
          <w:sz w:val="14"/>
          <w:szCs w:val="14"/>
          <w:b w:val="1"/>
          <w:bCs w:val="1"/>
          <w:color w:val="auto"/>
        </w:rPr>
        <w:t>Net loss attributable to shareholders from continuing operations</w:t>
      </w:r>
      <w:r>
        <w:rPr>
          <w:sz w:val="20"/>
          <w:szCs w:val="20"/>
          <w:color w:val="auto"/>
        </w:rPr>
        <w:tab/>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322,828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14605</wp:posOffset>
            </wp:positionV>
            <wp:extent cx="8401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(1,403)</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1,203</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(179,775)</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(175,718)</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(10,463)</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(3,254)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(17,911)</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14605</wp:posOffset>
            </wp:positionV>
            <wp:extent cx="8401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(67,619)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14605</wp:posOffset>
            </wp:positionV>
            <wp:extent cx="8401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40640</wp:posOffset>
            </wp:positionV>
            <wp:extent cx="8401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10020" w:space="400"/>
            <w:col w:w="800"/>
          </w:cols>
          <w:pgMar w:left="320" w:top="118" w:right="35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56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620" w:type="dxa"/>
            <w:vAlign w:val="bottom"/>
          </w:tcPr>
          <w:p>
            <w:pPr>
              <w:ind w:left="20"/>
              <w:spacing w:after="0"/>
              <w:rPr>
                <w:sz w:val="20"/>
                <w:szCs w:val="20"/>
                <w:color w:val="auto"/>
              </w:rPr>
            </w:pPr>
            <w:r>
              <w:rPr>
                <w:rFonts w:ascii="Arial" w:cs="Arial" w:eastAsia="Arial" w:hAnsi="Arial"/>
                <w:sz w:val="14"/>
                <w:szCs w:val="14"/>
                <w:color w:val="auto"/>
              </w:rPr>
              <w:t>Africa</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08"/>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128,474</w:t>
            </w:r>
          </w:p>
        </w:tc>
        <w:tc>
          <w:tcPr>
            <w:tcW w:w="0" w:type="dxa"/>
            <w:vAlign w:val="bottom"/>
          </w:tcPr>
          <w:p>
            <w:pPr>
              <w:spacing w:after="0"/>
              <w:rPr>
                <w:sz w:val="1"/>
                <w:szCs w:val="1"/>
                <w:color w:val="auto"/>
              </w:rPr>
            </w:pPr>
          </w:p>
        </w:tc>
      </w:tr>
      <w:tr>
        <w:trPr>
          <w:trHeight w:val="197"/>
        </w:trPr>
        <w:tc>
          <w:tcPr>
            <w:tcW w:w="5620" w:type="dxa"/>
            <w:vAlign w:val="bottom"/>
          </w:tcPr>
          <w:p>
            <w:pPr>
              <w:ind w:left="20"/>
              <w:spacing w:after="0"/>
              <w:rPr>
                <w:sz w:val="20"/>
                <w:szCs w:val="20"/>
                <w:color w:val="auto"/>
              </w:rPr>
            </w:pPr>
            <w:r>
              <w:rPr>
                <w:rFonts w:ascii="Arial" w:cs="Arial" w:eastAsia="Arial" w:hAnsi="Arial"/>
                <w:sz w:val="14"/>
                <w:szCs w:val="14"/>
                <w:color w:val="auto"/>
              </w:rPr>
              <w:t>Europe</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131,205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133,538</w:t>
            </w:r>
          </w:p>
        </w:tc>
        <w:tc>
          <w:tcPr>
            <w:tcW w:w="0" w:type="dxa"/>
            <w:vAlign w:val="bottom"/>
          </w:tcPr>
          <w:p>
            <w:pPr>
              <w:spacing w:after="0"/>
              <w:rPr>
                <w:sz w:val="1"/>
                <w:szCs w:val="1"/>
                <w:color w:val="auto"/>
              </w:rPr>
            </w:pPr>
          </w:p>
        </w:tc>
      </w:tr>
      <w:tr>
        <w:trPr>
          <w:trHeight w:val="208"/>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62,196</w:t>
            </w:r>
          </w:p>
        </w:tc>
        <w:tc>
          <w:tcPr>
            <w:tcW w:w="0" w:type="dxa"/>
            <w:vAlign w:val="bottom"/>
          </w:tcPr>
          <w:p>
            <w:pPr>
              <w:spacing w:after="0"/>
              <w:rPr>
                <w:sz w:val="1"/>
                <w:szCs w:val="1"/>
                <w:color w:val="auto"/>
              </w:rPr>
            </w:pPr>
          </w:p>
        </w:tc>
      </w:tr>
      <w:tr>
        <w:trPr>
          <w:trHeight w:val="197"/>
        </w:trPr>
        <w:tc>
          <w:tcPr>
            <w:tcW w:w="562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11,140</w:t>
            </w:r>
          </w:p>
        </w:tc>
        <w:tc>
          <w:tcPr>
            <w:tcW w:w="0" w:type="dxa"/>
            <w:vAlign w:val="bottom"/>
          </w:tcPr>
          <w:p>
            <w:pPr>
              <w:spacing w:after="0"/>
              <w:rPr>
                <w:sz w:val="1"/>
                <w:szCs w:val="1"/>
                <w:color w:val="auto"/>
              </w:rPr>
            </w:pPr>
          </w:p>
        </w:tc>
      </w:tr>
      <w:tr>
        <w:trPr>
          <w:trHeight w:val="227"/>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298,121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335,583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Year Ended December 31,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Year Ended December 31, 2020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564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6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281,211</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297,934</w:t>
            </w: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20,667</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19,454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40,121</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14,106</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6,687</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9,868</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133,904</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7,382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141,286</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33,978</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87,442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87,442</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195,236</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137,011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332,247</w:t>
            </w:r>
          </w:p>
        </w:tc>
        <w:tc>
          <w:tcPr>
            <w:tcW w:w="0" w:type="dxa"/>
            <w:vAlign w:val="bottom"/>
          </w:tcPr>
          <w:p>
            <w:pPr>
              <w:spacing w:after="0"/>
              <w:rPr>
                <w:sz w:val="1"/>
                <w:szCs w:val="1"/>
                <w:color w:val="auto"/>
              </w:rPr>
            </w:pPr>
          </w:p>
        </w:tc>
      </w:tr>
      <w:tr>
        <w:trPr>
          <w:trHeight w:val="256"/>
        </w:trPr>
        <w:tc>
          <w:tcPr>
            <w:tcW w:w="564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(1,932)</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sale of assets, net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(6,943)</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(2,138)</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(9,081)</w:t>
            </w: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83,837</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(127,231)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(43,394)</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(4,812)</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(4,343)</w:t>
            </w: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88,649</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(127,700)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(39,051)</w:t>
            </w:r>
          </w:p>
        </w:tc>
        <w:tc>
          <w:tcPr>
            <w:tcW w:w="0" w:type="dxa"/>
            <w:vAlign w:val="bottom"/>
          </w:tcPr>
          <w:p>
            <w:pPr>
              <w:spacing w:after="0"/>
              <w:rPr>
                <w:sz w:val="1"/>
                <w:szCs w:val="1"/>
                <w:color w:val="auto"/>
              </w:rPr>
            </w:pPr>
          </w:p>
        </w:tc>
      </w:tr>
      <w:tr>
        <w:trPr>
          <w:trHeight w:val="147"/>
        </w:trPr>
        <w:tc>
          <w:tcPr>
            <w:tcW w:w="5640" w:type="dxa"/>
            <w:vAlign w:val="bottom"/>
          </w:tcPr>
          <w:p>
            <w:pPr>
              <w:ind w:left="20"/>
              <w:spacing w:after="0" w:line="147" w:lineRule="exact"/>
              <w:rPr>
                <w:sz w:val="20"/>
                <w:szCs w:val="20"/>
                <w:color w:val="auto"/>
              </w:rPr>
            </w:pPr>
            <w:r>
              <w:rPr>
                <w:rFonts w:ascii="Arial" w:cs="Arial" w:eastAsia="Arial" w:hAnsi="Arial"/>
                <w:sz w:val="14"/>
                <w:szCs w:val="14"/>
                <w:color w:val="auto"/>
              </w:rPr>
              <w:t>Less: Net loss from continuing operations attributable to non-controlling interests in</w:t>
            </w:r>
          </w:p>
        </w:tc>
        <w:tc>
          <w:tcPr>
            <w:tcW w:w="40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2"/>
                <w:szCs w:val="12"/>
                <w:color w:val="auto"/>
              </w:rPr>
            </w:pPr>
          </w:p>
        </w:tc>
        <w:tc>
          <w:tcPr>
            <w:tcW w:w="36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64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4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 from continuing operations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88,649</w:t>
            </w:r>
          </w:p>
        </w:tc>
        <w:tc>
          <w:tcPr>
            <w:tcW w:w="12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(145,569)</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(56,920)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rPr>
              <w:t>Year Ended December 31, 2020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106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564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6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288,752</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266,469</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4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 unconsolidated entities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 and dividends on preferred shares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(105,311)</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(171,632)</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(33,978)</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 instruments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 of debt and capital lease obligations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(6,943)</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(9,868)</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4,343</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 from continuing operations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(56,920)</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Year Ended December 31, 2020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Aviation Leasing</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56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620" w:type="dxa"/>
            <w:vAlign w:val="bottom"/>
          </w:tcPr>
          <w:p>
            <w:pPr>
              <w:ind w:left="20"/>
              <w:spacing w:after="0"/>
              <w:rPr>
                <w:sz w:val="20"/>
                <w:szCs w:val="20"/>
                <w:color w:val="auto"/>
              </w:rPr>
            </w:pPr>
            <w:r>
              <w:rPr>
                <w:rFonts w:ascii="Arial" w:cs="Arial" w:eastAsia="Arial" w:hAnsi="Arial"/>
                <w:sz w:val="14"/>
                <w:szCs w:val="14"/>
                <w:color w:val="auto"/>
              </w:rPr>
              <w:t>Africa</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10,259</w:t>
            </w:r>
          </w:p>
        </w:tc>
        <w:tc>
          <w:tcPr>
            <w:tcW w:w="12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10,259</w:t>
            </w:r>
          </w:p>
        </w:tc>
        <w:tc>
          <w:tcPr>
            <w:tcW w:w="0" w:type="dxa"/>
            <w:vAlign w:val="bottom"/>
          </w:tcPr>
          <w:p>
            <w:pPr>
              <w:spacing w:after="0"/>
              <w:rPr>
                <w:sz w:val="1"/>
                <w:szCs w:val="1"/>
                <w:color w:val="auto"/>
              </w:rPr>
            </w:pPr>
          </w:p>
        </w:tc>
      </w:tr>
      <w:tr>
        <w:trPr>
          <w:trHeight w:val="208"/>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110,057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126,694</w:t>
            </w:r>
          </w:p>
        </w:tc>
        <w:tc>
          <w:tcPr>
            <w:tcW w:w="0" w:type="dxa"/>
            <w:vAlign w:val="bottom"/>
          </w:tcPr>
          <w:p>
            <w:pPr>
              <w:spacing w:after="0"/>
              <w:rPr>
                <w:sz w:val="1"/>
                <w:szCs w:val="1"/>
                <w:color w:val="auto"/>
              </w:rPr>
            </w:pPr>
          </w:p>
        </w:tc>
      </w:tr>
      <w:tr>
        <w:trPr>
          <w:trHeight w:val="197"/>
        </w:trPr>
        <w:tc>
          <w:tcPr>
            <w:tcW w:w="5620" w:type="dxa"/>
            <w:vAlign w:val="bottom"/>
          </w:tcPr>
          <w:p>
            <w:pPr>
              <w:ind w:left="20"/>
              <w:spacing w:after="0"/>
              <w:rPr>
                <w:sz w:val="20"/>
                <w:szCs w:val="20"/>
                <w:color w:val="auto"/>
              </w:rPr>
            </w:pPr>
            <w:r>
              <w:rPr>
                <w:rFonts w:ascii="Arial" w:cs="Arial" w:eastAsia="Arial" w:hAnsi="Arial"/>
                <w:sz w:val="14"/>
                <w:szCs w:val="14"/>
                <w:color w:val="auto"/>
              </w:rPr>
              <w:t>Europe</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124,670</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124,670</w:t>
            </w:r>
          </w:p>
        </w:tc>
        <w:tc>
          <w:tcPr>
            <w:tcW w:w="0" w:type="dxa"/>
            <w:vAlign w:val="bottom"/>
          </w:tcPr>
          <w:p>
            <w:pPr>
              <w:spacing w:after="0"/>
              <w:rPr>
                <w:sz w:val="1"/>
                <w:szCs w:val="1"/>
                <w:color w:val="auto"/>
              </w:rPr>
            </w:pPr>
          </w:p>
        </w:tc>
      </w:tr>
      <w:tr>
        <w:trPr>
          <w:trHeight w:val="208"/>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33,047</w:t>
            </w:r>
          </w:p>
        </w:tc>
        <w:tc>
          <w:tcPr>
            <w:tcW w:w="0" w:type="dxa"/>
            <w:vAlign w:val="bottom"/>
          </w:tcPr>
          <w:p>
            <w:pPr>
              <w:spacing w:after="0"/>
              <w:rPr>
                <w:sz w:val="1"/>
                <w:szCs w:val="1"/>
                <w:color w:val="auto"/>
              </w:rPr>
            </w:pPr>
          </w:p>
        </w:tc>
      </w:tr>
      <w:tr>
        <w:trPr>
          <w:trHeight w:val="197"/>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3,264</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3,264</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281,211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297,934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Location of long-lived assets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sets forth summarized geographic location of property, plant and equipment and leasing equipment,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8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Total</w:t>
            </w: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and leasing equipment, net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Africa</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7,952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383,378</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543,609</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Europe</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821,840</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839,555</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424,617</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265,203</w:t>
            </w:r>
          </w:p>
        </w:tc>
      </w:tr>
      <w:tr>
        <w:trPr>
          <w:trHeight w:val="196"/>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285,780</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245,533</w:t>
            </w:r>
          </w:p>
        </w:tc>
      </w:tr>
      <w:tr>
        <w:trPr>
          <w:trHeight w:val="22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property, plant and equipment and leasing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1,923,567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1,893,900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EARNINGS PER SHARE AND EQUITY</w:t>
      </w:r>
    </w:p>
    <w:p>
      <w:pPr>
        <w:spacing w:after="0" w:line="19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Basic earnings per ordinary share (“EPS”) is calculated by dividing net loss attributable to shareholders by the weighted average number of ordinary shares outstanding, plus any participating securities. Diluted EPS is calculated by dividing net income attributable to shareholders by the weighted average number of ordinary shares outstanding, plus any participating securities and potentially dilutive securities. Potentially dilutive securities are calculated using the treasury stock method.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202"/>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continuing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(110,611)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(39,051)</w:t>
            </w:r>
          </w:p>
        </w:tc>
      </w:tr>
      <w:tr>
        <w:trPr>
          <w:trHeight w:val="197"/>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loss from discontinued operations, net of income taxes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(101,416)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(87,845)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(64,641)</w:t>
            </w:r>
          </w:p>
        </w:tc>
      </w:tr>
      <w:tr>
        <w:trPr>
          <w:trHeight w:val="202"/>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(212,027)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(130,706)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(103,692)</w:t>
            </w:r>
          </w:p>
        </w:tc>
      </w:tr>
      <w:tr>
        <w:trPr>
          <w:trHeight w:val="176"/>
        </w:trPr>
        <w:tc>
          <w:tcPr>
            <w:tcW w:w="624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2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(18,817)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(26,472)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(16,522)</w:t>
            </w: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27,164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24,758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17,869</w:t>
            </w:r>
          </w:p>
        </w:tc>
      </w:tr>
      <w:tr>
        <w:trPr>
          <w:trHeight w:val="202"/>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(220,374)</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(128,992)</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(105,039)</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Weighted Average Ordinary Shares Outstanding - Basic </w:t>
            </w:r>
            <w:r>
              <w:rPr>
                <w:rFonts w:ascii="Arial" w:cs="Arial" w:eastAsia="Arial" w:hAnsi="Arial"/>
                <w:sz w:val="9"/>
                <w:szCs w:val="9"/>
                <w:color w:val="auto"/>
              </w:rPr>
              <w:t>(1)</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99,421,008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89,922,088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86,015,702</w:t>
            </w:r>
          </w:p>
        </w:tc>
      </w:tr>
      <w:tr>
        <w:trPr>
          <w:trHeight w:val="197"/>
        </w:trPr>
        <w:tc>
          <w:tcPr>
            <w:tcW w:w="6240" w:type="dxa"/>
            <w:vAlign w:val="bottom"/>
          </w:tcPr>
          <w:p>
            <w:pPr>
              <w:ind w:left="20"/>
              <w:spacing w:after="0"/>
              <w:rPr>
                <w:sz w:val="20"/>
                <w:szCs w:val="20"/>
                <w:color w:val="auto"/>
              </w:rPr>
            </w:pPr>
            <w:r>
              <w:rPr>
                <w:rFonts w:ascii="Arial" w:cs="Arial" w:eastAsia="Arial" w:hAnsi="Arial"/>
                <w:sz w:val="14"/>
                <w:szCs w:val="14"/>
                <w:color w:val="auto"/>
              </w:rPr>
              <w:t xml:space="preserve">Weighted Average Ordinary Shares Outstanding - Diluted </w:t>
            </w:r>
            <w:r>
              <w:rPr>
                <w:rFonts w:ascii="Arial" w:cs="Arial" w:eastAsia="Arial" w:hAnsi="Arial"/>
                <w:sz w:val="9"/>
                <w:szCs w:val="9"/>
                <w:color w:val="auto"/>
              </w:rPr>
              <w:t>(1)</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99,421,008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89,922,088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86,015,702</w:t>
            </w:r>
          </w:p>
        </w:tc>
      </w:tr>
      <w:tr>
        <w:trPr>
          <w:trHeight w:val="263"/>
        </w:trPr>
        <w:tc>
          <w:tcPr>
            <w:tcW w:w="6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197"/>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Loss per share: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8"/>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7"/>
        </w:trPr>
        <w:tc>
          <w:tcPr>
            <w:tcW w:w="62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(0.66)</w:t>
            </w:r>
          </w:p>
        </w:tc>
      </w:tr>
      <w:tr>
        <w:trPr>
          <w:trHeight w:val="208"/>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w:t>
            </w:r>
          </w:p>
        </w:tc>
      </w:tr>
      <w:tr>
        <w:trPr>
          <w:trHeight w:val="256"/>
        </w:trPr>
        <w:tc>
          <w:tcPr>
            <w:tcW w:w="6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7"/>
        </w:trPr>
        <w:tc>
          <w:tcPr>
            <w:tcW w:w="62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(0.66)</w:t>
            </w:r>
          </w:p>
        </w:tc>
      </w:tr>
      <w:tr>
        <w:trPr>
          <w:trHeight w:val="208"/>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9"/>
          <w:szCs w:val="9"/>
          <w:color w:val="auto"/>
        </w:rPr>
      </w:pPr>
      <w:r>
        <w:rPr>
          <w:rFonts w:ascii="Arial" w:cs="Arial" w:eastAsia="Arial" w:hAnsi="Arial"/>
          <w:sz w:val="14"/>
          <w:szCs w:val="14"/>
          <w:color w:val="auto"/>
        </w:rPr>
        <w:t>Years ended December 31, 2022, 2021 and 2020 include participating securities which can be converted into a fixed amount of our shares.</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49" w:lineRule="exact"/>
        <w:rPr>
          <w:rFonts w:ascii="Arial" w:cs="Arial" w:eastAsia="Arial" w:hAnsi="Arial"/>
          <w:sz w:val="9"/>
          <w:szCs w:val="9"/>
          <w:color w:val="auto"/>
        </w:rPr>
      </w:pPr>
    </w:p>
    <w:p>
      <w:pPr>
        <w:ind w:left="5540"/>
        <w:spacing w:after="0"/>
        <w:rPr>
          <w:rFonts w:ascii="Arial" w:cs="Arial" w:eastAsia="Arial" w:hAnsi="Arial"/>
          <w:sz w:val="9"/>
          <w:szCs w:val="9"/>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00497F"/>
        </w:rPr>
        <w:t>FTAI AVIATION LTD.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calculation of Diluted EPS excludes 582,200, 898,299 and 24,652 shares for the years ended December 31, 2022, 2021 and 2020, respectively, because the impact would be anti-dilutive.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2022, 19,811 ordinary shares were issued to certain directors as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Ordinary Shares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September 2021, 12,000,000 ordinary shares, par value $0.01 per share, were issued at a price of $25.50 per share for net proceeds of $291.7 million after deducting underwriting discounts and offering expenses.</w:t>
      </w:r>
    </w:p>
    <w:p>
      <w:pPr>
        <w:spacing w:after="0" w:line="87"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In October 2021, the underwriters exercised an option to purchase an additional 1,283,863 ordinary shares, par value $0.01 per share, at a price of $25.50 per share.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See Note 11 for information related to options issued to the Manager in connection with such offering.</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Preferred Shares</w:t>
      </w:r>
    </w:p>
    <w:p>
      <w:pPr>
        <w:spacing w:after="0" w:line="133"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In March 2021, in a public offering, 4,200,000 shares of 8.25% Fixed-Rate Reset Series C Cumulative Perpetual Redeemable Preferred Shares (“Series C Preferred Shares”), par value $0.01 per share, were issued with a liquidation preference of $25.00 per share for net proceeds of approximately $101.2 million.</w:t>
      </w:r>
    </w:p>
    <w:p>
      <w:pPr>
        <w:spacing w:after="0" w:line="27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June 30, 2020, an At Market Issuance Sales Agreement was executed with a third party to sell shares of Fixed-to-Floating Rate Series A Cumulative Perpetual Redeemable Preferred Shares (“Series A Preferred Shares”) and Fixed-to-Floating Rate Series B Cumulative Perpetual Redeemable Preferred Shares (“Series B Preferred Shares”, collectively, the “ATM Shares”), having an aggregate offering price of up to $100 million, from time to time, through an “at-the market” equity offering program (the “ATM Program”). During the year ended December 31, 2020, 1,070,000 ATM Shares were sold at a weighted average price of $19.54 per share for net proceeds of $20.6 million. In connection with the shares sold under the ATM Program, the Manager was granted 129,988 ordinary shares, which had a grant date fair value of $0.7 million.</w:t>
      </w:r>
    </w:p>
    <w:p>
      <w:pPr>
        <w:spacing w:after="0" w:line="9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September 2019, in a public offering, 3,450,000 shares of 8.25% Series A Preferred Shares, par value $0.01 per share, were issued with a liquidation preference of $25.00 per share for net proceeds of approximately $82.9 million.</w:t>
      </w:r>
    </w:p>
    <w:p>
      <w:pPr>
        <w:spacing w:after="0" w:line="7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In November 2019, in a public offering, 4,600,000 shares of 8.00% Series B Preferred Shares, par value $0.01 per share, were issued with a liquidation preference of $25.00 per share for net proceeds of approximately $111.1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See Note 11 for information related to options issued to the Manager in connection with these offerings.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COMMITMENTS AND CONTINGENCIES</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SUBSEQUENT EVENTS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January 2023, we issued 12,165 ordinary shares to certain directors as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Dividends</w:t>
      </w:r>
    </w:p>
    <w:p>
      <w:pPr>
        <w:spacing w:after="0" w:line="13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On February 23, 2023, our Board of Directors declared a cash dividend on our ordinary shares and eligible participating securities of $0.30 per share for the quarter ended December 31, 2022, payable on March 22, 2023 to the holders of record on March 10, 2023.</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Additionally, on February 23, 2023, our Board of Directors declared cash dividends on the Series A Preferred Shares, Series B Preferred Shares and Series C Preferred Shares of $0.52, $0.50 and $0.52 per share, respectively, for the quarter ended December 31, 2022, payable on March 15, 2023 to the holders of record on March 7, 2023.</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Acquisition</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January 4, 2023, the Company completed the acquisition of its 50% interest (45% pro rata distribution of income until return of JV partner's initial investment) in iAero Thrust LLC (“iAero Thrust”), a hospital maintenance and testing facility dedicated to the CFM56 engine, for $19.5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00497F"/>
        </w:rPr>
        <w:t>Item 9. Changes in and Disagreements with Accountants on Accounting and Financial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9A.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upon that evaluation, the Company’s Chief Executive Officer and Chief Financial Officer have concluded that these disclosure controls and procedures were effective as of and for the period covered by this report.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Management's Annual Report on Internal Control over Financial Reporting</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pertain to the maintenance of records that, in reasonable detail, accurately and fairly reflect our transactions and our dispositions of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and use or disposition of our assets that could have a material effect on the financial statements.</w:t>
      </w:r>
    </w:p>
    <w:p>
      <w:pPr>
        <w:spacing w:after="0" w:line="10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2022. In making this assessment, management used the criteria set forth by the Committee of Sponsoring Organizations of the Treadway Commission in Internal Control - Integrated Framework (2013). Based on management’s assessment using this framework, management concluded that, as of December 31, 2022, our internal control over financial reporting was effective.</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effectiveness of the Company’s internal control over financial reporting as of December 31, 2022 has been audited by Ernst &amp; Young LLP, an independent registered public accounting firm, as stated in their report included herein.</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Changes in Internal Control over Financial Reporting</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 was no change in the Company’s internal control over financial reporting (as defined in Rule 13a-15(f) under the Exchange Act) during its most recent fiscal quarter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1" w:name="page92"/>
    <w:bookmarkEnd w:id="91"/>
    <w:p>
      <w:pPr>
        <w:ind w:right="3380" w:firstLine="3379"/>
        <w:spacing w:after="0" w:line="401"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FTAI Aviation Ltd. </w:t>
      </w:r>
      <w:r>
        <w:rPr>
          <w:rFonts w:ascii="Arial" w:cs="Arial" w:eastAsia="Arial" w:hAnsi="Arial"/>
          <w:sz w:val="16"/>
          <w:szCs w:val="16"/>
          <w:b w:val="1"/>
          <w:bCs w:val="1"/>
          <w:color w:val="auto"/>
        </w:rPr>
        <w:t>Opinion on Internal Control Over Financial Reporting</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have audited FTAI Aviation Ltd.’s internal control over financial reporting as of December 31, 2022, based on criteria established in Internal Control— Integrated Framework issued by the Committee of Sponsoring Organizations of the Treadway Commission (2013 framework) (the COSO criteria). In our opinion, FTAI Aviation Ltd. (the Company) maintained, in all material respects, effective internal control over financial reporting as of December 31, 2022, based on the COSO criteria.</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loss, changes in equity and cash flows for each of the three years in the period ended December 31, 2022, and the related notes and our report dated February 27, 2023 expressed an unqualified opinion thereon.</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8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00497F"/>
        </w:rPr>
        <w:t>Item 9B.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9C. Disclosure Regarding Foreign Jurisdictions that Prevent Inspections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2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00497F"/>
        </w:rPr>
        <w:t>PART III—OTHER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10. Directors, Executive Officers and Corporate Governance</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Any information required by this Item 10 is incorporated by reference to our definitive proxy statement for the 2023 annual meeting of shareholders to be filed with the SEC pursuant to Regulation 14A within 120 days after the fiscal year ended December 31, 2022 (our “Definitive Proxy Statement”) under the headings “Proposal No. 1 Election of Directors”, “Executive Officers” and “Delinquent Section 16(a) Reports.”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11. Executive Compensation</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by this Item 11 is incorporated by reference to our Definitive Proxy Statement under the headings “Executive and Manager Compensation” and “Compensation Committee Report.”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12. Security Ownership of Certain Beneficial Owners and Management and Related Stockholder Matters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information required by this Item 12 is incorporated by reference to our Definitive Proxy Statement under the heading “Security Ownership of Management and Certain Beneficial Owners.” See also “Nonqualified Stock Option and Incentive Award Plan” in Part II, Item 5, “Market for Registrant’s Common Equity, Related Stockholder Matters, and Issuer Purchases of Equity Securities” which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13. Certain Relationships and Related Transactions, and Director Independence</w:t>
      </w:r>
    </w:p>
    <w:p>
      <w:pPr>
        <w:spacing w:after="0" w:line="14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information required by this Item 13 is incorporated by reference to our Definitive Proxy Statement under the headings “Proposal No. 1 Election of Directors—Determination of Director Independence” and “Certain Relationships and Related Transactions.”</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00497F"/>
        </w:rPr>
        <w:t>Item 14.</w:t>
        <w:tab/>
        <w:t>Principal Accountant Fees and Services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by this Item 14 is incorporated by reference to our Definitive Proxy Statement under the heading “Proposal No. 2 Approval of Appointment of Ernst &amp; Young LLP as Independent Registered Public Accounting Firm—Principal Accountant Fees and Services.”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97F"/>
        </w:rPr>
        <w:t>PART IV</w:t>
      </w:r>
    </w:p>
    <w:p>
      <w:pPr>
        <w:spacing w:after="0" w:line="113"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00497F"/>
        </w:rPr>
        <w:t>Item 15.</w:t>
      </w:r>
      <w:r>
        <w:rPr>
          <w:sz w:val="20"/>
          <w:szCs w:val="20"/>
          <w:color w:val="auto"/>
        </w:rPr>
        <w:tab/>
      </w:r>
      <w:r>
        <w:rPr>
          <w:rFonts w:ascii="Arial" w:cs="Arial" w:eastAsia="Arial" w:hAnsi="Arial"/>
          <w:sz w:val="15"/>
          <w:szCs w:val="15"/>
          <w:b w:val="1"/>
          <w:bCs w:val="1"/>
          <w:color w:val="00497F"/>
        </w:rPr>
        <w:t>Exhibits</w:t>
      </w:r>
    </w:p>
    <w:p>
      <w:pPr>
        <w:spacing w:after="0" w:line="50"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71995" cy="222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71995" cy="222885"/>
                    </a:xfrm>
                    <a:prstGeom prst="rect">
                      <a:avLst/>
                    </a:prstGeom>
                    <a:noFill/>
                  </pic:spPr>
                </pic:pic>
              </a:graphicData>
            </a:graphic>
          </wp:anchor>
        </w:drawing>
      </w:r>
    </w:p>
    <w:p>
      <w:pPr>
        <w:spacing w:after="0" w:line="53" w:lineRule="exact"/>
        <w:rPr>
          <w:sz w:val="20"/>
          <w:szCs w:val="20"/>
          <w:color w:val="auto"/>
        </w:rPr>
      </w:pPr>
    </w:p>
    <w:p>
      <w:pPr>
        <w:ind w:left="1480" w:right="120" w:hanging="343"/>
        <w:spacing w:after="0" w:line="239" w:lineRule="auto"/>
        <w:tabs>
          <w:tab w:leader="none" w:pos="1460" w:val="left"/>
        </w:tabs>
        <w:rPr>
          <w:rFonts w:ascii="Arial" w:cs="Arial" w:eastAsia="Arial" w:hAnsi="Arial"/>
          <w:sz w:val="14"/>
          <w:szCs w:val="14"/>
          <w:color w:val="0000FF"/>
        </w:rPr>
      </w:pPr>
      <w:hyperlink r:id="rId124">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August 12, 2022, by and among, FTAI, the Company and FTAI Aviation Merger Sub LLC (incorporated by reference to Annex A to FTAI’s Registration Statement on Form S-4, filed on October 11, 2022).</w:t>
      </w:r>
    </w:p>
    <w:p>
      <w:pPr>
        <w:spacing w:after="0" w:line="17" w:lineRule="exact"/>
        <w:rPr>
          <w:sz w:val="20"/>
          <w:szCs w:val="20"/>
          <w:color w:val="auto"/>
        </w:rPr>
      </w:pPr>
    </w:p>
    <w:p>
      <w:pPr>
        <w:ind w:left="1480" w:right="300" w:hanging="343"/>
        <w:spacing w:after="0" w:line="239" w:lineRule="auto"/>
        <w:tabs>
          <w:tab w:leader="none" w:pos="1460" w:val="left"/>
        </w:tabs>
        <w:rPr>
          <w:rFonts w:ascii="Arial" w:cs="Arial" w:eastAsia="Arial" w:hAnsi="Arial"/>
          <w:sz w:val="14"/>
          <w:szCs w:val="14"/>
          <w:color w:val="0000FF"/>
        </w:rPr>
      </w:pPr>
      <w:hyperlink r:id="rId125">
        <w:r>
          <w:rPr>
            <w:rFonts w:ascii="Arial" w:cs="Arial" w:eastAsia="Arial" w:hAnsi="Arial"/>
            <w:sz w:val="14"/>
            <w:szCs w:val="14"/>
            <w:u w:val="single" w:color="auto"/>
            <w:color w:val="0000FF"/>
          </w:rPr>
          <w:t>2.2</w:t>
        </w:r>
      </w:hyperlink>
      <w:r>
        <w:rPr>
          <w:rFonts w:ascii="Arial" w:cs="Arial" w:eastAsia="Arial" w:hAnsi="Arial"/>
          <w:sz w:val="14"/>
          <w:szCs w:val="14"/>
          <w:color w:val="0000FF"/>
        </w:rPr>
        <w:tab/>
        <w:t>Separation and Distribution Agreement, dated as of August 1, 2022, between FTAI Infrastructure Inc. and the Company (incorporated by reference to Exhibit 2.1 of the Company’s Current Report on Form 8-K, filed on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80" w:right="260" w:hanging="343"/>
        <w:spacing w:after="0" w:line="239" w:lineRule="auto"/>
        <w:tabs>
          <w:tab w:leader="none" w:pos="1460" w:val="left"/>
        </w:tabs>
        <w:rPr>
          <w:rFonts w:ascii="Arial" w:cs="Arial" w:eastAsia="Arial" w:hAnsi="Arial"/>
          <w:sz w:val="14"/>
          <w:szCs w:val="14"/>
          <w:color w:val="0000FF"/>
        </w:rPr>
      </w:pPr>
      <w:hyperlink r:id="rId127">
        <w:r>
          <w:rPr>
            <w:rFonts w:ascii="Arial" w:cs="Arial" w:eastAsia="Arial" w:hAnsi="Arial"/>
            <w:sz w:val="14"/>
            <w:szCs w:val="14"/>
            <w:u w:val="single" w:color="auto"/>
            <w:color w:val="0000FF"/>
          </w:rPr>
          <w:t>3.1</w:t>
        </w:r>
      </w:hyperlink>
      <w:r>
        <w:rPr>
          <w:rFonts w:ascii="Arial" w:cs="Arial" w:eastAsia="Arial" w:hAnsi="Arial"/>
          <w:sz w:val="14"/>
          <w:szCs w:val="14"/>
          <w:color w:val="0000FF"/>
        </w:rPr>
        <w:tab/>
        <w:t>Amended and Restated Memorandum and Articles of Association of the Company (incorporated by reference to Exhibit 3.1 of the Company’s Current Report on Form 8-K, filed on November 14, 2022).</w:t>
      </w:r>
    </w:p>
    <w:p>
      <w:pPr>
        <w:spacing w:after="0" w:line="17" w:lineRule="exact"/>
        <w:rPr>
          <w:sz w:val="20"/>
          <w:szCs w:val="20"/>
          <w:color w:val="auto"/>
        </w:rPr>
      </w:pPr>
    </w:p>
    <w:p>
      <w:pPr>
        <w:ind w:left="1480" w:right="540" w:hanging="343"/>
        <w:spacing w:after="0" w:line="239" w:lineRule="auto"/>
        <w:tabs>
          <w:tab w:leader="none" w:pos="1460" w:val="left"/>
        </w:tabs>
        <w:rPr>
          <w:rFonts w:ascii="Arial" w:cs="Arial" w:eastAsia="Arial" w:hAnsi="Arial"/>
          <w:sz w:val="14"/>
          <w:szCs w:val="14"/>
          <w:color w:val="0000FF"/>
        </w:rPr>
      </w:pPr>
      <w:hyperlink r:id="rId128">
        <w:r>
          <w:rPr>
            <w:rFonts w:ascii="Arial" w:cs="Arial" w:eastAsia="Arial" w:hAnsi="Arial"/>
            <w:sz w:val="14"/>
            <w:szCs w:val="14"/>
            <w:u w:val="single" w:color="auto"/>
            <w:color w:val="0000FF"/>
          </w:rPr>
          <w:t>3.2</w:t>
        </w:r>
      </w:hyperlink>
      <w:r>
        <w:rPr>
          <w:rFonts w:ascii="Arial" w:cs="Arial" w:eastAsia="Arial" w:hAnsi="Arial"/>
          <w:sz w:val="14"/>
          <w:szCs w:val="14"/>
          <w:color w:val="0000FF"/>
        </w:rPr>
        <w:tab/>
        <w:t>Share Designation with respect to the 8.25% Fixed-to-Floating Series A Cumulative Perpetual Redeemable Preferred Shares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14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80" w:right="540" w:hanging="343"/>
        <w:spacing w:after="0" w:line="239" w:lineRule="auto"/>
        <w:tabs>
          <w:tab w:leader="none" w:pos="1460" w:val="left"/>
        </w:tabs>
        <w:rPr>
          <w:rFonts w:ascii="Arial" w:cs="Arial" w:eastAsia="Arial" w:hAnsi="Arial"/>
          <w:sz w:val="14"/>
          <w:szCs w:val="14"/>
          <w:color w:val="0000FF"/>
        </w:rPr>
      </w:pPr>
      <w:hyperlink r:id="rId128">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8.00% Fixed-to-Floating Series B Cumulative Perpetual Redeemable Preferred Shares (included as part of Exhibit 3.1 hereto).</w:t>
      </w:r>
    </w:p>
    <w:p>
      <w:pPr>
        <w:spacing w:after="0" w:line="17" w:lineRule="exact"/>
        <w:rPr>
          <w:sz w:val="20"/>
          <w:szCs w:val="20"/>
          <w:color w:val="auto"/>
        </w:rPr>
      </w:pPr>
    </w:p>
    <w:p>
      <w:pPr>
        <w:ind w:left="1480" w:right="500" w:hanging="343"/>
        <w:spacing w:after="0" w:line="239" w:lineRule="auto"/>
        <w:tabs>
          <w:tab w:leader="none" w:pos="1460" w:val="left"/>
        </w:tabs>
        <w:rPr>
          <w:rFonts w:ascii="Arial" w:cs="Arial" w:eastAsia="Arial" w:hAnsi="Arial"/>
          <w:sz w:val="14"/>
          <w:szCs w:val="14"/>
          <w:color w:val="0000FF"/>
        </w:rPr>
      </w:pPr>
      <w:hyperlink r:id="rId128">
        <w:r>
          <w:rPr>
            <w:rFonts w:ascii="Arial" w:cs="Arial" w:eastAsia="Arial" w:hAnsi="Arial"/>
            <w:sz w:val="14"/>
            <w:szCs w:val="14"/>
            <w:u w:val="single" w:color="auto"/>
            <w:color w:val="0000FF"/>
          </w:rPr>
          <w:t>3.4</w:t>
        </w:r>
      </w:hyperlink>
      <w:r>
        <w:rPr>
          <w:rFonts w:ascii="Arial" w:cs="Arial" w:eastAsia="Arial" w:hAnsi="Arial"/>
          <w:sz w:val="14"/>
          <w:szCs w:val="14"/>
          <w:color w:val="0000FF"/>
        </w:rPr>
        <w:tab/>
        <w:t>Share Designation with respect to the 8.25% Fixed-Rate Reset Series C Cumulative Perpetual Redeemable Preferred Shares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28">
        <w:r>
          <w:rPr>
            <w:rFonts w:ascii="Arial" w:cs="Arial" w:eastAsia="Arial" w:hAnsi="Arial"/>
            <w:sz w:val="14"/>
            <w:szCs w:val="14"/>
            <w:u w:val="single" w:color="auto"/>
            <w:color w:val="0000FF"/>
          </w:rPr>
          <w:t>3.5</w:t>
        </w:r>
      </w:hyperlink>
      <w:r>
        <w:rPr>
          <w:rFonts w:ascii="Arial" w:cs="Arial" w:eastAsia="Arial" w:hAnsi="Arial"/>
          <w:sz w:val="14"/>
          <w:szCs w:val="14"/>
          <w:color w:val="0000FF"/>
        </w:rPr>
        <w:tab/>
        <w:t>Form of Certificate representing the 8.25% Fixed-to-Floating Rate Series A Cumulative Perpetual Redeemable Preferred Shares of FTAI Aviation Ltd.</w:t>
      </w:r>
    </w:p>
    <w:p>
      <w:pPr>
        <w:ind w:left="1480"/>
        <w:spacing w:after="0"/>
        <w:rPr>
          <w:sz w:val="20"/>
          <w:szCs w:val="20"/>
          <w:color w:val="auto"/>
        </w:rPr>
      </w:pPr>
      <w:r>
        <w:rPr>
          <w:rFonts w:ascii="Arial" w:cs="Arial" w:eastAsia="Arial" w:hAnsi="Arial"/>
          <w:sz w:val="14"/>
          <w:szCs w:val="14"/>
          <w:color w:val="auto"/>
        </w:rPr>
        <w:t>(included as part of Exhibit 3.1 hereto).</w:t>
      </w:r>
    </w:p>
    <w:p>
      <w:pPr>
        <w:spacing w:after="0" w:line="16"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28">
        <w:r>
          <w:rPr>
            <w:rFonts w:ascii="Arial" w:cs="Arial" w:eastAsia="Arial" w:hAnsi="Arial"/>
            <w:sz w:val="14"/>
            <w:szCs w:val="14"/>
            <w:u w:val="single" w:color="auto"/>
            <w:color w:val="0000FF"/>
          </w:rPr>
          <w:t>3.6</w:t>
        </w:r>
      </w:hyperlink>
      <w:r>
        <w:rPr>
          <w:rFonts w:ascii="Arial" w:cs="Arial" w:eastAsia="Arial" w:hAnsi="Arial"/>
          <w:sz w:val="14"/>
          <w:szCs w:val="14"/>
          <w:color w:val="0000FF"/>
        </w:rPr>
        <w:tab/>
        <w:t>Form of Certificate representing the 8.00% Fixed-to-Floating Rate Series B Cumulative Perpetual Redeemable Preferred Shares of FTAI Aviation Ltd.</w:t>
      </w:r>
    </w:p>
    <w:p>
      <w:pPr>
        <w:ind w:left="1480"/>
        <w:spacing w:after="0"/>
        <w:rPr>
          <w:sz w:val="20"/>
          <w:szCs w:val="20"/>
          <w:color w:val="auto"/>
        </w:rPr>
      </w:pPr>
      <w:r>
        <w:rPr>
          <w:rFonts w:ascii="Arial" w:cs="Arial" w:eastAsia="Arial" w:hAnsi="Arial"/>
          <w:sz w:val="14"/>
          <w:szCs w:val="14"/>
          <w:color w:val="auto"/>
        </w:rPr>
        <w:t>(included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28">
        <w:r>
          <w:rPr>
            <w:rFonts w:ascii="Arial" w:cs="Arial" w:eastAsia="Arial" w:hAnsi="Arial"/>
            <w:sz w:val="14"/>
            <w:szCs w:val="14"/>
            <w:u w:val="single" w:color="auto"/>
            <w:color w:val="0000FF"/>
          </w:rPr>
          <w:t>3.7</w:t>
        </w:r>
      </w:hyperlink>
      <w:r>
        <w:rPr>
          <w:rFonts w:ascii="Arial" w:cs="Arial" w:eastAsia="Arial" w:hAnsi="Arial"/>
          <w:sz w:val="14"/>
          <w:szCs w:val="14"/>
          <w:color w:val="0000FF"/>
        </w:rPr>
        <w:tab/>
        <w:t>Form of Certificate representing the 8.25% Fixed-Rate Reset Series C Cumulative Perpetual Redeemable Preferred Shares of FTAI Aviation Ltd.</w:t>
      </w:r>
    </w:p>
    <w:p>
      <w:pPr>
        <w:ind w:left="1480"/>
        <w:spacing w:after="0"/>
        <w:rPr>
          <w:sz w:val="20"/>
          <w:szCs w:val="20"/>
          <w:color w:val="auto"/>
        </w:rPr>
      </w:pPr>
      <w:r>
        <w:rPr>
          <w:rFonts w:ascii="Arial" w:cs="Arial" w:eastAsia="Arial" w:hAnsi="Arial"/>
          <w:sz w:val="14"/>
          <w:szCs w:val="14"/>
          <w:color w:val="auto"/>
        </w:rPr>
        <w:t>(included as part of Exhibit 3.1 hereto).</w:t>
      </w:r>
    </w:p>
    <w:p>
      <w:pPr>
        <w:spacing w:after="0" w:line="28" w:lineRule="exact"/>
        <w:rPr>
          <w:sz w:val="20"/>
          <w:szCs w:val="20"/>
          <w:color w:val="auto"/>
        </w:rPr>
      </w:pPr>
    </w:p>
    <w:p>
      <w:pPr>
        <w:ind w:left="1480" w:right="240" w:hanging="343"/>
        <w:spacing w:after="0" w:line="239" w:lineRule="auto"/>
        <w:tabs>
          <w:tab w:leader="none" w:pos="1460" w:val="left"/>
        </w:tabs>
        <w:rPr>
          <w:rFonts w:ascii="Arial" w:cs="Arial" w:eastAsia="Arial" w:hAnsi="Arial"/>
          <w:sz w:val="14"/>
          <w:szCs w:val="14"/>
          <w:color w:val="0000FF"/>
        </w:rPr>
      </w:pPr>
      <w:hyperlink r:id="rId132">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September 18, 2018, between the Company and U.S. Bank National Association, as trustee, relating to the Company’s 6.50% senior unsecured notes due 2025 (incorporated by reference to Exhibit 4.1 of the Company’s Current Report on Form 8-K, filed on September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32">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6.50% senior unsecured notes due 2025 (included in Exhibit 4.1).</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3" w:name="page94"/>
    <w:bookmarkEnd w:id="93"/>
    <w:p>
      <w:pPr>
        <w:ind w:left="234"/>
        <w:spacing w:after="0"/>
        <w:tabs>
          <w:tab w:leader="none" w:pos="5874"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6926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41" w:lineRule="exact"/>
        <w:rPr>
          <w:sz w:val="20"/>
          <w:szCs w:val="20"/>
          <w:color w:val="auto"/>
        </w:rPr>
      </w:pPr>
    </w:p>
    <w:p>
      <w:pPr>
        <w:ind w:left="1114"/>
        <w:spacing w:after="0"/>
        <w:tabs>
          <w:tab w:leader="none" w:pos="1434" w:val="left"/>
        </w:tabs>
        <w:rPr>
          <w:rFonts w:ascii="Arial" w:cs="Arial" w:eastAsia="Arial" w:hAnsi="Arial"/>
          <w:sz w:val="14"/>
          <w:szCs w:val="14"/>
          <w:color w:val="0000FF"/>
        </w:rPr>
      </w:pPr>
      <w:hyperlink r:id="rId136">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May 21, 2019, between the Company and U.S. Bank National Association, as trustee, relating to the Company’s</w:t>
      </w:r>
    </w:p>
    <w:p>
      <w:pPr>
        <w:ind w:left="1454"/>
        <w:spacing w:after="0" w:line="201" w:lineRule="auto"/>
        <w:rPr>
          <w:sz w:val="20"/>
          <w:szCs w:val="20"/>
          <w:color w:val="auto"/>
        </w:rPr>
      </w:pPr>
      <w:r>
        <w:rPr>
          <w:rFonts w:ascii="Arial" w:cs="Arial" w:eastAsia="Arial" w:hAnsi="Arial"/>
          <w:sz w:val="14"/>
          <w:szCs w:val="14"/>
          <w:color w:val="auto"/>
        </w:rPr>
        <w:t>6.50% senior unsecured notes due 2025 (incorporated by reference to Exhibit 4.1 of the Company’s Current Report on Form 8-K, filed on May 21,</w:t>
      </w:r>
    </w:p>
    <w:p>
      <w:pPr>
        <w:ind w:left="1454"/>
        <w:spacing w:after="0"/>
        <w:rPr>
          <w:sz w:val="20"/>
          <w:szCs w:val="20"/>
          <w:color w:val="auto"/>
        </w:rPr>
      </w:pP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071995"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071995" cy="308610"/>
                    </a:xfrm>
                    <a:prstGeom prst="rect">
                      <a:avLst/>
                    </a:prstGeom>
                    <a:noFill/>
                  </pic:spPr>
                </pic:pic>
              </a:graphicData>
            </a:graphic>
          </wp:anchor>
        </w:drawing>
      </w:r>
    </w:p>
    <w:p>
      <w:pPr>
        <w:spacing w:after="0" w:line="9" w:lineRule="exact"/>
        <w:rPr>
          <w:sz w:val="20"/>
          <w:szCs w:val="20"/>
          <w:color w:val="auto"/>
        </w:rPr>
      </w:pPr>
    </w:p>
    <w:p>
      <w:pPr>
        <w:ind w:left="1114"/>
        <w:spacing w:after="0"/>
        <w:tabs>
          <w:tab w:leader="none" w:pos="1434" w:val="left"/>
        </w:tabs>
        <w:rPr>
          <w:rFonts w:ascii="Arial" w:cs="Arial" w:eastAsia="Arial" w:hAnsi="Arial"/>
          <w:sz w:val="14"/>
          <w:szCs w:val="14"/>
          <w:color w:val="0000FF"/>
        </w:rPr>
      </w:pPr>
      <w:hyperlink r:id="rId138">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December 23, 2020, between the Company and U.S. Bank National Association, as trustee, relating to the</w:t>
      </w:r>
    </w:p>
    <w:p>
      <w:pPr>
        <w:ind w:left="1454" w:right="160"/>
        <w:spacing w:after="0" w:line="229" w:lineRule="auto"/>
        <w:rPr>
          <w:sz w:val="20"/>
          <w:szCs w:val="20"/>
          <w:color w:val="auto"/>
        </w:rPr>
      </w:pPr>
      <w:r>
        <w:rPr>
          <w:rFonts w:ascii="Arial" w:cs="Arial" w:eastAsia="Arial" w:hAnsi="Arial"/>
          <w:sz w:val="14"/>
          <w:szCs w:val="14"/>
          <w:color w:val="auto"/>
        </w:rPr>
        <w:t>Company’s 6.50% senior unsecured notes due 2025 (incorporated by reference to Exhibit 4.1 of the Company’s Current Report on Form 8-K, filed on December 23, 2020).</w:t>
      </w:r>
    </w:p>
    <w:p>
      <w:pPr>
        <w:spacing w:after="0" w:line="30" w:lineRule="exact"/>
        <w:rPr>
          <w:sz w:val="20"/>
          <w:szCs w:val="20"/>
          <w:color w:val="auto"/>
        </w:rPr>
      </w:pPr>
    </w:p>
    <w:p>
      <w:pPr>
        <w:ind w:left="1454" w:right="300" w:hanging="343"/>
        <w:spacing w:after="0" w:line="239" w:lineRule="auto"/>
        <w:tabs>
          <w:tab w:leader="none" w:pos="1434" w:val="left"/>
        </w:tabs>
        <w:rPr>
          <w:rFonts w:ascii="Arial" w:cs="Arial" w:eastAsia="Arial" w:hAnsi="Arial"/>
          <w:sz w:val="14"/>
          <w:szCs w:val="14"/>
          <w:color w:val="0000FF"/>
        </w:rPr>
      </w:pPr>
      <w:hyperlink r:id="rId139">
        <w:r>
          <w:rPr>
            <w:rFonts w:ascii="Arial" w:cs="Arial" w:eastAsia="Arial" w:hAnsi="Arial"/>
            <w:sz w:val="14"/>
            <w:szCs w:val="14"/>
            <w:u w:val="single" w:color="auto"/>
            <w:color w:val="0000FF"/>
          </w:rPr>
          <w:t>4.5</w:t>
        </w:r>
      </w:hyperlink>
      <w:r>
        <w:rPr>
          <w:rFonts w:ascii="Arial" w:cs="Arial" w:eastAsia="Arial" w:hAnsi="Arial"/>
          <w:sz w:val="14"/>
          <w:szCs w:val="14"/>
          <w:color w:val="0000FF"/>
        </w:rPr>
        <w:tab/>
        <w:t>2025 Notes Guarantee, dated November 10, 2022 (incorporated by reference to Exhibit 4.1 of the Company’s Current Report on Form 8-K, filed on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2146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54" w:right="540" w:hanging="343"/>
        <w:spacing w:after="0" w:line="239" w:lineRule="auto"/>
        <w:tabs>
          <w:tab w:leader="none" w:pos="1434" w:val="left"/>
        </w:tabs>
        <w:rPr>
          <w:rFonts w:ascii="Arial" w:cs="Arial" w:eastAsia="Arial" w:hAnsi="Arial"/>
          <w:sz w:val="14"/>
          <w:szCs w:val="14"/>
          <w:color w:val="0000FF"/>
        </w:rPr>
      </w:pPr>
      <w:hyperlink r:id="rId141">
        <w:r>
          <w:rPr>
            <w:rFonts w:ascii="Arial" w:cs="Arial" w:eastAsia="Arial" w:hAnsi="Arial"/>
            <w:sz w:val="14"/>
            <w:szCs w:val="14"/>
            <w:u w:val="single" w:color="auto"/>
            <w:color w:val="0000FF"/>
          </w:rPr>
          <w:t>4.6</w:t>
        </w:r>
      </w:hyperlink>
      <w:r>
        <w:rPr>
          <w:rFonts w:ascii="Arial" w:cs="Arial" w:eastAsia="Arial" w:hAnsi="Arial"/>
          <w:sz w:val="14"/>
          <w:szCs w:val="14"/>
          <w:color w:val="0000FF"/>
        </w:rPr>
        <w:tab/>
        <w:t>Indenture, dated April 12, 2021, between the Company and U.S. Bank National Association, as trustee, relating to the Company’s 5.50% senior unsecured notes due 2028 (incorporated by reference to Exhibit 4.1 to the Company’s Form 8-K, filed April 12, 2021).</w:t>
      </w:r>
    </w:p>
    <w:p>
      <w:pPr>
        <w:spacing w:after="0" w:line="17" w:lineRule="exact"/>
        <w:rPr>
          <w:sz w:val="20"/>
          <w:szCs w:val="20"/>
          <w:color w:val="auto"/>
        </w:rPr>
      </w:pPr>
    </w:p>
    <w:p>
      <w:pPr>
        <w:ind w:left="1114"/>
        <w:spacing w:after="0"/>
        <w:tabs>
          <w:tab w:leader="none" w:pos="1434" w:val="left"/>
        </w:tabs>
        <w:rPr>
          <w:rFonts w:ascii="Arial" w:cs="Arial" w:eastAsia="Arial" w:hAnsi="Arial"/>
          <w:sz w:val="14"/>
          <w:szCs w:val="14"/>
          <w:color w:val="0000FF"/>
        </w:rPr>
      </w:pPr>
      <w:hyperlink r:id="rId141">
        <w:r>
          <w:rPr>
            <w:rFonts w:ascii="Arial" w:cs="Arial" w:eastAsia="Arial" w:hAnsi="Arial"/>
            <w:sz w:val="14"/>
            <w:szCs w:val="14"/>
            <w:u w:val="single" w:color="auto"/>
            <w:color w:val="0000FF"/>
          </w:rPr>
          <w:t>4.7</w:t>
        </w:r>
      </w:hyperlink>
      <w:r>
        <w:rPr>
          <w:rFonts w:ascii="Arial" w:cs="Arial" w:eastAsia="Arial" w:hAnsi="Arial"/>
          <w:sz w:val="14"/>
          <w:szCs w:val="14"/>
          <w:color w:val="0000FF"/>
        </w:rPr>
        <w:tab/>
        <w:t>Form of global note representing the Company’s 5.50% senior unsecured notes due 2028 (included in Exhibit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071995" cy="308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071995" cy="308610"/>
                    </a:xfrm>
                    <a:prstGeom prst="rect">
                      <a:avLst/>
                    </a:prstGeom>
                    <a:noFill/>
                  </pic:spPr>
                </pic:pic>
              </a:graphicData>
            </a:graphic>
          </wp:anchor>
        </w:drawing>
      </w:r>
    </w:p>
    <w:p>
      <w:pPr>
        <w:spacing w:after="0" w:line="9" w:lineRule="exact"/>
        <w:rPr>
          <w:sz w:val="20"/>
          <w:szCs w:val="20"/>
          <w:color w:val="auto"/>
        </w:rPr>
      </w:pPr>
    </w:p>
    <w:p>
      <w:pPr>
        <w:ind w:left="1114"/>
        <w:spacing w:after="0"/>
        <w:tabs>
          <w:tab w:leader="none" w:pos="1434" w:val="left"/>
        </w:tabs>
        <w:rPr>
          <w:rFonts w:ascii="Arial" w:cs="Arial" w:eastAsia="Arial" w:hAnsi="Arial"/>
          <w:sz w:val="14"/>
          <w:szCs w:val="14"/>
          <w:color w:val="0000FF"/>
        </w:rPr>
      </w:pPr>
      <w:hyperlink r:id="rId143">
        <w:r>
          <w:rPr>
            <w:rFonts w:ascii="Arial" w:cs="Arial" w:eastAsia="Arial" w:hAnsi="Arial"/>
            <w:sz w:val="14"/>
            <w:szCs w:val="14"/>
            <w:u w:val="single" w:color="auto"/>
            <w:color w:val="0000FF"/>
          </w:rPr>
          <w:t>4.8</w:t>
        </w:r>
      </w:hyperlink>
      <w:r>
        <w:rPr>
          <w:rFonts w:ascii="Arial" w:cs="Arial" w:eastAsia="Arial" w:hAnsi="Arial"/>
          <w:sz w:val="14"/>
          <w:szCs w:val="14"/>
          <w:color w:val="0000FF"/>
        </w:rPr>
        <w:tab/>
        <w:t>First Supplemental Indenture, dated as of September 24, 2021, between the Company and U.S. Bank National Association, as trustee, relating to the</w:t>
      </w:r>
    </w:p>
    <w:p>
      <w:pPr>
        <w:ind w:left="1454" w:right="160"/>
        <w:spacing w:after="0" w:line="229" w:lineRule="auto"/>
        <w:rPr>
          <w:sz w:val="20"/>
          <w:szCs w:val="20"/>
          <w:color w:val="auto"/>
        </w:rPr>
      </w:pPr>
      <w:r>
        <w:rPr>
          <w:rFonts w:ascii="Arial" w:cs="Arial" w:eastAsia="Arial" w:hAnsi="Arial"/>
          <w:sz w:val="14"/>
          <w:szCs w:val="14"/>
          <w:color w:val="auto"/>
        </w:rPr>
        <w:t>Company’s 5.50% senior unsecured notes due 2028 (incorporated by reference to Exhibit 4.1 of the Company’s Current Report on Form 8-K, filed on September 24, 2021).</w:t>
      </w:r>
    </w:p>
    <w:p>
      <w:pPr>
        <w:spacing w:after="0" w:line="30" w:lineRule="exact"/>
        <w:rPr>
          <w:sz w:val="20"/>
          <w:szCs w:val="20"/>
          <w:color w:val="auto"/>
        </w:rPr>
      </w:pPr>
    </w:p>
    <w:p>
      <w:pPr>
        <w:ind w:left="1454" w:right="300" w:hanging="343"/>
        <w:spacing w:after="0" w:line="239" w:lineRule="auto"/>
        <w:tabs>
          <w:tab w:leader="none" w:pos="1434" w:val="left"/>
        </w:tabs>
        <w:rPr>
          <w:rFonts w:ascii="Arial" w:cs="Arial" w:eastAsia="Arial" w:hAnsi="Arial"/>
          <w:sz w:val="14"/>
          <w:szCs w:val="14"/>
          <w:color w:val="0000FF"/>
        </w:rPr>
      </w:pPr>
      <w:hyperlink r:id="rId144">
        <w:r>
          <w:rPr>
            <w:rFonts w:ascii="Arial" w:cs="Arial" w:eastAsia="Arial" w:hAnsi="Arial"/>
            <w:sz w:val="14"/>
            <w:szCs w:val="14"/>
            <w:u w:val="single" w:color="auto"/>
            <w:color w:val="0000FF"/>
          </w:rPr>
          <w:t>4.9</w:t>
        </w:r>
      </w:hyperlink>
      <w:r>
        <w:rPr>
          <w:rFonts w:ascii="Arial" w:cs="Arial" w:eastAsia="Arial" w:hAnsi="Arial"/>
          <w:sz w:val="14"/>
          <w:szCs w:val="14"/>
          <w:color w:val="0000FF"/>
        </w:rPr>
        <w:tab/>
        <w:t>2028 Notes Guarantee, dated November 10, 2022 (incorporated by reference to Exhibit 4.3 of the Company’s Current Report on Form 8-K, filed on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54" w:right="560" w:hanging="423"/>
        <w:spacing w:after="0" w:line="239" w:lineRule="auto"/>
        <w:tabs>
          <w:tab w:leader="none" w:pos="1434" w:val="left"/>
        </w:tabs>
        <w:rPr>
          <w:rFonts w:ascii="Arial" w:cs="Arial" w:eastAsia="Arial" w:hAnsi="Arial"/>
          <w:sz w:val="14"/>
          <w:szCs w:val="14"/>
          <w:color w:val="0000FF"/>
        </w:rPr>
      </w:pPr>
      <w:hyperlink r:id="rId146">
        <w:r>
          <w:rPr>
            <w:rFonts w:ascii="Arial" w:cs="Arial" w:eastAsia="Arial" w:hAnsi="Arial"/>
            <w:sz w:val="14"/>
            <w:szCs w:val="14"/>
            <w:u w:val="single" w:color="auto"/>
            <w:color w:val="0000FF"/>
          </w:rPr>
          <w:t>4.10</w:t>
        </w:r>
      </w:hyperlink>
      <w:r>
        <w:rPr>
          <w:rFonts w:ascii="Arial" w:cs="Arial" w:eastAsia="Arial" w:hAnsi="Arial"/>
          <w:sz w:val="14"/>
          <w:szCs w:val="14"/>
          <w:color w:val="0000FF"/>
        </w:rPr>
        <w:tab/>
        <w:t>Indenture, dated July 28, 2020, between the Company and U.S. Bank National Association, as trustee, relating to the Company’s 9.75% senior unsecured notes due 2027 (incorporated by reference to Exhibit 4.1 of the Company’s Current Report on Form 8-K, filed on July 28, 2020).</w:t>
      </w:r>
    </w:p>
    <w:p>
      <w:pPr>
        <w:spacing w:after="0" w:line="17"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r:id="rId146">
        <w:r>
          <w:rPr>
            <w:rFonts w:ascii="Arial" w:cs="Arial" w:eastAsia="Arial" w:hAnsi="Arial"/>
            <w:sz w:val="14"/>
            <w:szCs w:val="14"/>
            <w:u w:val="single" w:color="auto"/>
            <w:color w:val="0000FF"/>
          </w:rPr>
          <w:t>4.11</w:t>
        </w:r>
      </w:hyperlink>
      <w:r>
        <w:rPr>
          <w:rFonts w:ascii="Arial" w:cs="Arial" w:eastAsia="Arial" w:hAnsi="Arial"/>
          <w:sz w:val="14"/>
          <w:szCs w:val="14"/>
          <w:color w:val="0000FF"/>
        </w:rPr>
        <w:tab/>
        <w:t>Form of global note representing the Company’s 9.75% senior unsecured notes due 2027 (included in Exhibit 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071995" cy="2489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071995" cy="248920"/>
                    </a:xfrm>
                    <a:prstGeom prst="rect">
                      <a:avLst/>
                    </a:prstGeom>
                    <a:noFill/>
                  </pic:spPr>
                </pic:pic>
              </a:graphicData>
            </a:graphic>
          </wp:anchor>
        </w:drawing>
      </w:r>
    </w:p>
    <w:p>
      <w:pPr>
        <w:spacing w:after="0" w:line="22" w:lineRule="exact"/>
        <w:rPr>
          <w:sz w:val="20"/>
          <w:szCs w:val="20"/>
          <w:color w:val="auto"/>
        </w:rPr>
      </w:pPr>
    </w:p>
    <w:p>
      <w:pPr>
        <w:ind w:left="1454" w:right="300" w:hanging="423"/>
        <w:spacing w:after="0" w:line="258" w:lineRule="auto"/>
        <w:tabs>
          <w:tab w:leader="none" w:pos="1434" w:val="left"/>
        </w:tabs>
        <w:rPr>
          <w:rFonts w:ascii="Arial" w:cs="Arial" w:eastAsia="Arial" w:hAnsi="Arial"/>
          <w:sz w:val="14"/>
          <w:szCs w:val="14"/>
          <w:color w:val="0000FF"/>
        </w:rPr>
      </w:pPr>
      <w:hyperlink r:id="rId148">
        <w:r>
          <w:rPr>
            <w:rFonts w:ascii="Arial" w:cs="Arial" w:eastAsia="Arial" w:hAnsi="Arial"/>
            <w:sz w:val="14"/>
            <w:szCs w:val="14"/>
            <w:u w:val="single" w:color="auto"/>
            <w:color w:val="0000FF"/>
          </w:rPr>
          <w:t>4.12</w:t>
        </w:r>
      </w:hyperlink>
      <w:r>
        <w:rPr>
          <w:rFonts w:ascii="Arial" w:cs="Arial" w:eastAsia="Arial" w:hAnsi="Arial"/>
          <w:sz w:val="14"/>
          <w:szCs w:val="14"/>
          <w:color w:val="0000FF"/>
        </w:rPr>
        <w:tab/>
        <w:t>2027 Notes Guarantee, dated November 10, 2022 (incorporated by reference to Exhibit 4.2 of the Company’s Current Report on Form 8-K, filed on November 14, 2022).</w:t>
      </w:r>
    </w:p>
    <w:p>
      <w:pPr>
        <w:spacing w:after="0" w:line="45" w:lineRule="exact"/>
        <w:rPr>
          <w:sz w:val="20"/>
          <w:szCs w:val="20"/>
          <w:color w:val="auto"/>
        </w:rPr>
      </w:pPr>
    </w:p>
    <w:p>
      <w:pPr>
        <w:ind w:left="1454" w:right="480" w:hanging="423"/>
        <w:spacing w:after="0" w:line="239" w:lineRule="auto"/>
        <w:tabs>
          <w:tab w:leader="none" w:pos="1434" w:val="left"/>
        </w:tabs>
        <w:rPr>
          <w:rFonts w:ascii="Arial" w:cs="Arial" w:eastAsia="Arial" w:hAnsi="Arial"/>
          <w:sz w:val="14"/>
          <w:szCs w:val="14"/>
          <w:color w:val="0000FF"/>
        </w:rPr>
      </w:pPr>
      <w:hyperlink r:id="rId149">
        <w:r>
          <w:rPr>
            <w:rFonts w:ascii="Arial" w:cs="Arial" w:eastAsia="Arial" w:hAnsi="Arial"/>
            <w:sz w:val="14"/>
            <w:szCs w:val="14"/>
            <w:u w:val="single" w:color="auto"/>
            <w:color w:val="0000FF"/>
          </w:rPr>
          <w:t>4.13</w:t>
        </w:r>
      </w:hyperlink>
      <w:r>
        <w:rPr>
          <w:rFonts w:ascii="Arial" w:cs="Arial" w:eastAsia="Arial" w:hAnsi="Arial"/>
          <w:sz w:val="14"/>
          <w:szCs w:val="14"/>
          <w:color w:val="0000FF"/>
        </w:rPr>
        <w:tab/>
        <w:t>Revolver Guarantee, dated November 10, 2022 (incorporated by reference to Exhibit 4.4 of the Company’s Current Report on Form 8-K, filed on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ind w:left="1034"/>
        <w:spacing w:after="0"/>
        <w:tabs>
          <w:tab w:leader="none" w:pos="1434" w:val="left"/>
        </w:tabs>
        <w:rPr>
          <w:sz w:val="20"/>
          <w:szCs w:val="20"/>
          <w:color w:val="auto"/>
        </w:rPr>
      </w:pPr>
      <w:r>
        <w:rPr>
          <w:rFonts w:ascii="Arial" w:cs="Arial" w:eastAsia="Arial" w:hAnsi="Arial"/>
          <w:sz w:val="14"/>
          <w:szCs w:val="14"/>
          <w:u w:val="single" w:color="auto"/>
          <w:color w:val="0000FF"/>
        </w:rPr>
        <w:t>4.14</w:t>
      </w:r>
      <w:r>
        <w:rPr>
          <w:sz w:val="20"/>
          <w:szCs w:val="20"/>
          <w:color w:val="auto"/>
        </w:rPr>
        <w:tab/>
      </w:r>
      <w:r>
        <w:rPr>
          <w:rFonts w:ascii="Arial" w:cs="Arial" w:eastAsia="Arial" w:hAnsi="Arial"/>
          <w:sz w:val="14"/>
          <w:szCs w:val="14"/>
          <w:color w:val="auto"/>
        </w:rPr>
        <w:t>Description of Securities Registered under Section 12 of the Exchange Act.</w:t>
      </w:r>
    </w:p>
    <w:p>
      <w:pPr>
        <w:spacing w:after="0" w:line="42" w:lineRule="exact"/>
        <w:rPr>
          <w:sz w:val="20"/>
          <w:szCs w:val="20"/>
          <w:color w:val="auto"/>
        </w:rPr>
      </w:pPr>
    </w:p>
    <w:p>
      <w:pPr>
        <w:ind w:left="1454" w:right="20" w:hanging="1454"/>
        <w:spacing w:after="0" w:line="239" w:lineRule="auto"/>
        <w:tabs>
          <w:tab w:leader="none" w:pos="1030" w:val="left"/>
        </w:tabs>
        <w:numPr>
          <w:ilvl w:val="0"/>
          <w:numId w:val="34"/>
        </w:numPr>
        <w:rPr>
          <w:rFonts w:ascii="Arial" w:cs="Arial" w:eastAsia="Arial" w:hAnsi="Arial"/>
          <w:sz w:val="14"/>
          <w:szCs w:val="14"/>
          <w:color w:val="0000FF"/>
        </w:rPr>
      </w:pPr>
      <w:hyperlink r:id="rId151">
        <w:r>
          <w:rPr>
            <w:rFonts w:ascii="Arial" w:cs="Arial" w:eastAsia="Arial" w:hAnsi="Arial"/>
            <w:sz w:val="14"/>
            <w:szCs w:val="14"/>
            <w:u w:val="single" w:color="auto"/>
            <w:color w:val="0000FF"/>
          </w:rPr>
          <w:t>10.1</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July 31, 2022, between the Company, FTAI Aviation Ltd., the Subsidiaries that are party thereto and</w:t>
      </w:r>
      <w:r>
        <w:rPr>
          <w:rFonts w:ascii="Arial" w:cs="Arial" w:eastAsia="Arial" w:hAnsi="Arial"/>
          <w:sz w:val="14"/>
          <w:szCs w:val="14"/>
          <w:color w:val="0000FF"/>
        </w:rPr>
        <w:t xml:space="preserve"> </w:t>
      </w:r>
      <w:r>
        <w:rPr>
          <w:rFonts w:ascii="Arial" w:cs="Arial" w:eastAsia="Arial" w:hAnsi="Arial"/>
          <w:sz w:val="14"/>
          <w:szCs w:val="14"/>
          <w:color w:val="000000"/>
        </w:rPr>
        <w:t>FIG LLC (incorporated by reference to Exhibit 10.1 of the Company’s Current Report on Form 8-K, filed on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3511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071995" cy="351155"/>
                    </a:xfrm>
                    <a:prstGeom prst="rect">
                      <a:avLst/>
                    </a:prstGeom>
                    <a:noFill/>
                  </pic:spPr>
                </pic:pic>
              </a:graphicData>
            </a:graphic>
          </wp:anchor>
        </w:drawing>
      </w:r>
    </w:p>
    <w:p>
      <w:pPr>
        <w:jc w:val="both"/>
        <w:ind w:left="1454" w:right="260" w:hanging="423"/>
        <w:spacing w:after="0" w:line="259" w:lineRule="auto"/>
        <w:tabs>
          <w:tab w:leader="none" w:pos="1434" w:val="left"/>
        </w:tabs>
        <w:rPr>
          <w:rFonts w:ascii="Arial" w:cs="Arial" w:eastAsia="Arial" w:hAnsi="Arial"/>
          <w:sz w:val="14"/>
          <w:szCs w:val="14"/>
          <w:color w:val="0000FF"/>
        </w:rPr>
      </w:pPr>
      <w:hyperlink r:id="rId153">
        <w:r>
          <w:rPr>
            <w:rFonts w:ascii="Arial" w:cs="Arial" w:eastAsia="Arial" w:hAnsi="Arial"/>
            <w:sz w:val="14"/>
            <w:szCs w:val="14"/>
            <w:u w:val="single" w:color="auto"/>
            <w:color w:val="0000FF"/>
          </w:rPr>
          <w:t>10.2</w:t>
        </w:r>
      </w:hyperlink>
      <w:r>
        <w:rPr>
          <w:rFonts w:ascii="Arial" w:cs="Arial" w:eastAsia="Arial" w:hAnsi="Arial"/>
          <w:sz w:val="14"/>
          <w:szCs w:val="14"/>
          <w:color w:val="0000FF"/>
        </w:rPr>
        <w:tab/>
        <w:t>Services and Profit Sharing Agreement, dated November 10, 2022, by and among FTAI Aviation Holdco Ltd., the Company and Fortress Worldwide Transportation and Infrastructure Master GP LLC (incorporated by reference to Exhibit 10.1 of the Company’s Current Report on Form 8-K, filed on November 14, 2022).</w:t>
      </w:r>
    </w:p>
    <w:p>
      <w:pPr>
        <w:spacing w:after="0" w:line="32" w:lineRule="exact"/>
        <w:rPr>
          <w:sz w:val="20"/>
          <w:szCs w:val="20"/>
          <w:color w:val="auto"/>
        </w:rPr>
      </w:pPr>
    </w:p>
    <w:p>
      <w:pPr>
        <w:ind w:left="1454" w:right="120" w:hanging="1454"/>
        <w:spacing w:after="0" w:line="270" w:lineRule="auto"/>
        <w:tabs>
          <w:tab w:leader="none" w:pos="1030" w:val="left"/>
        </w:tabs>
        <w:numPr>
          <w:ilvl w:val="0"/>
          <w:numId w:val="35"/>
        </w:numPr>
        <w:rPr>
          <w:rFonts w:ascii="Arial" w:cs="Arial" w:eastAsia="Arial" w:hAnsi="Arial"/>
          <w:sz w:val="14"/>
          <w:szCs w:val="14"/>
          <w:color w:val="0000FF"/>
        </w:rPr>
      </w:pPr>
      <w:hyperlink r:id="rId154">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Amended</w:t>
      </w:r>
      <w:r>
        <w:rPr>
          <w:rFonts w:ascii="Arial" w:cs="Arial" w:eastAsia="Arial" w:hAnsi="Arial"/>
          <w:sz w:val="14"/>
          <w:szCs w:val="14"/>
          <w:color w:val="0000FF"/>
        </w:rPr>
        <w:t xml:space="preserve"> </w:t>
      </w:r>
      <w:r>
        <w:rPr>
          <w:rFonts w:ascii="Arial" w:cs="Arial" w:eastAsia="Arial" w:hAnsi="Arial"/>
          <w:sz w:val="14"/>
          <w:szCs w:val="14"/>
          <w:color w:val="000000"/>
        </w:rPr>
        <w:t>and Restated Registration Rights Agreement, dated November 10, 2022, by and among FTAI Aviation Ltd., the Company, Fortress</w:t>
      </w:r>
      <w:r>
        <w:rPr>
          <w:rFonts w:ascii="Arial" w:cs="Arial" w:eastAsia="Arial" w:hAnsi="Arial"/>
          <w:sz w:val="14"/>
          <w:szCs w:val="14"/>
          <w:color w:val="0000FF"/>
        </w:rPr>
        <w:t xml:space="preserve"> </w:t>
      </w:r>
      <w:r>
        <w:rPr>
          <w:rFonts w:ascii="Arial" w:cs="Arial" w:eastAsia="Arial" w:hAnsi="Arial"/>
          <w:sz w:val="14"/>
          <w:szCs w:val="14"/>
          <w:color w:val="000000"/>
        </w:rPr>
        <w:t>Worldwide Transportation and Infrastructure Master GP LLC and FIG LLC (incorporated by reference to Exhibit 10.2 of the Company’s Current Report on Form 8-K, filed on November 14, 2022).</w:t>
      </w:r>
    </w:p>
    <w:p>
      <w:pPr>
        <w:spacing w:after="0" w:line="10" w:lineRule="exact"/>
        <w:rPr>
          <w:rFonts w:ascii="Arial" w:cs="Arial" w:eastAsia="Arial" w:hAnsi="Arial"/>
          <w:sz w:val="14"/>
          <w:szCs w:val="14"/>
          <w:color w:val="0000FF"/>
        </w:rPr>
      </w:pPr>
    </w:p>
    <w:p>
      <w:pPr>
        <w:ind w:left="1034" w:hanging="1034"/>
        <w:spacing w:after="0"/>
        <w:tabs>
          <w:tab w:leader="none" w:pos="1034" w:val="left"/>
        </w:tabs>
        <w:numPr>
          <w:ilvl w:val="0"/>
          <w:numId w:val="35"/>
        </w:numPr>
        <w:rPr>
          <w:rFonts w:ascii="Arial" w:cs="Arial" w:eastAsia="Arial" w:hAnsi="Arial"/>
          <w:sz w:val="14"/>
          <w:szCs w:val="14"/>
          <w:color w:val="auto"/>
        </w:rPr>
      </w:pPr>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r>
        <w:rPr>
          <w:rFonts w:ascii="Arial" w:cs="Arial" w:eastAsia="Arial" w:hAnsi="Arial"/>
          <w:sz w:val="14"/>
          <w:szCs w:val="14"/>
          <w:color w:val="000000"/>
        </w:rPr>
        <w:t>FTAI Aviation Ltd. Nonqualified Stock Option and Incentive Award Plan, dated as of February 23, 2023.</w:t>
      </w:r>
    </w:p>
    <w:p>
      <w:pPr>
        <w:spacing w:after="0" w:line="41" w:lineRule="exact"/>
        <w:rPr>
          <w:rFonts w:ascii="Arial" w:cs="Arial" w:eastAsia="Arial" w:hAnsi="Arial"/>
          <w:sz w:val="14"/>
          <w:szCs w:val="14"/>
          <w:color w:val="auto"/>
        </w:rPr>
      </w:pPr>
    </w:p>
    <w:p>
      <w:pPr>
        <w:ind w:left="1454" w:right="300" w:hanging="1454"/>
        <w:spacing w:after="0" w:line="239" w:lineRule="auto"/>
        <w:tabs>
          <w:tab w:leader="none" w:pos="1030" w:val="left"/>
        </w:tabs>
        <w:numPr>
          <w:ilvl w:val="0"/>
          <w:numId w:val="35"/>
        </w:numPr>
        <w:rPr>
          <w:rFonts w:ascii="Arial" w:cs="Arial" w:eastAsia="Arial" w:hAnsi="Arial"/>
          <w:sz w:val="14"/>
          <w:szCs w:val="14"/>
          <w:color w:val="0000FF"/>
        </w:rPr>
      </w:pPr>
      <w:hyperlink r:id="rId155">
        <w:r>
          <w:rPr>
            <w:rFonts w:ascii="Arial" w:cs="Arial" w:eastAsia="Arial" w:hAnsi="Arial"/>
            <w:sz w:val="14"/>
            <w:szCs w:val="14"/>
            <w:u w:val="single" w:color="auto"/>
            <w:color w:val="0000FF"/>
          </w:rPr>
          <w:t>10.5</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FTAI Aviation Ltd. Director and Officer Indemnification Agreement (incorporated by reference to Exhibit 10.6 to the Company’s Registration</w:t>
      </w:r>
      <w:r>
        <w:rPr>
          <w:rFonts w:ascii="Arial" w:cs="Arial" w:eastAsia="Arial" w:hAnsi="Arial"/>
          <w:sz w:val="14"/>
          <w:szCs w:val="14"/>
          <w:color w:val="0000FF"/>
        </w:rPr>
        <w:t xml:space="preserve"> </w:t>
      </w:r>
      <w:r>
        <w:rPr>
          <w:rFonts w:ascii="Arial" w:cs="Arial" w:eastAsia="Arial" w:hAnsi="Arial"/>
          <w:sz w:val="14"/>
          <w:szCs w:val="14"/>
          <w:color w:val="000000"/>
        </w:rPr>
        <w:t>Statement on Form S-4, filed on October 4, 2022).</w:t>
      </w:r>
    </w:p>
    <w:p>
      <w:pPr>
        <w:spacing w:after="0" w:line="16" w:lineRule="exact"/>
        <w:rPr>
          <w:rFonts w:ascii="Arial" w:cs="Arial" w:eastAsia="Arial" w:hAnsi="Arial"/>
          <w:sz w:val="14"/>
          <w:szCs w:val="14"/>
          <w:color w:val="0000FF"/>
        </w:rPr>
      </w:pPr>
    </w:p>
    <w:p>
      <w:pPr>
        <w:ind w:left="1454" w:right="420" w:hanging="1454"/>
        <w:spacing w:after="0" w:line="239" w:lineRule="auto"/>
        <w:tabs>
          <w:tab w:leader="none" w:pos="1030" w:val="left"/>
        </w:tabs>
        <w:numPr>
          <w:ilvl w:val="0"/>
          <w:numId w:val="35"/>
        </w:numPr>
        <w:rPr>
          <w:rFonts w:ascii="Arial" w:cs="Arial" w:eastAsia="Arial" w:hAnsi="Arial"/>
          <w:sz w:val="14"/>
          <w:szCs w:val="14"/>
          <w:color w:val="0000FF"/>
        </w:rPr>
      </w:pPr>
      <w:hyperlink r:id="rId156">
        <w:r>
          <w:rPr>
            <w:rFonts w:ascii="Arial" w:cs="Arial" w:eastAsia="Arial" w:hAnsi="Arial"/>
            <w:sz w:val="14"/>
            <w:szCs w:val="14"/>
            <w:u w:val="single" w:color="auto"/>
            <w:color w:val="0000FF"/>
          </w:rPr>
          <w:t>10.6</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Director Award Agreement pursuant to the FTAI Aviation Ltd. Nonqualified Stock Option and Incentive Plan (incorporated by reference to</w:t>
      </w:r>
      <w:r>
        <w:rPr>
          <w:rFonts w:ascii="Arial" w:cs="Arial" w:eastAsia="Arial" w:hAnsi="Arial"/>
          <w:sz w:val="14"/>
          <w:szCs w:val="14"/>
          <w:color w:val="0000FF"/>
        </w:rPr>
        <w:t xml:space="preserve"> </w:t>
      </w:r>
      <w:r>
        <w:rPr>
          <w:rFonts w:ascii="Arial" w:cs="Arial" w:eastAsia="Arial" w:hAnsi="Arial"/>
          <w:sz w:val="14"/>
          <w:szCs w:val="14"/>
          <w:color w:val="000000"/>
        </w:rPr>
        <w:t>Exhibit 10.7 to the Company’s Registration Statement on Form S-4, filed on October 4, 2022).</w:t>
      </w:r>
    </w:p>
    <w:p>
      <w:pPr>
        <w:spacing w:after="0" w:line="16" w:lineRule="exact"/>
        <w:rPr>
          <w:rFonts w:ascii="Arial" w:cs="Arial" w:eastAsia="Arial" w:hAnsi="Arial"/>
          <w:sz w:val="14"/>
          <w:szCs w:val="14"/>
          <w:color w:val="0000FF"/>
        </w:rPr>
      </w:pPr>
    </w:p>
    <w:p>
      <w:pPr>
        <w:ind w:left="1454" w:right="80" w:hanging="1454"/>
        <w:spacing w:after="0" w:line="239" w:lineRule="auto"/>
        <w:tabs>
          <w:tab w:leader="none" w:pos="1030" w:val="left"/>
        </w:tabs>
        <w:numPr>
          <w:ilvl w:val="0"/>
          <w:numId w:val="35"/>
        </w:numPr>
        <w:rPr>
          <w:rFonts w:ascii="Arial" w:cs="Arial" w:eastAsia="Arial" w:hAnsi="Arial"/>
          <w:sz w:val="14"/>
          <w:szCs w:val="14"/>
          <w:color w:val="0000FF"/>
        </w:rPr>
      </w:pPr>
      <w:hyperlink r:id="rId157">
        <w:r>
          <w:rPr>
            <w:rFonts w:ascii="Arial" w:cs="Arial" w:eastAsia="Arial" w:hAnsi="Arial"/>
            <w:sz w:val="14"/>
            <w:szCs w:val="14"/>
            <w:u w:val="single" w:color="auto"/>
            <w:color w:val="0000FF"/>
          </w:rPr>
          <w:t>10.7</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FTAI Aviation Ltd. Nonqualified Stock Option and Incentive Award Plan (incorporated by reference to Exhibit 10.8</w:t>
      </w:r>
      <w:r>
        <w:rPr>
          <w:rFonts w:ascii="Arial" w:cs="Arial" w:eastAsia="Arial" w:hAnsi="Arial"/>
          <w:sz w:val="14"/>
          <w:szCs w:val="14"/>
          <w:color w:val="0000FF"/>
        </w:rPr>
        <w:t xml:space="preserve"> </w:t>
      </w:r>
      <w:r>
        <w:rPr>
          <w:rFonts w:ascii="Arial" w:cs="Arial" w:eastAsia="Arial" w:hAnsi="Arial"/>
          <w:sz w:val="14"/>
          <w:szCs w:val="14"/>
          <w:color w:val="000000"/>
        </w:rPr>
        <w:t>to the Company’s Registration Statement on Form S-4, filed on October 4, 2022).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-771525</wp:posOffset>
            </wp:positionV>
            <wp:extent cx="707199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-428625</wp:posOffset>
            </wp:positionV>
            <wp:extent cx="7071995" cy="214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071995" cy="21463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214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54" w:right="100" w:hanging="423"/>
        <w:spacing w:after="0" w:line="239" w:lineRule="auto"/>
        <w:tabs>
          <w:tab w:leader="none" w:pos="1434" w:val="left"/>
        </w:tabs>
        <w:rPr>
          <w:rFonts w:ascii="Arial" w:cs="Arial" w:eastAsia="Arial" w:hAnsi="Arial"/>
          <w:sz w:val="14"/>
          <w:szCs w:val="14"/>
          <w:color w:val="0000FF"/>
        </w:rPr>
      </w:pPr>
      <w:hyperlink r:id="rId125">
        <w:r>
          <w:rPr>
            <w:rFonts w:ascii="Arial" w:cs="Arial" w:eastAsia="Arial" w:hAnsi="Arial"/>
            <w:sz w:val="14"/>
            <w:szCs w:val="14"/>
            <w:u w:val="single" w:color="auto"/>
            <w:color w:val="0000FF"/>
          </w:rPr>
          <w:t>10.8</w:t>
        </w:r>
      </w:hyperlink>
      <w:r>
        <w:rPr>
          <w:rFonts w:ascii="Arial" w:cs="Arial" w:eastAsia="Arial" w:hAnsi="Arial"/>
          <w:sz w:val="14"/>
          <w:szCs w:val="14"/>
          <w:color w:val="0000FF"/>
        </w:rPr>
        <w:tab/>
        <w:t>Trademark License Agreement, dated as of August 1, 2022, between Fortress Transportation and Infrastructure Investors LLC and FTAI Infrastructure Inc. (incorporated by reference to Exhibit 10.3 of the Company’s Current Report on Form 8-K, filed August 1, 2022).</w:t>
      </w:r>
    </w:p>
    <w:p>
      <w:pPr>
        <w:spacing w:after="0" w:line="4" w:lineRule="exact"/>
        <w:rPr>
          <w:rFonts w:ascii="Arial" w:cs="Arial" w:eastAsia="Arial" w:hAnsi="Arial"/>
          <w:sz w:val="14"/>
          <w:szCs w:val="14"/>
          <w:color w:val="auto"/>
        </w:rPr>
      </w:pPr>
    </w:p>
    <w:p>
      <w:pPr>
        <w:jc w:val="center"/>
        <w:ind w:left="920"/>
        <w:spacing w:after="0"/>
        <w:tabs>
          <w:tab w:leader="none" w:pos="120" w:val="left"/>
        </w:tabs>
        <w:rPr>
          <w:rFonts w:ascii="Arial" w:cs="Arial" w:eastAsia="Arial" w:hAnsi="Arial"/>
          <w:sz w:val="14"/>
          <w:szCs w:val="14"/>
          <w:color w:val="0000FF"/>
        </w:rPr>
      </w:pPr>
      <w:hyperlink r:id="rId161">
        <w:r>
          <w:rPr>
            <w:rFonts w:ascii="Arial" w:cs="Arial" w:eastAsia="Arial" w:hAnsi="Arial"/>
            <w:sz w:val="14"/>
            <w:szCs w:val="14"/>
            <w:u w:val="single" w:color="auto"/>
            <w:color w:val="0000FF"/>
          </w:rPr>
          <w:t>10.9</w:t>
        </w:r>
      </w:hyperlink>
      <w:r>
        <w:rPr>
          <w:rFonts w:ascii="Arial" w:cs="Arial" w:eastAsia="Arial" w:hAnsi="Arial"/>
          <w:sz w:val="14"/>
          <w:szCs w:val="14"/>
          <w:color w:val="0000FF"/>
        </w:rPr>
        <w:tab/>
        <w:t>Second Amended and Restated Credit Agreement, dated as of September 20, 2022, between the Company, the lenders and issuing banks from time to</w:t>
      </w:r>
    </w:p>
    <w:p>
      <w:pPr>
        <w:ind w:left="1454" w:right="440"/>
        <w:spacing w:after="0" w:line="229" w:lineRule="auto"/>
        <w:rPr>
          <w:sz w:val="20"/>
          <w:szCs w:val="20"/>
          <w:color w:val="auto"/>
        </w:rPr>
      </w:pPr>
      <w:r>
        <w:rPr>
          <w:rFonts w:ascii="Arial" w:cs="Arial" w:eastAsia="Arial" w:hAnsi="Arial"/>
          <w:sz w:val="14"/>
          <w:szCs w:val="14"/>
          <w:color w:val="auto"/>
        </w:rPr>
        <w:t>time party thereto and JPMorgan Chase Bank, N.A., as administrative agent (incorporated by reference to Exhibit 10.1 of the Company's Current Report on Form 8-K, filed September 21, 2022).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7071995" cy="2482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071995" cy="248285"/>
                    </a:xfrm>
                    <a:prstGeom prst="rect">
                      <a:avLst/>
                    </a:prstGeom>
                    <a:noFill/>
                  </pic:spPr>
                </pic:pic>
              </a:graphicData>
            </a:graphic>
          </wp:anchor>
        </w:drawing>
      </w:r>
    </w:p>
    <w:p>
      <w:pPr>
        <w:spacing w:after="0" w:line="10" w:lineRule="exact"/>
        <w:rPr>
          <w:rFonts w:ascii="Arial" w:cs="Arial" w:eastAsia="Arial" w:hAnsi="Arial"/>
          <w:sz w:val="14"/>
          <w:szCs w:val="14"/>
          <w:color w:val="auto"/>
        </w:rPr>
      </w:pPr>
    </w:p>
    <w:p>
      <w:pPr>
        <w:ind w:left="1454" w:right="160" w:hanging="503"/>
        <w:spacing w:after="0" w:line="258" w:lineRule="auto"/>
        <w:tabs>
          <w:tab w:leader="none" w:pos="1434" w:val="left"/>
        </w:tabs>
        <w:rPr>
          <w:sz w:val="20"/>
          <w:szCs w:val="20"/>
          <w:color w:val="auto"/>
        </w:rPr>
      </w:pPr>
      <w:r>
        <w:rPr>
          <w:rFonts w:ascii="Arial" w:cs="Arial" w:eastAsia="Arial" w:hAnsi="Arial"/>
          <w:sz w:val="14"/>
          <w:szCs w:val="14"/>
          <w:u w:val="single" w:color="auto"/>
          <w:color w:val="0000FF"/>
        </w:rPr>
        <w:t>10.10</w:t>
      </w:r>
      <w:r>
        <w:rPr>
          <w:sz w:val="20"/>
          <w:szCs w:val="20"/>
          <w:color w:val="auto"/>
        </w:rPr>
        <w:tab/>
      </w:r>
      <w:r>
        <w:rPr>
          <w:rFonts w:ascii="Arial" w:cs="Arial" w:eastAsia="Arial" w:hAnsi="Arial"/>
          <w:sz w:val="14"/>
          <w:szCs w:val="14"/>
          <w:color w:val="auto"/>
        </w:rPr>
        <w:t>Amendment No. 1 to the Second Amended and Restated Credit Agreement, dated as of November 22, 2022, between the Company, the lenders and issuing banks from time to time party thereto and JPMorgan Chase Bank, N.A., as administrative agent.</w:t>
      </w:r>
    </w:p>
    <w:p>
      <w:pPr>
        <w:spacing w:after="0" w:line="45" w:lineRule="exact"/>
        <w:rPr>
          <w:rFonts w:ascii="Arial" w:cs="Arial" w:eastAsia="Arial" w:hAnsi="Arial"/>
          <w:sz w:val="14"/>
          <w:szCs w:val="14"/>
          <w:color w:val="auto"/>
        </w:rPr>
      </w:pPr>
    </w:p>
    <w:p>
      <w:pPr>
        <w:ind w:left="1034"/>
        <w:spacing w:after="0"/>
        <w:tabs>
          <w:tab w:leader="none" w:pos="1434" w:val="left"/>
        </w:tabs>
        <w:rPr>
          <w:sz w:val="20"/>
          <w:szCs w:val="20"/>
          <w:color w:val="auto"/>
        </w:rPr>
      </w:pPr>
      <w:r>
        <w:rPr>
          <w:rFonts w:ascii="Arial" w:cs="Arial" w:eastAsia="Arial" w:hAnsi="Arial"/>
          <w:sz w:val="14"/>
          <w:szCs w:val="14"/>
          <w:u w:val="single" w:color="auto"/>
          <w:color w:val="0000FF"/>
        </w:rPr>
        <w:t>21.1</w:t>
      </w:r>
      <w:r>
        <w:rPr>
          <w:sz w:val="20"/>
          <w:szCs w:val="20"/>
          <w:color w:val="auto"/>
        </w:rPr>
        <w:tab/>
      </w:r>
      <w:r>
        <w:rPr>
          <w:rFonts w:ascii="Arial" w:cs="Arial" w:eastAsia="Arial" w:hAnsi="Arial"/>
          <w:sz w:val="14"/>
          <w:szCs w:val="14"/>
          <w:color w:val="auto"/>
        </w:rPr>
        <w:t>Subsidiaries of FTAI Aviation Ltd.</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07199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 w:lineRule="exact"/>
        <w:rPr>
          <w:rFonts w:ascii="Arial" w:cs="Arial" w:eastAsia="Arial" w:hAnsi="Arial"/>
          <w:sz w:val="14"/>
          <w:szCs w:val="14"/>
          <w:color w:val="auto"/>
        </w:rPr>
      </w:pPr>
    </w:p>
    <w:p>
      <w:pPr>
        <w:ind w:left="1034"/>
        <w:spacing w:after="0"/>
        <w:tabs>
          <w:tab w:leader="none" w:pos="1434" w:val="left"/>
        </w:tabs>
        <w:rPr>
          <w:sz w:val="20"/>
          <w:szCs w:val="20"/>
          <w:color w:val="auto"/>
        </w:rPr>
      </w:pPr>
      <w:r>
        <w:rPr>
          <w:rFonts w:ascii="Arial" w:cs="Arial" w:eastAsia="Arial" w:hAnsi="Arial"/>
          <w:sz w:val="14"/>
          <w:szCs w:val="14"/>
          <w:u w:val="single" w:color="auto"/>
          <w:color w:val="0000FF"/>
        </w:rPr>
        <w:t>23.1</w:t>
      </w:r>
      <w:r>
        <w:rPr>
          <w:sz w:val="20"/>
          <w:szCs w:val="20"/>
          <w:color w:val="auto"/>
        </w:rPr>
        <w:tab/>
      </w:r>
      <w:r>
        <w:rPr>
          <w:rFonts w:ascii="Arial" w:cs="Arial" w:eastAsia="Arial" w:hAnsi="Arial"/>
          <w:sz w:val="14"/>
          <w:szCs w:val="14"/>
          <w:color w:val="auto"/>
        </w:rPr>
        <w:t>Consent of Independent Registered Public Accounting Firm.</w:t>
      </w:r>
    </w:p>
    <w:p>
      <w:pPr>
        <w:spacing w:after="0" w:line="42" w:lineRule="exact"/>
        <w:rPr>
          <w:rFonts w:ascii="Arial" w:cs="Arial" w:eastAsia="Arial" w:hAnsi="Arial"/>
          <w:sz w:val="14"/>
          <w:szCs w:val="14"/>
          <w:color w:val="auto"/>
        </w:rPr>
      </w:pPr>
    </w:p>
    <w:p>
      <w:pPr>
        <w:ind w:left="1034"/>
        <w:spacing w:after="0"/>
        <w:tabs>
          <w:tab w:leader="none" w:pos="1434" w:val="left"/>
        </w:tabs>
        <w:rPr>
          <w:sz w:val="20"/>
          <w:szCs w:val="20"/>
          <w:color w:val="auto"/>
        </w:rPr>
      </w:pPr>
      <w:r>
        <w:rPr>
          <w:rFonts w:ascii="Arial" w:cs="Arial" w:eastAsia="Arial" w:hAnsi="Arial"/>
          <w:sz w:val="14"/>
          <w:szCs w:val="14"/>
          <w:u w:val="single" w:color="auto"/>
          <w:color w:val="0000FF"/>
        </w:rPr>
        <w:t>31.1</w:t>
      </w:r>
      <w:r>
        <w:rPr>
          <w:sz w:val="20"/>
          <w:szCs w:val="20"/>
          <w:color w:val="auto"/>
        </w:rPr>
        <w:tab/>
      </w:r>
      <w:r>
        <w:rPr>
          <w:rFonts w:ascii="Arial" w:cs="Arial" w:eastAsia="Arial" w:hAnsi="Arial"/>
          <w:sz w:val="14"/>
          <w:szCs w:val="14"/>
          <w:color w:val="auto"/>
        </w:rPr>
        <w:t>Certification of Chief Executive Officer pursuant to Rule 13a-14(a)/15d-14(a), as adopted pursuant to Section 302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07199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 w:lineRule="exact"/>
        <w:rPr>
          <w:rFonts w:ascii="Arial" w:cs="Arial" w:eastAsia="Arial" w:hAnsi="Arial"/>
          <w:sz w:val="14"/>
          <w:szCs w:val="14"/>
          <w:color w:val="auto"/>
        </w:rPr>
      </w:pPr>
    </w:p>
    <w:p>
      <w:pPr>
        <w:ind w:left="1034"/>
        <w:spacing w:after="0"/>
        <w:tabs>
          <w:tab w:leader="none" w:pos="1434" w:val="left"/>
        </w:tabs>
        <w:rPr>
          <w:sz w:val="20"/>
          <w:szCs w:val="20"/>
          <w:color w:val="auto"/>
        </w:rPr>
      </w:pPr>
      <w:r>
        <w:rPr>
          <w:rFonts w:ascii="Arial" w:cs="Arial" w:eastAsia="Arial" w:hAnsi="Arial"/>
          <w:sz w:val="14"/>
          <w:szCs w:val="14"/>
          <w:u w:val="single" w:color="auto"/>
          <w:color w:val="0000FF"/>
        </w:rPr>
        <w:t>31.2</w:t>
      </w:r>
      <w:r>
        <w:rPr>
          <w:sz w:val="20"/>
          <w:szCs w:val="20"/>
          <w:color w:val="auto"/>
        </w:rPr>
        <w:tab/>
      </w:r>
      <w:r>
        <w:rPr>
          <w:rFonts w:ascii="Arial" w:cs="Arial" w:eastAsia="Arial" w:hAnsi="Arial"/>
          <w:sz w:val="14"/>
          <w:szCs w:val="14"/>
          <w:color w:val="auto"/>
        </w:rPr>
        <w:t>Certification of Chief Financial Officer pursuant to Rule 13a-14(a)/15d-14(a), as adopted pursuant to Section 302 of the Sarbanes-Oxley Act of 2002.</w:t>
      </w:r>
    </w:p>
    <w:p>
      <w:pPr>
        <w:spacing w:after="0" w:line="42" w:lineRule="exact"/>
        <w:rPr>
          <w:rFonts w:ascii="Arial" w:cs="Arial" w:eastAsia="Arial" w:hAnsi="Arial"/>
          <w:sz w:val="14"/>
          <w:szCs w:val="14"/>
          <w:color w:val="auto"/>
        </w:rPr>
      </w:pPr>
    </w:p>
    <w:p>
      <w:pPr>
        <w:ind w:left="1034"/>
        <w:spacing w:after="0"/>
        <w:tabs>
          <w:tab w:leader="none" w:pos="1434" w:val="left"/>
        </w:tabs>
        <w:rPr>
          <w:sz w:val="20"/>
          <w:szCs w:val="20"/>
          <w:color w:val="auto"/>
        </w:rPr>
      </w:pPr>
      <w:r>
        <w:rPr>
          <w:rFonts w:ascii="Arial" w:cs="Arial" w:eastAsia="Arial" w:hAnsi="Arial"/>
          <w:sz w:val="14"/>
          <w:szCs w:val="14"/>
          <w:u w:val="single" w:color="auto"/>
          <w:color w:val="0000FF"/>
        </w:rPr>
        <w:t>32.1</w:t>
      </w:r>
      <w:r>
        <w:rPr>
          <w:sz w:val="20"/>
          <w:szCs w:val="20"/>
          <w:color w:val="auto"/>
        </w:rPr>
        <w:tab/>
      </w:r>
      <w:r>
        <w:rPr>
          <w:rFonts w:ascii="Arial" w:cs="Arial" w:eastAsia="Arial" w:hAnsi="Arial"/>
          <w:sz w:val="14"/>
          <w:szCs w:val="14"/>
          <w:color w:val="auto"/>
        </w:rPr>
        <w:t>Certification of Chief Executive Officer pursuant to 18 U.S.C. Section 1350, as adopted pursuant to Section 906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07199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 w:lineRule="exact"/>
        <w:rPr>
          <w:rFonts w:ascii="Arial" w:cs="Arial" w:eastAsia="Arial" w:hAnsi="Arial"/>
          <w:sz w:val="14"/>
          <w:szCs w:val="14"/>
          <w:color w:val="auto"/>
        </w:rPr>
      </w:pPr>
    </w:p>
    <w:p>
      <w:pPr>
        <w:ind w:left="1034"/>
        <w:spacing w:after="0"/>
        <w:tabs>
          <w:tab w:leader="none" w:pos="1434" w:val="left"/>
        </w:tabs>
        <w:rPr>
          <w:sz w:val="20"/>
          <w:szCs w:val="20"/>
          <w:color w:val="auto"/>
        </w:rPr>
      </w:pPr>
      <w:r>
        <w:rPr>
          <w:rFonts w:ascii="Arial" w:cs="Arial" w:eastAsia="Arial" w:hAnsi="Arial"/>
          <w:sz w:val="14"/>
          <w:szCs w:val="14"/>
          <w:u w:val="single" w:color="auto"/>
          <w:color w:val="0000FF"/>
        </w:rPr>
        <w:t>32.2</w:t>
      </w:r>
      <w:r>
        <w:rPr>
          <w:sz w:val="20"/>
          <w:szCs w:val="20"/>
          <w:color w:val="auto"/>
        </w:rPr>
        <w:tab/>
      </w:r>
      <w:r>
        <w:rPr>
          <w:rFonts w:ascii="Arial" w:cs="Arial" w:eastAsia="Arial" w:hAnsi="Arial"/>
          <w:sz w:val="14"/>
          <w:szCs w:val="14"/>
          <w:color w:val="auto"/>
        </w:rPr>
        <w:t>Certification of Chief Financial Officer pursuant to 18 U.S.C. Section 1350, as adopted pursuant to Section 906 of the Sarbanes-Oxley Act of 2002.</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7" w:lineRule="exact"/>
        <w:rPr>
          <w:rFonts w:ascii="Arial" w:cs="Arial" w:eastAsia="Arial" w:hAnsi="Arial"/>
          <w:sz w:val="14"/>
          <w:szCs w:val="14"/>
          <w:color w:val="auto"/>
        </w:rPr>
      </w:pPr>
    </w:p>
    <w:p>
      <w:pPr>
        <w:jc w:val="center"/>
        <w:ind w:right="-113"/>
        <w:spacing w:after="0"/>
        <w:rPr>
          <w:sz w:val="20"/>
          <w:szCs w:val="20"/>
          <w:color w:val="auto"/>
        </w:rPr>
      </w:pPr>
      <w:r>
        <w:rPr>
          <w:rFonts w:ascii="Arial" w:cs="Arial" w:eastAsia="Arial" w:hAnsi="Arial"/>
          <w:sz w:val="14"/>
          <w:szCs w:val="14"/>
          <w:color w:val="auto"/>
        </w:rPr>
        <w:t>93</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-23495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4"/>
          </w:cols>
          <w:pgMar w:left="346" w:top="1085" w:right="459" w:bottom="1440" w:gutter="0" w:footer="0" w:header="0"/>
        </w:sectPr>
      </w:pPr>
    </w:p>
    <w:bookmarkStart w:id="94" w:name="page95"/>
    <w:bookmarkEnd w:id="94"/>
    <w:p>
      <w:pPr>
        <w:ind w:left="26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26035</wp:posOffset>
            </wp:positionV>
            <wp:extent cx="6926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080"/>
          </w:cols>
          <w:pgMar w:left="320" w:top="1085" w:right="499" w:bottom="1440" w:gutter="0" w:footer="0" w:header="0"/>
        </w:sectPr>
      </w:pPr>
    </w:p>
    <w:p>
      <w:pPr>
        <w:spacing w:after="0" w:line="73"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101</w:t>
      </w:r>
    </w:p>
    <w:p>
      <w:pPr>
        <w:spacing w:after="0" w:line="200" w:lineRule="exact"/>
        <w:rPr>
          <w:sz w:val="20"/>
          <w:szCs w:val="20"/>
          <w:color w:val="auto"/>
        </w:rPr>
      </w:pPr>
    </w:p>
    <w:p>
      <w:pPr>
        <w:spacing w:after="0" w:line="355"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following financial information from the Company’s Annual Report on Form 10-K for the year ended December 31, 2022, formatted in iXBRL (Inline Extensible Business Reporting Language): (i) Consolidated Balance Sheets; (ii) Consolidated Statements of Operations; (iii) Consolidated Statements of Comprehensive (Loss) Income; (iv) Consolidated Statements of Changes in Equity; (v) Consolidated Statements of Cash Flows;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3175</wp:posOffset>
            </wp:positionV>
            <wp:extent cx="707199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p>
      <w:pPr>
        <w:spacing w:after="0" w:line="28" w:lineRule="exact"/>
        <w:rPr>
          <w:sz w:val="20"/>
          <w:szCs w:val="20"/>
          <w:color w:val="auto"/>
        </w:rPr>
      </w:pPr>
    </w:p>
    <w:p>
      <w:pPr>
        <w:sectPr>
          <w:pgSz w:w="11900" w:h="16838" w:orient="portrait"/>
          <w:cols w:equalWidth="0" w:num="2">
            <w:col w:w="1340" w:space="140"/>
            <w:col w:w="9600"/>
          </w:cols>
          <w:pgMar w:left="320" w:top="1085" w:right="499" w:bottom="1440" w:gutter="0" w:footer="0" w:header="0"/>
          <w:type w:val="continuous"/>
        </w:sectPr>
      </w:pPr>
    </w:p>
    <w:p>
      <w:pPr>
        <w:ind w:left="260" w:hanging="234"/>
        <w:spacing w:after="0"/>
        <w:tabs>
          <w:tab w:leader="none" w:pos="26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16. Form 10-K Summary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5" w:right="499" w:bottom="144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FTAI AVIATION LTD.</w:t>
      </w:r>
    </w:p>
    <w:p>
      <w:pPr>
        <w:spacing w:after="0" w:line="48" w:lineRule="exact"/>
        <w:rPr>
          <w:sz w:val="20"/>
          <w:szCs w:val="20"/>
          <w:color w:val="auto"/>
        </w:rPr>
      </w:pPr>
    </w:p>
    <w:p>
      <w:pPr>
        <w:ind w:left="20"/>
        <w:spacing w:after="0"/>
        <w:tabs>
          <w:tab w:leader="none" w:pos="540" w:val="left"/>
          <w:tab w:leader="none" w:pos="8100" w:val="left"/>
          <w:tab w:leader="none" w:pos="100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Joseph P. Adams, Jr.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3180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Joseph P. Adams, Jr.</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Chairman and Chief Executive Officer</w:t>
      </w:r>
    </w:p>
    <w:p>
      <w:pPr>
        <w:spacing w:after="0" w:line="200" w:lineRule="exact"/>
        <w:rPr>
          <w:sz w:val="20"/>
          <w:szCs w:val="20"/>
          <w:color w:val="auto"/>
        </w:rPr>
      </w:pPr>
    </w:p>
    <w:p>
      <w:pPr>
        <w:spacing w:after="0" w:line="39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Joseph P. Adams, Jr.</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27, 2023</w:t>
            </w:r>
          </w:p>
        </w:tc>
      </w:tr>
      <w:tr>
        <w:trPr>
          <w:trHeight w:val="190"/>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Joseph P. Adams, Jr.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8"/>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Eun (Angela) Nam</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27, 2023</w:t>
            </w:r>
          </w:p>
        </w:tc>
      </w:tr>
      <w:tr>
        <w:trPr>
          <w:trHeight w:val="190"/>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Eun (Angela) Nam</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Chief Financial Officer and Chief Accounting Officer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8"/>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Paul R. Goodwin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27, 2023</w:t>
            </w:r>
          </w:p>
        </w:tc>
      </w:tr>
      <w:tr>
        <w:trPr>
          <w:trHeight w:val="190"/>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Paul R. Goodwin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8"/>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Judith A. Hannaway</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27, 2023</w:t>
            </w:r>
          </w:p>
        </w:tc>
      </w:tr>
      <w:tr>
        <w:trPr>
          <w:trHeight w:val="190"/>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Judith A. Hannaway</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8"/>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 Andrew Levison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27, 2023</w:t>
            </w:r>
          </w:p>
        </w:tc>
      </w:tr>
      <w:tr>
        <w:trPr>
          <w:trHeight w:val="190"/>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A. Andrew Levison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8"/>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Kenneth J. Nicholson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27, 2023</w:t>
            </w:r>
          </w:p>
        </w:tc>
      </w:tr>
      <w:tr>
        <w:trPr>
          <w:trHeight w:val="190"/>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Kenneth J. Nicholson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8"/>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Ray M. Robinson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27, 2023</w:t>
            </w:r>
          </w:p>
        </w:tc>
      </w:tr>
      <w:tr>
        <w:trPr>
          <w:trHeight w:val="190"/>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Ray M. Robinson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8"/>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Martin Tuchman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27, 2023</w:t>
            </w:r>
          </w:p>
        </w:tc>
      </w:tr>
      <w:tr>
        <w:trPr>
          <w:trHeight w:val="190"/>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Martin Tuchman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40"/>
          </w:cols>
          <w:pgMar w:left="320" w:top="93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b w:val="1"/>
          <w:bCs w:val="1"/>
          <w:color w:val="auto"/>
        </w:rPr>
        <w:t>Exhibit 4.14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DESCRIPTION OF SECURITIES REGISTERED UNDER SECTION 12 OF THE EXCHANGE ACT</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description of our ordinary shares, our 8.25% Fixed-to-Floating Rate Series A Cumulative Perpetual Redeemable Preferred Shares (the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i w:val="1"/>
          <w:iCs w:val="1"/>
          <w:color w:val="auto"/>
        </w:rPr>
        <w:t>“Series A Preferred Shares”), our 8.00% Fixed-to-Floating Rate Series B Cumulative Perpetual Redeemable Preferred Shares (the “Series B Preferred Shares”), our 8.25% Fixed-Rate Reset Series C Cumulative Perpetual Redeemable Preferred Shares (the “Series C Preferred Shares”) and certain provisions of Cayman Islands law and our amended and restated memorandum and articles of association (as amended from time to time, the “Articles”)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does not purport to be complete and is in all respects subject to, and qualified in its entirety by reference to, all of the provisions of our Articles and Cayman Islands law.</w:t>
      </w:r>
    </w:p>
    <w:p>
      <w:pPr>
        <w:spacing w:after="0" w:line="53"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7"/>
          <w:szCs w:val="17"/>
          <w:i w:val="1"/>
          <w:iCs w:val="1"/>
          <w:color w:val="auto"/>
        </w:rPr>
        <w:t>For purposes of this summary, (i) the term “Company” refers only to FTAI Aviation Ltd., a Cayman Islands exempted company, and not to any of its subsidiaries and (ii) the terms “our”, “us”, and “we” refer to the Company and its consolidated subsidiaries, unless the context requires otherwise.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Authorized Shares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Articles, our authorized share capital consists of:</w:t>
      </w:r>
    </w:p>
    <w:p>
      <w:pPr>
        <w:spacing w:after="0" w:line="75"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2,000,000,000 ordinary shares, par value $0.01 per share (“ordinary shares”); and</w:t>
      </w:r>
    </w:p>
    <w:p>
      <w:pPr>
        <w:ind w:left="980" w:right="20" w:hanging="324"/>
        <w:spacing w:after="0" w:line="268" w:lineRule="auto"/>
        <w:tabs>
          <w:tab w:leader="none" w:pos="975" w:val="left"/>
        </w:tabs>
        <w:numPr>
          <w:ilvl w:val="0"/>
          <w:numId w:val="37"/>
        </w:numPr>
        <w:rPr>
          <w:rFonts w:ascii="Arial" w:cs="Arial" w:eastAsia="Arial" w:hAnsi="Arial"/>
          <w:sz w:val="16"/>
          <w:szCs w:val="16"/>
          <w:color w:val="auto"/>
        </w:rPr>
      </w:pPr>
      <w:r>
        <w:rPr>
          <w:rFonts w:ascii="Arial" w:cs="Arial" w:eastAsia="Arial" w:hAnsi="Arial"/>
          <w:sz w:val="16"/>
          <w:szCs w:val="16"/>
          <w:color w:val="auto"/>
        </w:rPr>
        <w:t>200,000,000 preferred shares, par value $0.01 per share (“preferred shares”), 4,180,000 of which are designated as Series A Preferred Shares, 4,940,000 of which are designated as Series B Preferred Shares and 4,200,000 of which are designated as Series C Preferred Shares.</w:t>
      </w:r>
    </w:p>
    <w:p>
      <w:pPr>
        <w:spacing w:after="0" w:line="4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All of the issued and outstanding ordinary shares and our Series A Preferred Shares, Series B Preferred Shares and Series C Preferred Shares are fully paid and non-assessable.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Ordinary shares</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No holder of ordinary shares is entitled to preemptive, preferential or similar rights or redemption or conversion rights. Holders of ordinary shares are entitled to one vote per share on all matters submitted to a vote of holders of ordinary shares. Unless a different majority is required by law or by our Articles, resolutions to be approved by holders of ordinary shares require approval by a simple majority of votes cast at a meeting at which a quorum 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present.</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Each holder of ordinary shares is entitled to one vote for each ordinary share held on all matters submitted to a vote of shareholders. Except as provided with respect to any other class or series of shares, the holders of our ordinary shares will possess the exclusive right to vote for the election of directors and</w:t>
      </w:r>
    </w:p>
    <w:p>
      <w:pPr>
        <w:jc w:val="both"/>
        <w:spacing w:after="0" w:line="268" w:lineRule="auto"/>
        <w:rPr>
          <w:sz w:val="20"/>
          <w:szCs w:val="20"/>
          <w:color w:val="auto"/>
        </w:rPr>
      </w:pPr>
      <w:r>
        <w:rPr>
          <w:rFonts w:ascii="Arial" w:cs="Arial" w:eastAsia="Arial" w:hAnsi="Arial"/>
          <w:sz w:val="16"/>
          <w:szCs w:val="16"/>
          <w:color w:val="auto"/>
        </w:rPr>
        <w:t>for all other purposes. Our Articles do not provide for cumulative voting in the election of directors, which means that the holders of a majority of the outstanding ordinary shares can elect all of the directors standing for election, and the holders of the remaining shares are not able to elect any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Although we currently intend to pay regular quarterly dividends to holders of our ordinary shares, we may change our dividend policy at any time. Our net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cash provided by operating activities has been less than the amount of distributions to our shareholders. The declaration and payment of dividends to holders of our ordinary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our taxable income, our operating expenses and other factors our board of directors deem relevant. In addition, while any Series A Preferred Shares, Series B Preferred Shares or Series C Preferred Shares remain outstanding, unless the full cumulative distributions on past distribution periods for such shares have been or contemporaneously are declared and paid in full or declared and a sum sufficient for the payment of those distributions set aside, we are</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generally prohibited from declaring and paying or setting aside any dividends on our ordinary shares. See “Series A Preferred Shares—Priority Regarding Distributions,” “Series B Preferred Shares—Priority Regarding Distributions” and “Series C Preferred Shares—Priority Regarding Distributions.” Any rights of holders of our ordinary shares to receive dividends, if any, declared from time to time by our board of directors out of legally available funds will also be subject to any preferred rights of holders of any additional preferred shares that we may issue in the future.</w:t>
      </w:r>
    </w:p>
    <w:p>
      <w:pPr>
        <w:spacing w:after="0" w:line="2"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17"/>
          <w:szCs w:val="17"/>
          <w:color w:val="auto"/>
        </w:rPr>
        <w:t>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including the indentures governing our senior notes and the amended and restated revolving credit facility. In addition, pursuant to a the Services and Profit Sharing Agreement with our subsidiary FTAI Aviation Holdco Ltd. and Fortress Worldwide Transportation and Infrastructure Master GP LLC (the “Master GP”), Master GP will be entitled to receive incentive payments before any amounts are distributed by the Company based both on our consolidated net income and capital gains income in each fiscal quarter and for each fiscal year, respectively.</w:t>
      </w:r>
    </w:p>
    <w:p>
      <w:pPr>
        <w:sectPr>
          <w:pgSz w:w="11900" w:h="16838" w:orient="portrait"/>
          <w:cols w:equalWidth="0" w:num="1">
            <w:col w:w="11240"/>
          </w:cols>
          <w:pgMar w:left="320" w:top="346" w:right="339" w:bottom="1440" w:gutter="0" w:footer="0" w:header="0"/>
        </w:sectPr>
      </w:pPr>
    </w:p>
    <w:bookmarkStart w:id="97" w:name="page98"/>
    <w:bookmarkEnd w:id="97"/>
    <w:p>
      <w:pPr>
        <w:spacing w:after="0" w:line="76"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In the event of our liquidation, dissolution or winding up, the holders of our ordinary shares are entitled to share ratably in all assets remaining after the payment of liabilities, subject to any rights of holders of our preferred shares prior to distribution.</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ordinary shares trade on Nasdaq Global Select Market (“Nasdaq”) under the symbol “FTAI”.</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A Preferred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The Articles authorize the Company to issue up to 200,000,000 preferred shares in one or more series, and the Company’s board of directors is authorized to fix the number of shares of each series and determine the rights, designations, preferences, powers and duties of any such series. The “8.25% Fixed-to-Floating Rate Series A Cumulative Perpetual Redeemable Preferred Shares” are designated as one series of our authorized preferred shares,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consisting of 4,180,000 Series A Preferred Shares.</w:t>
      </w:r>
    </w:p>
    <w:p>
      <w:pPr>
        <w:spacing w:after="0" w:line="16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The Series A Preferred Shares represent perpetual equity interests in us and, unlike our indebtedness, do not give rise to a claim for payment of a principal amount at a particular date. As such, the Series A Preferred Shares rank junior to all of our current and future indebtedness and other liabilities</w:t>
      </w:r>
    </w:p>
    <w:p>
      <w:pPr>
        <w:jc w:val="both"/>
        <w:spacing w:after="0" w:line="234" w:lineRule="auto"/>
        <w:rPr>
          <w:sz w:val="20"/>
          <w:szCs w:val="20"/>
          <w:color w:val="auto"/>
        </w:rPr>
      </w:pPr>
      <w:r>
        <w:rPr>
          <w:rFonts w:ascii="Arial" w:cs="Arial" w:eastAsia="Arial" w:hAnsi="Arial"/>
          <w:sz w:val="16"/>
          <w:szCs w:val="16"/>
          <w:color w:val="auto"/>
        </w:rPr>
        <w:t xml:space="preserve">with respect to assets available to satisfy claims against us. The Series A Preferred Shares have a fixed liquidation preference of $25.00 per Series A Preferred Share, plus an amount equal to accumulated and unpaid distributions thereon, if any, to, but excluding, the date of payment, whether or not declared;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rights of the holders of Series A Preferred Shares to receive the liquidation preference will be subject to the proportional rights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holders of Parity Securities (as defined below) and to the other matters described under “—</w:t>
      </w:r>
      <w:r>
        <w:rPr>
          <w:rFonts w:ascii="Arial" w:cs="Arial" w:eastAsia="Arial" w:hAnsi="Arial"/>
          <w:sz w:val="18"/>
          <w:szCs w:val="18"/>
          <w:i w:val="1"/>
          <w:iCs w:val="1"/>
          <w:color w:val="auto"/>
        </w:rPr>
        <w:t>Liquidation Rights</w:t>
      </w:r>
      <w:r>
        <w:rPr>
          <w:rFonts w:ascii="Arial" w:cs="Arial" w:eastAsia="Arial" w:hAnsi="Arial"/>
          <w:sz w:val="18"/>
          <w:szCs w:val="18"/>
          <w:color w:val="auto"/>
        </w:rPr>
        <w: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A Preferred Shares trade on Nasdaq under the symbol “FTAIP”.</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02"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 xml:space="preserve">With respect to the payment of distributions and rights (including redemption rights) upon our liquidation, dissolution or winding up, the Series A Preferred Shares rank (i) senior and prior to our ordinary shares and any class or series of preferred shares that by its terms is designated as ranking junior to the Series A Preferred Shares, (ii)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class or series of preferred shares that by its terms is designated as ranking equal to the Series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Preferred Shares or does not state it is junior or senior to the Series A Preferred Shares (including our Series B Preferred Shares and Series C Preferred Shares), (iii) junior to any class or series of preferred shares that is expressly designated as ranking senior to the Series A Preferred Shares (subject to receipt of any requisite consents prior to issuance) and (iv) effectively junior to all of our existing and future indebtedness (including indebtedness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convertible into our ordinary shares or preferred shares) and other liabilities and to all liabilities and any preferred equity of our existing subsidiaries and any future subsidiaries.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Series A Preferred Shares are not convertible into, or exchangeable for, shares of any other class or series of our share capital or other securities</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are not subject to any sinking fund or other obligation to redeem or repurchase the Series A Preferred Shares. The Series A Preferred Shares are not secured, are not guaranteed by us or any of our affiliates and are not subject to any other arrangement that legally or economically enhances the ranking of the Series A Preferred Shares.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89" w:lineRule="exact"/>
        <w:rPr>
          <w:sz w:val="20"/>
          <w:szCs w:val="20"/>
          <w:color w:val="auto"/>
        </w:rPr>
      </w:pPr>
    </w:p>
    <w:p>
      <w:pPr>
        <w:ind w:right="60" w:firstLine="360"/>
        <w:spacing w:after="0" w:line="270" w:lineRule="auto"/>
        <w:rPr>
          <w:sz w:val="20"/>
          <w:szCs w:val="20"/>
          <w:color w:val="auto"/>
        </w:rPr>
      </w:pPr>
      <w:r>
        <w:rPr>
          <w:rFonts w:ascii="Arial" w:cs="Arial" w:eastAsia="Arial" w:hAnsi="Arial"/>
          <w:sz w:val="16"/>
          <w:szCs w:val="16"/>
          <w:color w:val="auto"/>
        </w:rPr>
        <w:t>Holders of the Series A Preferred Shares are entitled to receive, only when, as, and if declared by our board of directors, out of funds legally available for such purpose, cumulative cash distributions based on the stated liquidation preference of $25.00 per Series A Preferred Share at a rate equal to (i) from, and including, the original issue date of the Series A Preferred Shares, being the date of the completion of the merger, to, but excluding, September 15, 2024 (the “Series A Fixed Rate Period”), 8.25% per annum, and (ii) beginning September 15, 2024 (the “Series A Floating Rate Period”), Three-Month LIBOR (as defined below) plus a spread of 688.6 basis points per annum and that sum will be the distribution rate for the applicable Distribution Period. A “Distribution Period” means the period from, and including, each Distribution Payment Date (as defined below) to, but excluding, the next succeeding Distribution Payment Date, except for the initial Distribution Period, which is the period from, and including, the original issue date of the Series A Preferred Shares, being the date of the completion of the merger, to, but excluding, the next succeeding Distribution Payment Date.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When, as, and if declared by our board of directors, we pay cash distributions on the Series A Preferred Shares quarterly, in arrears, on March 15, June</w:t>
      </w:r>
    </w:p>
    <w:p>
      <w:pPr>
        <w:spacing w:after="0" w:line="2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15, September 15 and December 15 of each year (each such date, a “Distribution Payment Date”), which payments began on December 15, 2022. We pay cash distributions to the</w:t>
      </w:r>
    </w:p>
    <w:p>
      <w:pPr>
        <w:sectPr>
          <w:pgSz w:w="11900" w:h="16838" w:orient="portrait"/>
          <w:cols w:equalWidth="0" w:num="1">
            <w:col w:w="11240"/>
          </w:cols>
          <w:pgMar w:left="320" w:top="1440" w:right="339" w:bottom="1440" w:gutter="0" w:footer="0" w:header="0"/>
        </w:sectPr>
      </w:pPr>
    </w:p>
    <w:bookmarkStart w:id="98" w:name="page99"/>
    <w:bookmarkEnd w:id="98"/>
    <w:p>
      <w:pPr>
        <w:jc w:val="both"/>
        <w:spacing w:after="0" w:line="220" w:lineRule="auto"/>
        <w:rPr>
          <w:sz w:val="20"/>
          <w:szCs w:val="20"/>
          <w:color w:val="auto"/>
        </w:rPr>
      </w:pPr>
      <w:r>
        <w:rPr>
          <w:rFonts w:ascii="Arial" w:cs="Arial" w:eastAsia="Arial" w:hAnsi="Arial"/>
          <w:sz w:val="16"/>
          <w:szCs w:val="16"/>
          <w:color w:val="auto"/>
        </w:rPr>
        <w:t>holders of record of Series A Preferred Shares as they appear on our share register on the applicable record date, which for any Distribution Payment Date shall be the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calendar day of the month of such Distribution Payment Date or such other record date fixed by our board of directors as the record date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Distribution Payment Date that is not more than 60 nor less than 10 days prior to such Distribution Payment Date.</w:t>
      </w:r>
    </w:p>
    <w:p>
      <w:pPr>
        <w:spacing w:after="0" w:line="16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Distributions on the Series A Preferred Shares are not mandatory. However, distributions on the Series A Preferred Shares accrue from and including, the most recent Distribution Payment Date on which all accrued distributions have been paid, whether or not we have earnings, whether or not there are</w:t>
      </w:r>
    </w:p>
    <w:p>
      <w:pPr>
        <w:jc w:val="both"/>
        <w:spacing w:after="0" w:line="248" w:lineRule="auto"/>
        <w:rPr>
          <w:sz w:val="20"/>
          <w:szCs w:val="20"/>
          <w:color w:val="auto"/>
        </w:rPr>
      </w:pPr>
      <w:r>
        <w:rPr>
          <w:rFonts w:ascii="Arial" w:cs="Arial" w:eastAsia="Arial" w:hAnsi="Arial"/>
          <w:sz w:val="16"/>
          <w:szCs w:val="16"/>
          <w:color w:val="auto"/>
        </w:rPr>
        <w:t>funds legally available for the payment of those distributions and whether or not those distributions are declared. No interest, or sum in lieu of interest, is payable in respect of any distribution payment or payments on the Series A Preferred Shares which may be in arrears, and holders of the Series A Preferred Shares are not entitled to any distribution, whether payable in cash, property, or shares, in excess of full cumulative distributions described above.</w:t>
      </w:r>
    </w:p>
    <w:p>
      <w:pPr>
        <w:spacing w:after="0" w:line="170"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If in the future we issue additional shares of the Series A Preferred Shares, distributions on those additional shares will accrue from the most recent Distribution Payment Date at the then-applicable distribution rate.</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distribution rate for each Distribution Period in the Series A Floating Rate Period will be determined by the calculation agent using Three-Month</w:t>
      </w:r>
    </w:p>
    <w:p>
      <w:pPr>
        <w:spacing w:after="0" w:line="2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LIBOR as in effect on the second London banking day prior to the beginning of the Distribution Period, which date is referred to as the “distribution determination date” for the relevant Distribution Period. The calculation agent then will add Three-Month LIBOR as determined on the distribution determination date and the spread of 688.6 basis points per annum. Once the distribution rate for the Series A Preferred Shares is determined, the</w:t>
      </w:r>
    </w:p>
    <w:p>
      <w:pPr>
        <w:jc w:val="both"/>
        <w:spacing w:after="0" w:line="218" w:lineRule="auto"/>
        <w:rPr>
          <w:sz w:val="20"/>
          <w:szCs w:val="20"/>
          <w:color w:val="auto"/>
        </w:rPr>
      </w:pPr>
      <w:r>
        <w:rPr>
          <w:rFonts w:ascii="Arial" w:cs="Arial" w:eastAsia="Arial" w:hAnsi="Arial"/>
          <w:sz w:val="18"/>
          <w:szCs w:val="18"/>
          <w:color w:val="auto"/>
        </w:rPr>
        <w:t>calculation agent will deliver that information to us and the transfer agent for the Series A Preferred Shares. Absent manifest error, the calculation agent’s determination of the distribution rate for a Distribution Period for the Series A Preferred Shares will be final. A “London banking day” is any day on which commercial banks are open for dealings in deposits in U.S. dollars in the London interbank market.</w:t>
      </w:r>
    </w:p>
    <w:p>
      <w:pPr>
        <w:spacing w:after="0" w:line="176"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 xml:space="preserve">As used in this description of Series A Preferred Shares, the term “Three-Month LIBOR” means the London interbank offered rate for deposits in U.S. dollars for a three month period (the “three-month LIBOR rate”), as that rate is displayed on Bloomberg on page BBAM1 (or any successor or replacement page) at approximately 11:00 a.m., London time, on the relevant distribution determination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76" w:lineRule="exact"/>
        <w:rPr>
          <w:sz w:val="20"/>
          <w:szCs w:val="20"/>
          <w:color w:val="auto"/>
        </w:rPr>
      </w:pPr>
    </w:p>
    <w:p>
      <w:pPr>
        <w:jc w:val="both"/>
        <w:ind w:left="1020" w:hanging="328"/>
        <w:spacing w:after="0" w:line="211" w:lineRule="auto"/>
        <w:tabs>
          <w:tab w:leader="none" w:pos="101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no offered rate is displayed on Bloomberg on page BBAM1 (or any successor or replacement page) on the relevant distribution determination date at approximately 11:00 a.m., London time, then the calculation agent, in consultation with us, will select four major banks in the London interbank market and will request each of their principal London offices to provide a quotation of the rate at which three-month deposits in U.S. dollars in amounts of at least $1,000,000 are offered by it to prime banks in the London interbank market, on that date and at that time. If at least two quotations are provided, Three-Month LIBOR will be the arithmetic average (rounded upward if necessary to the nearest 0.00001 of 1%) of the quotations provided.</w:t>
      </w:r>
    </w:p>
    <w:p>
      <w:pPr>
        <w:spacing w:after="0" w:line="4" w:lineRule="exact"/>
        <w:rPr>
          <w:rFonts w:ascii="Arial" w:cs="Arial" w:eastAsia="Arial" w:hAnsi="Arial"/>
          <w:sz w:val="18"/>
          <w:szCs w:val="18"/>
          <w:color w:val="auto"/>
        </w:rPr>
      </w:pPr>
    </w:p>
    <w:p>
      <w:pPr>
        <w:jc w:val="both"/>
        <w:ind w:left="1020" w:hanging="328"/>
        <w:spacing w:after="0" w:line="206" w:lineRule="auto"/>
        <w:tabs>
          <w:tab w:leader="none" w:pos="10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Otherwise, the calculation agent in consultation with us will select three major banks in New York City and will request each of them to provide a quotation of the rate offered by it at approximately 11:00 a.m., New York City time, on the distribution determination date for loans in U.S. dollars to leading European banks for a three month period for the applicable Distribution Period in an amount of at least $1,000,000. If three quotations are provided, Three-Month LIBOR will be the arithmetic average (rounded upward if necessary to the nearest 0.00001 of 1%) of the quotations provided.</w:t>
      </w:r>
    </w:p>
    <w:p>
      <w:pPr>
        <w:spacing w:after="0" w:line="2" w:lineRule="exact"/>
        <w:rPr>
          <w:rFonts w:ascii="Arial" w:cs="Arial" w:eastAsia="Arial" w:hAnsi="Arial"/>
          <w:sz w:val="18"/>
          <w:szCs w:val="18"/>
          <w:color w:val="auto"/>
        </w:rPr>
      </w:pPr>
    </w:p>
    <w:p>
      <w:pPr>
        <w:jc w:val="both"/>
        <w:ind w:left="1020" w:hanging="328"/>
        <w:spacing w:after="0" w:line="218"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Otherwise, Three-Month LIBOR for the next Distribution Period will be equal to Three-Month LIBOR in effect for the then-current Distribution Period or, in the case of the first Distribution Period in the Series A Floating Rate Period, the most recent three-month LIBOR rate on which Three-Month LIBOR could have been determined in accordance with the first sentence of this paragraph had the distribution rate been a floating rate during the Series A Fixed Rate Period.</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event that Three-Month LIBOR is less than zero, Three-Month LIBOR shall be deemed to be zero.</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the foregoing clauses (i), (ii) and (iii):</w:t>
      </w:r>
    </w:p>
    <w:p>
      <w:pPr>
        <w:spacing w:after="0" w:line="185" w:lineRule="exact"/>
        <w:rPr>
          <w:sz w:val="20"/>
          <w:szCs w:val="20"/>
          <w:color w:val="auto"/>
        </w:rPr>
      </w:pPr>
    </w:p>
    <w:p>
      <w:pPr>
        <w:ind w:left="1380" w:right="220" w:hanging="328"/>
        <w:spacing w:after="0" w:line="241" w:lineRule="auto"/>
        <w:tabs>
          <w:tab w:leader="none" w:pos="1377"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calculation agent determines on the relevant distribution determination date that LIBOR has been discontinued or is no longer viewed as an acceptable benchmark for securities like the Series A Preferred Shares (a “Series A LIBOR Event”), then the calculation agent will use a substitute or successor base rate that it has determined, in consultation with us, is the most comparable to</w:t>
      </w:r>
    </w:p>
    <w:p>
      <w:pPr>
        <w:spacing w:after="0" w:line="1" w:lineRule="exact"/>
        <w:rPr>
          <w:rFonts w:ascii="Arial" w:cs="Arial" w:eastAsia="Arial" w:hAnsi="Arial"/>
          <w:sz w:val="16"/>
          <w:szCs w:val="16"/>
          <w:color w:val="auto"/>
        </w:rPr>
      </w:pPr>
    </w:p>
    <w:p>
      <w:pPr>
        <w:ind w:left="1380" w:right="640"/>
        <w:spacing w:after="0" w:line="226" w:lineRule="auto"/>
        <w:rPr>
          <w:rFonts w:ascii="Arial" w:cs="Arial" w:eastAsia="Arial" w:hAnsi="Arial"/>
          <w:sz w:val="16"/>
          <w:szCs w:val="16"/>
          <w:color w:val="auto"/>
        </w:rPr>
      </w:pPr>
      <w:r>
        <w:rPr>
          <w:rFonts w:ascii="Arial" w:cs="Arial" w:eastAsia="Arial" w:hAnsi="Arial"/>
          <w:sz w:val="18"/>
          <w:szCs w:val="18"/>
          <w:color w:val="auto"/>
        </w:rPr>
        <w:t xml:space="preserve">LIBOR;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calculation agent determines there is an industry-accepted substitute or successor base rate, then the calculation agent shall use such substitute or successor base rate.</w:t>
      </w:r>
    </w:p>
    <w:p>
      <w:pPr>
        <w:sectPr>
          <w:pgSz w:w="11900" w:h="16838" w:orient="portrait"/>
          <w:cols w:equalWidth="0" w:num="1">
            <w:col w:w="11240"/>
          </w:cols>
          <w:pgMar w:left="320" w:top="1408" w:right="339" w:bottom="1440" w:gutter="0" w:footer="0" w:header="0"/>
        </w:sectPr>
      </w:pPr>
    </w:p>
    <w:bookmarkStart w:id="99" w:name="page100"/>
    <w:bookmarkEnd w:id="99"/>
    <w:p>
      <w:pPr>
        <w:ind w:left="1380" w:right="140" w:hanging="328"/>
        <w:spacing w:after="0" w:line="248" w:lineRule="auto"/>
        <w:tabs>
          <w:tab w:leader="none" w:pos="1374"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calculation agent has determined a substitute or successor base rate in accordance with the foregoing, the calculation agent, in consultation with us, may determine what business day convention to use, the definition of business day, the distribution determination date to be used and any other relevant methodology for calculating such substitute or successor base rate, including any adjustment factor needed to make such substitute or successor base rate comparable to LIBOR, or any adjustment to the applicable spread thereon, in a manner that is consistent with industry-accepted practices for such substitute or successor base rate.</w:t>
      </w:r>
    </w:p>
    <w:p>
      <w:pPr>
        <w:spacing w:after="0" w:line="170"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Notwithstanding the foregoing, if the calculation agent determines in its sole discretion that there is no alternative rate that is a substitute or successor base rate for LIBOR, the calculation agent may, in its sole discretion, or if the calculation agent fails to do so, the Company may, appoint an independent financial advisor (“IFA”) to determine an appropriate alternative rate and any adjustments, and the decision of the IFA will be binding on the Company,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calculation agent and the holders of Series A Preferred Shares. If a Series A LIBOR Event has occurred, but for any reason an alternative rate has not been determined, an IFA has not determined an appropriate alternative rate and adjustments or an IFA has not been appointed, Three-Month LIBOR for the next Distribution Period to which the determination date relates shall be Three-Month LIBOR as in effect for the then-current Distribution Period; provided, that</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if this sentence is applicable with respect to the first Distribution Period in the Series A Floating Rate Period, the interest rate, business day convention and manner of calculating interest applicable during the Series A Fixed Rate Period will remain in effect during the Series A Floating Rate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Regarding Distributions</w:t>
      </w:r>
    </w:p>
    <w:p>
      <w:pPr>
        <w:spacing w:after="0" w:line="202"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While any Series A Preferred Shares remain outstanding, unless the full cumulative distributions for all past Distribution Periods on all outstanding Series A Preferred Shares have been or contemporaneously are declared and paid in full or declared and a sum sufficient for the payment of those distributions has been set aside:</w:t>
      </w:r>
    </w:p>
    <w:p>
      <w:pPr>
        <w:spacing w:after="0" w:line="176" w:lineRule="exact"/>
        <w:rPr>
          <w:sz w:val="20"/>
          <w:szCs w:val="20"/>
          <w:color w:val="auto"/>
        </w:rPr>
      </w:pPr>
    </w:p>
    <w:p>
      <w:pPr>
        <w:ind w:left="1020" w:hanging="328"/>
        <w:spacing w:after="0" w:line="212" w:lineRule="auto"/>
        <w:tabs>
          <w:tab w:leader="none" w:pos="1014"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distribution will be declared and paid or set aside for payment on any Junior Securities (as defined below) (other than a distribution payable solely in shares of Junior Securities);</w:t>
      </w:r>
    </w:p>
    <w:p>
      <w:pPr>
        <w:spacing w:after="0" w:line="1" w:lineRule="exact"/>
        <w:rPr>
          <w:rFonts w:ascii="Arial" w:cs="Arial" w:eastAsia="Arial" w:hAnsi="Arial"/>
          <w:sz w:val="18"/>
          <w:szCs w:val="18"/>
          <w:color w:val="auto"/>
        </w:rPr>
      </w:pPr>
    </w:p>
    <w:p>
      <w:pPr>
        <w:jc w:val="both"/>
        <w:ind w:left="1020" w:hanging="328"/>
        <w:spacing w:after="0" w:line="221" w:lineRule="auto"/>
        <w:tabs>
          <w:tab w:leader="none" w:pos="1014"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 contractually binding requirement to buy Junior Securities pursuant to a binding agreement existing prior to the original issue date of the Series A Preferred Shares), nor will any monies be paid to or made available for a sinking fund for the redemption of any such securities by the Company or any of its subsidiaries; and</w:t>
      </w:r>
    </w:p>
    <w:p>
      <w:pPr>
        <w:jc w:val="both"/>
        <w:ind w:left="1020" w:hanging="328"/>
        <w:spacing w:after="0" w:line="218" w:lineRule="auto"/>
        <w:tabs>
          <w:tab w:leader="none" w:pos="1014"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shares of Parity Securities will be repurchased, redeemed or otherwise acquired for consideration by the Company or any of its subsidiaries (other than pursuant to pro rata offers to purchase or exchange all, or a pro rata portion of Series A Preferred Shares and such Parity Securities or as a result of a reclassification of Parity Securities for or into other Parity Securities, or by conversion into or exchange for other Parity Securities or Junior Securities).</w:t>
      </w:r>
    </w:p>
    <w:p>
      <w:pPr>
        <w:spacing w:after="0" w:line="177"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 subsidiaries and (ii) any distribution in connection with the implementation of a shareholder rights plan or the redemption or repurchase of any rights under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a plan, including with respect to any successor shareholder rights plan.</w:t>
      </w:r>
    </w:p>
    <w:p>
      <w:pPr>
        <w:spacing w:after="0" w:line="169"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Accumulated distributions in arrears for any past Distribution Period may be declared by the board of directors and paid on any date fixed by the board of directors, whether or not a Distribution Payment Date, to holders of the Series A Preferred Shares on the record date for such payment, which may not be less than 10 days before such distribution. To the extent a distribution period applicable to a class of Junior Securities or Parity Securities is shorter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than the Distribution Period applicable to the Series A Preferred Shares (e.g., monthly rather than quarterly), the board of directors may declare and pay regular distributions with respect to such Junior Securities or Parity Securities so long as, at the time of declaration of such distribution, the board of directors expects to have sufficient funds to pay the full cumulative distributions in respect of the Series A Preferred Shares on the next Distribution</w:t>
      </w:r>
    </w:p>
    <w:p>
      <w:pPr>
        <w:spacing w:after="0"/>
        <w:rPr>
          <w:sz w:val="20"/>
          <w:szCs w:val="20"/>
          <w:color w:val="auto"/>
        </w:rPr>
      </w:pPr>
      <w:r>
        <w:rPr>
          <w:rFonts w:ascii="Arial" w:cs="Arial" w:eastAsia="Arial" w:hAnsi="Arial"/>
          <w:sz w:val="18"/>
          <w:szCs w:val="18"/>
          <w:color w:val="auto"/>
        </w:rPr>
        <w:t>Payment Date.</w:t>
      </w:r>
    </w:p>
    <w:p>
      <w:pPr>
        <w:spacing w:after="0" w:line="16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Subject to the next succeeding sentence, if all accumulated distributions in arrears on all outstanding Series A Preferred Shares and any Parity Securities have not been declared and paid, or sufficient funds for the payment thereof have not been set apart, payment of accumulated distributions in</w:t>
      </w:r>
    </w:p>
    <w:p>
      <w:pPr>
        <w:jc w:val="both"/>
        <w:ind w:right="20"/>
        <w:spacing w:after="0" w:line="226" w:lineRule="auto"/>
        <w:rPr>
          <w:sz w:val="20"/>
          <w:szCs w:val="20"/>
          <w:color w:val="auto"/>
        </w:rPr>
      </w:pPr>
      <w:r>
        <w:rPr>
          <w:rFonts w:ascii="Arial" w:cs="Arial" w:eastAsia="Arial" w:hAnsi="Arial"/>
          <w:sz w:val="18"/>
          <w:szCs w:val="18"/>
          <w:color w:val="auto"/>
        </w:rPr>
        <w:t>arrears will be made in order of their respective distribution payment dates, commencing with the earliest distribution payment date. If less than all distributions payable with respect to all Series A Preferred Shares and any Parity Securities are paid, any partial</w:t>
      </w:r>
    </w:p>
    <w:p>
      <w:pPr>
        <w:sectPr>
          <w:pgSz w:w="11900" w:h="16838" w:orient="portrait"/>
          <w:cols w:equalWidth="0" w:num="1">
            <w:col w:w="11240"/>
          </w:cols>
          <w:pgMar w:left="320" w:top="1408" w:right="339" w:bottom="1440" w:gutter="0" w:footer="0" w:header="0"/>
        </w:sectPr>
      </w:pPr>
    </w:p>
    <w:bookmarkStart w:id="100" w:name="page101"/>
    <w:bookmarkEnd w:id="100"/>
    <w:p>
      <w:pPr>
        <w:jc w:val="both"/>
        <w:spacing w:after="0" w:line="258" w:lineRule="auto"/>
        <w:rPr>
          <w:sz w:val="20"/>
          <w:szCs w:val="20"/>
          <w:color w:val="auto"/>
        </w:rPr>
      </w:pPr>
      <w:r>
        <w:rPr>
          <w:rFonts w:ascii="Arial" w:cs="Arial" w:eastAsia="Arial" w:hAnsi="Arial"/>
          <w:sz w:val="17"/>
          <w:szCs w:val="17"/>
          <w:color w:val="auto"/>
        </w:rPr>
        <w:t>payment will be made pro rata with respect to the Series A Preferred Shares and any Parity Securities entitled to a distribution payment at such time in proportion to the aggregate amounts remaining due in respect of such Series A Preferred Shares and Parity Securities at such time.</w:t>
      </w:r>
    </w:p>
    <w:p>
      <w:pPr>
        <w:spacing w:after="0" w:line="160"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As used in this description of Series A Preferred Shares, (i) “Junior Securities” means our ordinary shares and any other class or series of our share capital over which the Series A Preferred Shares has preference or priority in the payment of distributions or in the distribution of assets on our liquidation, dissolution or winding up, (ii) “Parity Securities” means any other class or series of our share capital that ranks equally with the Series A Preferred Shares</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the payment of distributions and in the distribution of assets on our liquidation, dissolution or winding up (including our Series B Preferred Shares and Series C Preferred Shares) and (iii) “Senior Securities” means any other class or series of our share capital that has preference or priority over the Series A Preferred Shares in the payment of distributions or in the distribution of assets on our liquidation, dissolution or winding up.</w:t>
      </w:r>
    </w:p>
    <w:p>
      <w:pPr>
        <w:spacing w:after="0" w:line="176"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Subject to the conditions described above, and not otherwise, distributions (payable in cash, shares, or otherwise), as may be determined by our board of directors, may be declared and paid on our ordinary shares and any Junior Securities from time to time out of any funds legally available for such payment, and the holders of the Series A Preferred Shares will not be entitled to participate in those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8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Upon our voluntary or involuntary liquidation, dissolution or winding up (“Liquidation”), the holders of the outstanding Series A Preferred Shares are entitled to be paid out of our assets legally available for distribution to our shareholders, before any distribution of assets is made to holders of ordinary</w:t>
      </w:r>
    </w:p>
    <w:p>
      <w:pPr>
        <w:jc w:val="both"/>
        <w:spacing w:after="0" w:line="234" w:lineRule="auto"/>
        <w:rPr>
          <w:sz w:val="20"/>
          <w:szCs w:val="20"/>
          <w:color w:val="auto"/>
        </w:rPr>
      </w:pPr>
      <w:r>
        <w:rPr>
          <w:rFonts w:ascii="Arial" w:cs="Arial" w:eastAsia="Arial" w:hAnsi="Arial"/>
          <w:sz w:val="16"/>
          <w:szCs w:val="16"/>
          <w:color w:val="auto"/>
        </w:rPr>
        <w:t>shares or any other Junior Securities, a liquidating distribution in the amount of a liquidation preference of $25.00 per share, plus an amount equal to accumulated and unpaid distributions thereon, if any, to, but excluding, the date of such liquidation distribution, whether or not declared, plus the sum of any declared and unpaid distributions for Distribution Periods prior to the Distribution Period in which the liquidation distribution is made and any declared</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unpaid distributions for the then current Distribution Period in which the liquidation distribution is made to the date of such liquidation distribution. After payment of the full amount of the liquidating distributions to which they are entitled, the holders of Series A Preferred Shares will have no right or claim to any of our remaining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Preemptive Rights</w:t>
      </w:r>
    </w:p>
    <w:p>
      <w:pPr>
        <w:spacing w:after="0" w:line="81"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7"/>
          <w:szCs w:val="17"/>
          <w:color w:val="auto"/>
        </w:rPr>
        <w:t>The Series A Preferred Shares are not entitled to any preemptive rights or other rights to purchase or subscribe for our ordinary shares or any other security, and are not convertible into or exchangeable for our ordinary shares or any other security or property at the option of the holder.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A Preferred Shares are not subject to any mandatory redemption, sinking fund or other similar provisions.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Series A Preferred Shares do not have the right to require the redemption or repurchase of the Series A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on or after September 15, 2024</w:t>
      </w:r>
    </w:p>
    <w:p>
      <w:pPr>
        <w:spacing w:after="0" w:line="18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We may redeem the Series A Preferred Shares, in whole or in part, at our option, at any time or from time to time on or after September 15, 2024 (“Series A Optional Redemption”), at the redemption price equal to $25.00 per Series A Preferred Share, plus an amount equal to all accumulated and</w:t>
      </w:r>
    </w:p>
    <w:p>
      <w:pPr>
        <w:jc w:val="both"/>
        <w:spacing w:after="0" w:line="218" w:lineRule="auto"/>
        <w:rPr>
          <w:sz w:val="20"/>
          <w:szCs w:val="20"/>
          <w:color w:val="auto"/>
        </w:rPr>
      </w:pPr>
      <w:r>
        <w:rPr>
          <w:rFonts w:ascii="Arial" w:cs="Arial" w:eastAsia="Arial" w:hAnsi="Arial"/>
          <w:sz w:val="18"/>
          <w:szCs w:val="18"/>
          <w:color w:val="auto"/>
        </w:rPr>
        <w:t>unpaid distributions thereon, if any, to, but excluding, the date of redemption, whether or not declared. We may undertake multiple Series A Optional Redemptions. Any such redemption would be effected only out of funds legally available for such purpose and would be subject to compliance with the provisions of the instruments governing our outstanding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Rating Event</w:t>
      </w:r>
    </w:p>
    <w:p>
      <w:pPr>
        <w:spacing w:after="0" w:line="185"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At any time within 120 days after the conclusion of any review or appeal process instituted by us following the occurrence of a Series A Rating Event (as defined below), we may, at our option, redeem the Series A Preferred Shares in whole, but not in part, prior to September 15, 2024, at a redemption price per Series A Preferred Share equal to $25.50 (102% of the liquidation preference of $25.00), plus an amount equal to all accumulated and unpaid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thereon to, but excluding, the date of redemption, whether or not declared. Any such redemption would</w:t>
      </w:r>
    </w:p>
    <w:p>
      <w:pPr>
        <w:sectPr>
          <w:pgSz w:w="11900" w:h="16838" w:orient="portrait"/>
          <w:cols w:equalWidth="0" w:num="1">
            <w:col w:w="11240"/>
          </w:cols>
          <w:pgMar w:left="320" w:top="1408" w:right="339" w:bottom="1440" w:gutter="0" w:footer="0" w:header="0"/>
        </w:sectPr>
      </w:pPr>
    </w:p>
    <w:bookmarkStart w:id="101" w:name="page102"/>
    <w:bookmarkEnd w:id="101"/>
    <w:p>
      <w:pPr>
        <w:spacing w:after="0" w:line="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be effected only out of funds legally available for such purpose and would be subject to compliance with the provisions of the instruments governing our outstanding indebtedness.</w:t>
      </w:r>
    </w:p>
    <w:p>
      <w:pPr>
        <w:spacing w:after="0" w:line="175"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“Series A Rating Event” means a change by any rating agency to the criteria employed by such rating agency as of September 12, 2019 for purposes of assigning ratings to securities with features similar to the Series A Preferred Shares, which change results in (i) any shortening of the length of time for which the criteria in effect as of September 12, 2019 are scheduled to be in effect with respect to the Series A Preferred Shares, or (ii) a lower equity credit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being given to the Series A Preferred Shares than the equity credit that would have been assigned to the Series A Preferred Shares by such rating agency pursuant to the criteria in effect as of September 12,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Change of Control</w:t>
      </w:r>
    </w:p>
    <w:p>
      <w:pPr>
        <w:spacing w:after="0" w:line="198"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If a Change of Control (as defined in the Series A Share Designation) occurs, we may, at our option, redeem the Series A Preferred Shares, in whole but not in part, prior to September 15, 2024 and within 60 days after the occurrence of such Change of Control, at a price of $25.25 per Series A Preferred Share, plus an amount equal to all accumulated and unpaid distributions thereon, if any, to, but excluding, the date of redemption, whether or not declared.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such redemption would be effected only out of funds legally available for such purpose and would be subject to compliance with the provisions of the instruments governing our outstanding indebtedness.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(i) a Change of Control occurs (whether before, on or after September 15, 2024) and (ii) we do not give notice prior to the 31st day following the</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Change of Control to redeem all the outstanding Series A Preferred Shares, the distribution rate per annum on the Series A Preferred Shares will increase by 5.00%, beginning on the 31st day following such Change of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Tax Redemption Event</w:t>
      </w:r>
    </w:p>
    <w:p>
      <w:pPr>
        <w:spacing w:after="0" w:line="198"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If a Series A Tax Redemption Event (as defined in the Series A Share Designation) occurs, we may, at our option, redeem the Series A Preferred Shares, in whole but not in part, prior to September 15, 2024 and within 60 days after the occurrence of such Series A Tax Redemption Event, at a price of $25.25 per Series A Preferred Share, plus an amount equal to all accumulated and unpaid distributions thereon, if any, to, but excluding, the date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redemption, whether or not declared. Any such redemption would be effected only out of funds legally available for such purpose and would be subject to compliance with the provisions of the instruments governing our outstanding indebtedness.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Voting Rights</w:t>
      </w:r>
    </w:p>
    <w:p>
      <w:pPr>
        <w:spacing w:after="0" w:line="202"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Owners of Series A Preferred Shares do not have any voting rights, except as set forth below or as otherwise required by applicable law. To the extent that owners of Series A Preferred Shares are entitled to vote, each holder of Series A Preferred Shares will have one vote per share, except that when shares of any class or series of Parity Securities have the right to vote with the Series A Preferred Shares as a single class on any matter, the Series A Preferred</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Shares and the shares of each such Parity Securities will have one vote for each $25.00 of liquidation preference (for the avoidance of doubt, excluding accumulated distributions).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Whenever dividends on any shares of the Series A Preferred Shares are in arrears for six or more quarterly Distribution Periods, whether or not</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consecutive, the upper limit of the number of directors then constituting our board of directors will be automatically increased by two (if not already increased by two by reason of the election of directors by the holders of any Other Voting Preferred Shares (as defined below) and the holders of Series A Preferred Shares, voting together as a single class). The holders of the Series A Preferred Shares, voting together as a single class with the holders of any</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series of Parity Securities then outstanding upon which like voting rights have been conferred and are exercisable (any such series, the “Other Voting Preferred Shares”), will be entitled to vote, by the affirmative vote of a majority of the votes entitled to be cast, for the appointment of two additional directors at a special meeting of the holders of the Series A Preferred Shares and such Other Voting Preferred Shares and at each subsequent annual meeting of the holders of our ordinary shares at which such directors are up for re-appointment; provided that when all distributions accumulated on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Series A Preferred Shares for all past Distribution Periods and the then current Distribution Period shall have been fully paid, the right of holders of the Series A Preferred Shares to appoint any directors will cease and, unless there are any Other Voting Preferred Shares entitled to vote for the election of directors, the term of office of those two directors will forthwith terminate, the office of any directors appointed by holders of the Series A Preferred Shares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shall automatically be vacated and the upper limit of the number of directors constituting the board of directors shall be automatically reduced by two. However, the right of the holders of the Series A Preferred Shares and any Other Voting Preferred Shares to appoint two additional directors will again vest if and whenever six additional quarterly distributions have not been declared and paid, as described above. In no event shall the holders of the Series A</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Preferred Shares be entitled pursuant to these voting rights to elect a director that would cause us to fail to satisfy a requirement relating to director</w:t>
      </w:r>
    </w:p>
    <w:p>
      <w:pPr>
        <w:sectPr>
          <w:pgSz w:w="11900" w:h="16838" w:orient="portrait"/>
          <w:cols w:equalWidth="0" w:num="1">
            <w:col w:w="11240"/>
          </w:cols>
          <w:pgMar w:left="320" w:top="1440" w:right="339" w:bottom="1440" w:gutter="0" w:footer="0" w:header="0"/>
        </w:sectPr>
      </w:pPr>
    </w:p>
    <w:bookmarkStart w:id="102" w:name="page103"/>
    <w:bookmarkEnd w:id="102"/>
    <w:p>
      <w:pPr>
        <w:jc w:val="both"/>
        <w:spacing w:after="0" w:line="248" w:lineRule="auto"/>
        <w:rPr>
          <w:sz w:val="20"/>
          <w:szCs w:val="20"/>
          <w:color w:val="auto"/>
        </w:rPr>
      </w:pPr>
      <w:r>
        <w:rPr>
          <w:rFonts w:ascii="Arial" w:cs="Arial" w:eastAsia="Arial" w:hAnsi="Arial"/>
          <w:sz w:val="16"/>
          <w:szCs w:val="16"/>
          <w:color w:val="auto"/>
        </w:rPr>
        <w:t>independence of any national securities exchange or quotation system on which any class or series of our share capital is listed or quoted. For the avoidance of doubt, in no event shall the total number of directors elected by holders of the Series A Preferred Shares and any Other Voting Preferred Shares exceed</w:t>
      </w:r>
    </w:p>
    <w:p>
      <w:pPr>
        <w:spacing w:after="0"/>
        <w:rPr>
          <w:sz w:val="20"/>
          <w:szCs w:val="20"/>
          <w:color w:val="auto"/>
        </w:rPr>
      </w:pPr>
      <w:r>
        <w:rPr>
          <w:rFonts w:ascii="Arial" w:cs="Arial" w:eastAsia="Arial" w:hAnsi="Arial"/>
          <w:sz w:val="18"/>
          <w:szCs w:val="18"/>
          <w:color w:val="auto"/>
        </w:rPr>
        <w:t>two.</w:t>
      </w:r>
    </w:p>
    <w:p>
      <w:pPr>
        <w:spacing w:after="0" w:line="16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While any Series A Preferred Shares remain outstanding, the following actions will be deemed a variation of the rights of the Series A Preferred Shares and all Other Voting Preferred Shares, acting as a single class, (i) authorize, create or issue any Senior Securities or reclassify any authorized share</w:t>
      </w:r>
    </w:p>
    <w:p>
      <w:pPr>
        <w:jc w:val="both"/>
        <w:spacing w:after="0" w:line="234" w:lineRule="auto"/>
        <w:rPr>
          <w:sz w:val="20"/>
          <w:szCs w:val="20"/>
          <w:color w:val="auto"/>
        </w:rPr>
      </w:pPr>
      <w:r>
        <w:rPr>
          <w:rFonts w:ascii="Arial" w:cs="Arial" w:eastAsia="Arial" w:hAnsi="Arial"/>
          <w:sz w:val="16"/>
          <w:szCs w:val="16"/>
          <w:color w:val="auto"/>
        </w:rPr>
        <w:t>capital into any Senior Securities or issue any obligation or security convertible into or evidencing the right to purchase any Senior Securities or (ii) amend, alter or repeal any provision of the Articles, including by merger, consolidation or otherwise, so as to adversely affect the powers, preferences or special rights of the Series A Preferred Shares, and shall in each case of clause (i) and (ii) require the approval of the holders of at least 66 2/3% in voting power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Series A Preferred Shares and all Other Voting Preferred Shares; provided that in the case of the foregoing clause (ii), if such amendment affects materially and adversely the rights, designations, preferences, powers and duties of one or more but not all of the Other Voting Preferred Shares (including the Series A Preferred Shares for this purpose), the holders of the outstanding shares of the classes or series so affected, voting as a class, is required in lieu</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(or, if such consent is required by law, in addition to) the consent of the holders of 66 2/3% of the Other Voting Preferred Shares (including the Series A Preferred Shares for this purpose) as a class. However, we may create additional series or classes of Parity Securities and Junior Securities and issue additional classes or series of Parity Securities and Junior Securities without notice to or the consent of any holder of the Series A Preferred</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Parity Securities, the full cumulative distributions for all past Distribution Periods on all outstanding Series A Preferred Shares shall have been or contemporaneously are declared and paid in full or declared and a sum sufficient for the payment of those distributions has been set aside.</w:t>
      </w:r>
    </w:p>
    <w:p>
      <w:pPr>
        <w:spacing w:after="0" w:line="176"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Notwithstanding the foregoing, none of the following will be deemed to affect the powers, preferences or special rights of the Series A Preferred Shares:</w:t>
      </w:r>
    </w:p>
    <w:p>
      <w:pPr>
        <w:spacing w:after="0" w:line="162" w:lineRule="exact"/>
        <w:rPr>
          <w:sz w:val="20"/>
          <w:szCs w:val="20"/>
          <w:color w:val="auto"/>
        </w:rPr>
      </w:pPr>
    </w:p>
    <w:p>
      <w:pPr>
        <w:jc w:val="both"/>
        <w:ind w:left="1020" w:hanging="328"/>
        <w:spacing w:after="0" w:line="215" w:lineRule="auto"/>
        <w:tabs>
          <w:tab w:leader="none" w:pos="10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increase in the amount of authorized ordinary shares or authorized preferred shares, or any increase or decrease in the number of shares of any series of preferred shares, or the authorization, creation and issuance of other classes or series of share capital, in each case ranking on parity with or junior to the Series A Preferred Shares as to distributions or distribution of assets upon our liquidation, dissolution or winding up;</w:t>
      </w:r>
    </w:p>
    <w:p>
      <w:pPr>
        <w:spacing w:after="0" w:line="3" w:lineRule="exact"/>
        <w:rPr>
          <w:rFonts w:ascii="Arial" w:cs="Arial" w:eastAsia="Arial" w:hAnsi="Arial"/>
          <w:sz w:val="18"/>
          <w:szCs w:val="18"/>
          <w:color w:val="auto"/>
        </w:rPr>
      </w:pPr>
    </w:p>
    <w:p>
      <w:pPr>
        <w:ind w:left="1020" w:right="20" w:hanging="328"/>
        <w:spacing w:after="0" w:line="203" w:lineRule="auto"/>
        <w:tabs>
          <w:tab w:leader="none" w:pos="10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A Preferred Shares remain outstanding with identical terms as existing immediately prior to such merger or consolidation; and</w:t>
      </w:r>
    </w:p>
    <w:p>
      <w:pPr>
        <w:jc w:val="both"/>
        <w:ind w:left="1020" w:hanging="328"/>
        <w:spacing w:after="0" w:line="236" w:lineRule="auto"/>
        <w:tabs>
          <w:tab w:leader="none" w:pos="10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merger or consolidation of us with or into another entity in which the Series A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A Preferred Shares.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foregoing voting rights of the holders of Series A Preferred Shares shall not apply if, at or prior to the time when the act with respect to which the</w:t>
      </w:r>
    </w:p>
    <w:p>
      <w:pPr>
        <w:spacing w:after="0" w:line="21"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vote would otherwise be required shall be effected, all outstanding Series A Preferred Shares shall have been redeemed or called for redemption upon proper notice and we shall have set aside sufficient funds for the benefit of holders of Series A Preferred Shares to effect the redemption.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202"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6"/>
          <w:szCs w:val="16"/>
          <w:color w:val="auto"/>
        </w:rPr>
        <w:t>The Articles provide for submission to the exclusive jurisdiction of the courts of the Cayman Islands in connection with any claim or dispute arising out of or in connection with the constitutional documents of the Company or otherwise related in any way to each Company shareholder’s shareholding in the Company, other than any action or suits brought to enforce any liability or duty created by the Securities Act of 1933, as amended (the “Securities Act”), the Exchange Act, or any claim for which the federal district courts of the United States of America are, as a matter of the laws of the United States,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sole and exclusive forum for determination of such a claim.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B Preferred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Articles authorize the Company to issue up to 200,000,000 preferred shares in one or more series, and the Company’s board of directors is authorized to fix the number of shares of each series and determine the rights, designations, preferences, powers and duties of any such series. The “8.00% Fixed-to-Floating Rate Series B Cumulative Perpetual Redeemable Preferred Shares” are designated as one series of our authorized preferred shares, consisting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4,940,000 Series B Preferred Shares.</w:t>
      </w:r>
    </w:p>
    <w:p>
      <w:pPr>
        <w:sectPr>
          <w:pgSz w:w="11900" w:h="16838" w:orient="portrait"/>
          <w:cols w:equalWidth="0" w:num="1">
            <w:col w:w="11240"/>
          </w:cols>
          <w:pgMar w:left="320" w:top="1408" w:right="339" w:bottom="1440" w:gutter="0" w:footer="0" w:header="0"/>
        </w:sectPr>
      </w:pPr>
    </w:p>
    <w:bookmarkStart w:id="103" w:name="page104"/>
    <w:bookmarkEnd w:id="103"/>
    <w:p>
      <w:pPr>
        <w:jc w:val="both"/>
        <w:ind w:firstLine="360"/>
        <w:spacing w:after="0" w:line="248" w:lineRule="auto"/>
        <w:rPr>
          <w:sz w:val="20"/>
          <w:szCs w:val="20"/>
          <w:color w:val="auto"/>
        </w:rPr>
      </w:pPr>
      <w:r>
        <w:rPr>
          <w:rFonts w:ascii="Arial" w:cs="Arial" w:eastAsia="Arial" w:hAnsi="Arial"/>
          <w:sz w:val="16"/>
          <w:szCs w:val="16"/>
          <w:color w:val="auto"/>
        </w:rPr>
        <w:t>The Series B Preferred Shares represent perpetual equity interests in us and, unlike our indebtedness, do not give rise to a claim for payment of a principal amount at a particular date. As such, the Series B Preferred Shares rank junior to all of our current and future indebtedness and other liabilities</w:t>
      </w:r>
    </w:p>
    <w:p>
      <w:pPr>
        <w:jc w:val="both"/>
        <w:spacing w:after="0" w:line="234" w:lineRule="auto"/>
        <w:rPr>
          <w:sz w:val="20"/>
          <w:szCs w:val="20"/>
          <w:color w:val="auto"/>
        </w:rPr>
      </w:pPr>
      <w:r>
        <w:rPr>
          <w:rFonts w:ascii="Arial" w:cs="Arial" w:eastAsia="Arial" w:hAnsi="Arial"/>
          <w:sz w:val="16"/>
          <w:szCs w:val="16"/>
          <w:color w:val="auto"/>
        </w:rPr>
        <w:t xml:space="preserve">with respect to assets available to satisfy claims against us. The Series B Preferred Shares have a fixed liquidation preference of $25.00 per Series B Preferred Share, plus an amount equal to accumulated and unpaid distributions thereon, if any, to, but excluding, the date of payment, whether or not declared;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rights of the holders of Series B Preferred Shares to receive the liquidation preference will be subject to the proportional rights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holders of Parity Securities (as defined below) and to the other matters described under “—</w:t>
      </w:r>
      <w:r>
        <w:rPr>
          <w:rFonts w:ascii="Arial" w:cs="Arial" w:eastAsia="Arial" w:hAnsi="Arial"/>
          <w:sz w:val="18"/>
          <w:szCs w:val="18"/>
          <w:i w:val="1"/>
          <w:iCs w:val="1"/>
          <w:color w:val="auto"/>
        </w:rPr>
        <w:t>Liquidation Rights</w:t>
      </w:r>
      <w:r>
        <w:rPr>
          <w:rFonts w:ascii="Arial" w:cs="Arial" w:eastAsia="Arial" w:hAnsi="Arial"/>
          <w:sz w:val="18"/>
          <w:szCs w:val="18"/>
          <w:color w:val="auto"/>
        </w:rPr>
        <w: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B Preferred Shares trade on Nasdaq under the symbol “FTAIO”.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02"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 xml:space="preserve">With respect to the payment of distributions and rights (including redemption rights) upon our liquidation, dissolution or winding up, the Series B Preferred Shares rank (i) senior and prior to our ordinary shares and any class or series of preferred shares that by its terms is designated as ranking junior to the Series B Preferred Shares, (ii)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class or series of preferred shares that by its terms is designated as ranking equal to the Series B</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Preferred Shares or does not state it is junior or senior to the Series B Preferred Shares (including our Series A Preferred Shares and Series C Preferred Shares), (iii) junior to any class or series of preferred shares that is expressly designated as ranking senior to the Series B Preferred Shares (subject to receipt of any requisite consents prior to issuance) and (iv) effectively junior to all of our existing and future indebtedness (including indebtedness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convertible into our ordinary shares or preferred shares) and other liabilities and to all liabilities and any preferred equity of our existing subsidiaries and any future subsidiaries.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Series B Preferred Shares are not convertible into, or exchangeable for, shares of any other class or series of our share capital or other securities</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are not subject to any sinking fund or other obligation to redeem or repurchase the Series B Preferred Shares. The Series B Preferred Shares are not secured, are not guaranteed by us or any of our affiliates and are not subject to any other arrangement that legally or economically enhances the ranking of the Series B Preferred Shares.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8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Holders of the Series B Preferred Shares are entitled to receive, only when, as, and if declared by our board of directors, out of funds legally available for such purpose, cumulative cash distributions based on the stated liquidation preference of $25.00 per Series B Preferred Share at a rate equal to (i) from,</w:t>
      </w:r>
    </w:p>
    <w:p>
      <w:pPr>
        <w:jc w:val="both"/>
        <w:spacing w:after="0" w:line="234" w:lineRule="auto"/>
        <w:rPr>
          <w:sz w:val="20"/>
          <w:szCs w:val="20"/>
          <w:color w:val="auto"/>
        </w:rPr>
      </w:pPr>
      <w:r>
        <w:rPr>
          <w:rFonts w:ascii="Arial" w:cs="Arial" w:eastAsia="Arial" w:hAnsi="Arial"/>
          <w:sz w:val="16"/>
          <w:szCs w:val="16"/>
          <w:color w:val="auto"/>
        </w:rPr>
        <w:t>and including, the original issue date of the Series B Preferred Shares, being the date of the completion of the merger, to, but excluding, December 15, 2024 (the “Series B Fixed Rate Period”), 8.00% per annum, and (ii) beginning December 15, 2024 (the “Series B Floating Rate Period”), Three-Month LIBOR (as defined below) plus a spread of 644.7 basis points per annum. A “Distribution Period” means the period from, and including, each Distribution Payment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Date to, but excluding, the next succeeding Distribution Payment Date, except for the initial Distribution Period, which is the period from, and including, the original issue date of the Series B Preferred Shares, being the date of the completion of the merger, to, but excluding, the next succeeding Distribution Payment Date.</w:t>
      </w:r>
    </w:p>
    <w:p>
      <w:pPr>
        <w:spacing w:after="0" w:line="176"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When, as, and if declared by our board of directors, we pay cash distributions on the Series B Preferred Shares quarterly, in arrears, on each Distribution Payment Date, which payments began on December 15, 2022. We pay cash distributions to the holders of record of Series B Preferred Shares as they appear on our share register on the applicable record date, which for any Distribution Payment Date shall be the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calendar day of the month of such</w:t>
      </w:r>
    </w:p>
    <w:p>
      <w:pPr>
        <w:jc w:val="both"/>
        <w:spacing w:after="0" w:line="226" w:lineRule="auto"/>
        <w:rPr>
          <w:sz w:val="20"/>
          <w:szCs w:val="20"/>
          <w:color w:val="auto"/>
        </w:rPr>
      </w:pPr>
      <w:r>
        <w:rPr>
          <w:rFonts w:ascii="Arial" w:cs="Arial" w:eastAsia="Arial" w:hAnsi="Arial"/>
          <w:sz w:val="18"/>
          <w:szCs w:val="18"/>
          <w:color w:val="auto"/>
        </w:rPr>
        <w:t>Distribution Payment Date or such other record date fixed by our board of directors as the record date for such Distribution Payment Date that is not more than 60 nor less than 10 days prior to such Distribution Payment Date.</w:t>
      </w:r>
    </w:p>
    <w:p>
      <w:pPr>
        <w:spacing w:after="0" w:line="161"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Distributions on the Series B Preferred Shares are not mandatory. However, distributions on the Series B Preferred Shares accrue from and including, the most recent Distribution Payment Date on which all accrued distributions have been paid, whether or not we have earnings, whether or not there are</w:t>
      </w:r>
    </w:p>
    <w:p>
      <w:pPr>
        <w:jc w:val="both"/>
        <w:spacing w:after="0" w:line="248" w:lineRule="auto"/>
        <w:rPr>
          <w:sz w:val="20"/>
          <w:szCs w:val="20"/>
          <w:color w:val="auto"/>
        </w:rPr>
      </w:pPr>
      <w:r>
        <w:rPr>
          <w:rFonts w:ascii="Arial" w:cs="Arial" w:eastAsia="Arial" w:hAnsi="Arial"/>
          <w:sz w:val="16"/>
          <w:szCs w:val="16"/>
          <w:color w:val="auto"/>
        </w:rPr>
        <w:t>funds legally available for the payment of those distributions and whether or not those distributions are declared. No interest, or sum in lieu of interest, is payable in respect of any distribution payment or payments on the Series B Preferred Shares which may be in arrears, and holders of the Series B Preferred Shares are not entitled to any distribution, whether payable in cash, property, or shares, in excess of full cumulative distributions described above.</w:t>
      </w:r>
    </w:p>
    <w:p>
      <w:pPr>
        <w:spacing w:after="0" w:line="170"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If in the future we issue additional shares of the Series B Preferred Shares, distributions on those additional shares will accrue from the most recent Distribution Payment Date at the then-applicable distribution rate.</w:t>
      </w:r>
    </w:p>
    <w:p>
      <w:pPr>
        <w:sectPr>
          <w:pgSz w:w="11900" w:h="16838" w:orient="portrait"/>
          <w:cols w:equalWidth="0" w:num="1">
            <w:col w:w="11240"/>
          </w:cols>
          <w:pgMar w:left="320" w:top="1408" w:right="339" w:bottom="1440" w:gutter="0" w:footer="0" w:header="0"/>
        </w:sectPr>
      </w:pPr>
    </w:p>
    <w:bookmarkStart w:id="104" w:name="page105"/>
    <w:bookmarkEnd w:id="104"/>
    <w:p>
      <w:pPr>
        <w:jc w:val="both"/>
        <w:ind w:firstLine="360"/>
        <w:spacing w:after="0" w:line="248" w:lineRule="auto"/>
        <w:rPr>
          <w:sz w:val="20"/>
          <w:szCs w:val="20"/>
          <w:color w:val="auto"/>
        </w:rPr>
      </w:pPr>
      <w:r>
        <w:rPr>
          <w:rFonts w:ascii="Arial" w:cs="Arial" w:eastAsia="Arial" w:hAnsi="Arial"/>
          <w:sz w:val="16"/>
          <w:szCs w:val="16"/>
          <w:color w:val="auto"/>
        </w:rPr>
        <w:t>The distribution rate for each Distribution Period in the Series B Floating Rate Period will be determined by the calculation agent using Three-Month LIBOR as in effect on the second London banking day prior to the beginning of the Distribution Period, which date is referred to as the “distribution</w:t>
      </w:r>
    </w:p>
    <w:p>
      <w:pPr>
        <w:jc w:val="both"/>
        <w:spacing w:after="0" w:line="234" w:lineRule="auto"/>
        <w:rPr>
          <w:sz w:val="20"/>
          <w:szCs w:val="20"/>
          <w:color w:val="auto"/>
        </w:rPr>
      </w:pPr>
      <w:r>
        <w:rPr>
          <w:rFonts w:ascii="Arial" w:cs="Arial" w:eastAsia="Arial" w:hAnsi="Arial"/>
          <w:sz w:val="16"/>
          <w:szCs w:val="16"/>
          <w:color w:val="auto"/>
        </w:rPr>
        <w:t>determination date” for the relevant Distribution Period. The calculation agent then will add Three-Month LIBOR as determined on the distribution determination date and the spread of 644.7 basis points per annum, and that sum will be the distribution rate for the applicable Distribution Period. Once the distribution rate for the Series B Preferred Shares is determined, the calculation agent will deliver that information to us and the transfer agent for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Series B Preferred Shares. Absent manifest error, the calculation agent’s determination of the distribution rate for a Distribution Period for the Series B Preferred Shares will be final. A “London banking day” is any day on which commercial banks are open for dealings in deposits in U.S. dollars in the London interbank market.</w:t>
      </w:r>
    </w:p>
    <w:p>
      <w:pPr>
        <w:spacing w:after="0" w:line="176"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 xml:space="preserve">As used in this description of Series B Preferred Shares, the term “Three-Month LIBOR” means the London interbank offered rate for deposits in U.S. dollars for a three month period (the “three-month LIBOR rate”), as that rate is displayed on Bloomberg on page BBAM1 (or any successor or replacement page) at approximately 11:00 a.m., London time, on the relevant distribution determination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76" w:lineRule="exact"/>
        <w:rPr>
          <w:sz w:val="20"/>
          <w:szCs w:val="20"/>
          <w:color w:val="auto"/>
        </w:rPr>
      </w:pPr>
    </w:p>
    <w:p>
      <w:pPr>
        <w:jc w:val="both"/>
        <w:ind w:left="1020" w:hanging="328"/>
        <w:spacing w:after="0" w:line="211" w:lineRule="auto"/>
        <w:tabs>
          <w:tab w:leader="none" w:pos="101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no offered rate is displayed on Bloomberg on page BBAM1 (or any successor or replacement page) on the relevant distribution determination date at approximately 11:00 a.m., London time, then the calculation agent, in consultation with us, will select four major banks in the London interbank market and will request each of their principal London offices to provide a quotation of the rate at which three-month deposits in U.S. dollars in amounts of at least $1,000,000 are offered by it to prime banks in the London interbank market, on that date and at that time. If at least two quotations are provided, Three-Month LIBOR will be the arithmetic average (rounded upward if necessary to the nearest 0.00001 of 1%) of the quotations provided.</w:t>
      </w:r>
    </w:p>
    <w:p>
      <w:pPr>
        <w:spacing w:after="0" w:line="4" w:lineRule="exact"/>
        <w:rPr>
          <w:rFonts w:ascii="Arial" w:cs="Arial" w:eastAsia="Arial" w:hAnsi="Arial"/>
          <w:sz w:val="18"/>
          <w:szCs w:val="18"/>
          <w:color w:val="auto"/>
        </w:rPr>
      </w:pPr>
    </w:p>
    <w:p>
      <w:pPr>
        <w:jc w:val="both"/>
        <w:ind w:left="1020" w:hanging="328"/>
        <w:spacing w:after="0" w:line="206" w:lineRule="auto"/>
        <w:tabs>
          <w:tab w:leader="none" w:pos="10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Otherwise, the calculation agent in consultation with us will select three major banks in New York City and will request each of them to provide a quotation of the rate offered by it at approximately 11:00 a.m., New York City time, on the distribution determination date for loans in U.S. dollars to leading European banks for a three month period for the applicable Distribution Period in an amount of at least $1,000,000. If three quotations are provided, Three-Month LIBOR will be the arithmetic average (rounded upward if necessary to the nearest 0.00001 of 1%) of the quotations provided.</w:t>
      </w:r>
    </w:p>
    <w:p>
      <w:pPr>
        <w:spacing w:after="0" w:line="2" w:lineRule="exact"/>
        <w:rPr>
          <w:rFonts w:ascii="Arial" w:cs="Arial" w:eastAsia="Arial" w:hAnsi="Arial"/>
          <w:sz w:val="18"/>
          <w:szCs w:val="18"/>
          <w:color w:val="auto"/>
        </w:rPr>
      </w:pPr>
    </w:p>
    <w:p>
      <w:pPr>
        <w:jc w:val="both"/>
        <w:ind w:left="1020" w:hanging="328"/>
        <w:spacing w:after="0" w:line="21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Otherwise, Three-Month LIBOR for the next Distribution Period will be equal to Three-Month LIBOR in effect for the then-current Distribution Period or, in the case of the first Distribution Period in the Series B Floating Rate Period, the most recent three-month LIBOR rate on which Three-Month LIBOR could have been determined in accordance with the first sentence of this paragraph had the distribution rate been a floating rate during the Series B Fixed Rate Period.</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event that Three-Month LIBOR is less than zero, Three-Month LIBOR shall be deemed to be zero.</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the foregoing clauses (i), (ii) and (iii):</w:t>
      </w:r>
    </w:p>
    <w:p>
      <w:pPr>
        <w:spacing w:after="0" w:line="185" w:lineRule="exact"/>
        <w:rPr>
          <w:sz w:val="20"/>
          <w:szCs w:val="20"/>
          <w:color w:val="auto"/>
        </w:rPr>
      </w:pPr>
    </w:p>
    <w:p>
      <w:pPr>
        <w:ind w:left="1020" w:hanging="328"/>
        <w:spacing w:after="0" w:line="213" w:lineRule="auto"/>
        <w:tabs>
          <w:tab w:leader="none" w:pos="101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the calculation agent determines on the relevant distribution determination date that LIBOR has been discontinued or is no longer viewed as an acceptable benchmark for securities like the Series B Preferred Shares (a “Series B LIBOR Event”), then the calculation agent will use a substitute or successor base rate that it has determined, in consultation with us, is the most comparable to LIBOR;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calculation agent determines there is an industry-accepted substitute or successor base rate, then the calculation agent shall use such substitute or successor base rate.</w:t>
      </w:r>
    </w:p>
    <w:p>
      <w:pPr>
        <w:spacing w:after="0" w:line="2" w:lineRule="exact"/>
        <w:rPr>
          <w:rFonts w:ascii="Arial" w:cs="Arial" w:eastAsia="Arial" w:hAnsi="Arial"/>
          <w:sz w:val="18"/>
          <w:szCs w:val="18"/>
          <w:color w:val="auto"/>
        </w:rPr>
      </w:pPr>
    </w:p>
    <w:p>
      <w:pPr>
        <w:ind w:left="1020" w:right="120" w:hanging="328"/>
        <w:spacing w:after="0" w:line="228" w:lineRule="auto"/>
        <w:tabs>
          <w:tab w:leader="none" w:pos="1014"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calculation agent has determined a substitute or successor base rate in accordance with the foregoing, the calculation agent, in consultation with us, may determine what business day convention to use, the definition of business day, the distribution determination date to be used and any other relevant methodology for calculating such substitute or successor base rate, including any adjustment factor needed to make such substitute or successor base rate comparable to LIBOR, or any adjustment to the applicable spread thereon, in a manner that is consistent with industry-accepted practices for such substitute or successor base rate.</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foregoing, if the calculation agent determines in its sole discretion that there is no alternative rate that is a substitute or successor</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base rate for LIBOR, the calculation agent may, in its sole discretion, or if the calculation agent fails to do so, the Company may, appoint an IFA to determine an appropriate alternative rate and any adjustments, and the decision of the IFA will be binding on the Company, the calculation agent and the holders of Series B Preferred Shares. If a Series B LIBOR Event has occurred, but for any reason an alternative rate has not been determined, an IFA has</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 xml:space="preserve">not determined an appropriate alternative rate and adjustments or an IFA has not been appointed, Three-Month LIBOR for the next Distribution Period to which the determination date relates shall be Three-Month LIBOR as in effect for the then-current Distribution Period; </w:t>
      </w:r>
      <w:r>
        <w:rPr>
          <w:rFonts w:ascii="Arial" w:cs="Arial" w:eastAsia="Arial" w:hAnsi="Arial"/>
          <w:sz w:val="17"/>
          <w:szCs w:val="17"/>
          <w:i w:val="1"/>
          <w:iCs w:val="1"/>
          <w:color w:val="auto"/>
        </w:rPr>
        <w:t>provided</w:t>
      </w:r>
      <w:r>
        <w:rPr>
          <w:rFonts w:ascii="Arial" w:cs="Arial" w:eastAsia="Arial" w:hAnsi="Arial"/>
          <w:sz w:val="17"/>
          <w:szCs w:val="17"/>
          <w:color w:val="auto"/>
        </w:rPr>
        <w:t>, that if this sentence is applicable with respect to the first Distribution Period in the Series B Floating Rate Period, the interest rate, business</w:t>
      </w:r>
    </w:p>
    <w:p>
      <w:pPr>
        <w:sectPr>
          <w:pgSz w:w="11900" w:h="16838" w:orient="portrait"/>
          <w:cols w:equalWidth="0" w:num="1">
            <w:col w:w="11240"/>
          </w:cols>
          <w:pgMar w:left="320" w:top="1408" w:right="339" w:bottom="1440" w:gutter="0" w:footer="0" w:header="0"/>
        </w:sectPr>
      </w:pPr>
    </w:p>
    <w:bookmarkStart w:id="105" w:name="page106"/>
    <w:bookmarkEnd w:id="105"/>
    <w:p>
      <w:pPr>
        <w:spacing w:after="0" w:line="235" w:lineRule="auto"/>
        <w:rPr>
          <w:sz w:val="20"/>
          <w:szCs w:val="20"/>
          <w:color w:val="auto"/>
        </w:rPr>
      </w:pPr>
      <w:r>
        <w:rPr>
          <w:rFonts w:ascii="Arial" w:cs="Arial" w:eastAsia="Arial" w:hAnsi="Arial"/>
          <w:sz w:val="18"/>
          <w:szCs w:val="18"/>
          <w:color w:val="auto"/>
        </w:rPr>
        <w:t>day convention and manner of calculating interest applicable during the Series B Fixed Rate Period will remain in effect during the Series B Floating Rate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Regarding Distributions</w:t>
      </w:r>
    </w:p>
    <w:p>
      <w:pPr>
        <w:spacing w:after="0" w:line="189" w:lineRule="exact"/>
        <w:rPr>
          <w:sz w:val="20"/>
          <w:szCs w:val="20"/>
          <w:color w:val="auto"/>
        </w:rPr>
      </w:pPr>
    </w:p>
    <w:p>
      <w:pPr>
        <w:ind w:firstLine="360"/>
        <w:spacing w:after="0" w:line="248" w:lineRule="auto"/>
        <w:rPr>
          <w:sz w:val="20"/>
          <w:szCs w:val="20"/>
          <w:color w:val="auto"/>
        </w:rPr>
      </w:pPr>
      <w:r>
        <w:rPr>
          <w:rFonts w:ascii="Arial" w:cs="Arial" w:eastAsia="Arial" w:hAnsi="Arial"/>
          <w:sz w:val="16"/>
          <w:szCs w:val="16"/>
          <w:color w:val="auto"/>
        </w:rPr>
        <w:t>While any Series B Preferred Shares remain outstanding, unless the full cumulative distributions for all past Distribution Periods on all outstanding Series B Preferred Shares have been or contemporaneously are declared and paid in full or declared and a sum sufficient for the payment of those</w:t>
      </w:r>
    </w:p>
    <w:p>
      <w:pPr>
        <w:spacing w:after="0"/>
        <w:rPr>
          <w:sz w:val="20"/>
          <w:szCs w:val="20"/>
          <w:color w:val="auto"/>
        </w:rPr>
      </w:pPr>
      <w:r>
        <w:rPr>
          <w:rFonts w:ascii="Arial" w:cs="Arial" w:eastAsia="Arial" w:hAnsi="Arial"/>
          <w:sz w:val="18"/>
          <w:szCs w:val="18"/>
          <w:color w:val="auto"/>
        </w:rPr>
        <w:t>distributions has been set aside:</w:t>
      </w:r>
    </w:p>
    <w:p>
      <w:pPr>
        <w:spacing w:after="0" w:line="169" w:lineRule="exact"/>
        <w:rPr>
          <w:sz w:val="20"/>
          <w:szCs w:val="20"/>
          <w:color w:val="auto"/>
        </w:rPr>
      </w:pPr>
    </w:p>
    <w:p>
      <w:pPr>
        <w:ind w:left="1020" w:hanging="328"/>
        <w:spacing w:after="0" w:line="220" w:lineRule="auto"/>
        <w:tabs>
          <w:tab w:leader="none" w:pos="101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distribution will be declared and paid or set aside for payment on any Junior Securities (as defined below) (other than a distribution payable solely in shares of Junior Securities);</w:t>
      </w:r>
    </w:p>
    <w:p>
      <w:pPr>
        <w:spacing w:after="0" w:line="1" w:lineRule="exact"/>
        <w:rPr>
          <w:rFonts w:ascii="Arial" w:cs="Arial" w:eastAsia="Arial" w:hAnsi="Arial"/>
          <w:sz w:val="18"/>
          <w:szCs w:val="18"/>
          <w:color w:val="auto"/>
        </w:rPr>
      </w:pPr>
    </w:p>
    <w:p>
      <w:pPr>
        <w:jc w:val="both"/>
        <w:ind w:left="1020" w:hanging="328"/>
        <w:spacing w:after="0" w:line="221" w:lineRule="auto"/>
        <w:tabs>
          <w:tab w:leader="none" w:pos="1014"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 contractually binding requirement to buy Junior Securities pursuant to a binding agreement existing prior to the original issue date of the Series B Preferred Shares), nor will any monies be paid to or made available for a sinking fund for the redemption of any such securities by the Company or any of its subsidiaries; and</w:t>
      </w:r>
    </w:p>
    <w:p>
      <w:pPr>
        <w:jc w:val="both"/>
        <w:ind w:left="1020" w:hanging="328"/>
        <w:spacing w:after="0" w:line="218" w:lineRule="auto"/>
        <w:tabs>
          <w:tab w:leader="none" w:pos="101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shares of Parity Securities will be repurchased, redeemed or otherwise acquired for consideration by the Company or any of its subsidiaries (other than pursuant to pro rata offers to purchase or exchange all, or a pro rata portion of Series B Preferred Shares and such Parity Securities or as a result of a reclassification of Parity Securities for or into other Parity Securities, or by conversion into or exchange for other Parity Securities or Junior Securities).</w:t>
      </w:r>
    </w:p>
    <w:p>
      <w:pPr>
        <w:spacing w:after="0" w:line="16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w:t>
      </w:r>
    </w:p>
    <w:p>
      <w:pPr>
        <w:jc w:val="both"/>
        <w:spacing w:after="0" w:line="226" w:lineRule="auto"/>
        <w:rPr>
          <w:sz w:val="20"/>
          <w:szCs w:val="20"/>
          <w:color w:val="auto"/>
        </w:rPr>
      </w:pPr>
      <w:r>
        <w:rPr>
          <w:rFonts w:ascii="Arial" w:cs="Arial" w:eastAsia="Arial" w:hAnsi="Arial"/>
          <w:sz w:val="18"/>
          <w:szCs w:val="18"/>
          <w:color w:val="auto"/>
        </w:rPr>
        <w:t>subsidiaries and (ii) any distribution in connection with the implementation of a shareholder rights plan or the redemption or repurchase of any rights under such a plan, including with respect to any successor shareholder rights plan.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Accumulated distributions in arrears for any past Distribution Period may be declared by the board of directors and paid on any date fixed by the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board of directors, whether or not a Distribution Payment Date, to holders of the Series B Preferred Shares on the record date for such payment, which may not be less than 10 days before such distribution. To the extent a distribution period applicable to a class of Junior Securities or Parity Securities is shorter than the Distribution Period applicable to the Series B Preferred Shares (e.g., monthly rather than quarterly), the board of directors may declare and pay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regular distributions with respect to such Junior Securities or Parity Securities so long as, at the time of declaration of such distribution, the board of directors expects to have sufficient funds to pay the full cumulative distributions in respect of the Series B Preferred Shares on the next Distribution Payment Date.</w:t>
      </w:r>
    </w:p>
    <w:p>
      <w:pPr>
        <w:spacing w:after="0" w:line="176" w:lineRule="exact"/>
        <w:rPr>
          <w:sz w:val="20"/>
          <w:szCs w:val="20"/>
          <w:color w:val="auto"/>
        </w:rPr>
      </w:pPr>
    </w:p>
    <w:p>
      <w:pPr>
        <w:jc w:val="both"/>
        <w:ind w:firstLine="360"/>
        <w:spacing w:after="0" w:line="227" w:lineRule="auto"/>
        <w:rPr>
          <w:sz w:val="20"/>
          <w:szCs w:val="20"/>
          <w:color w:val="auto"/>
        </w:rPr>
      </w:pPr>
      <w:r>
        <w:rPr>
          <w:rFonts w:ascii="Arial" w:cs="Arial" w:eastAsia="Arial" w:hAnsi="Arial"/>
          <w:sz w:val="17"/>
          <w:szCs w:val="17"/>
          <w:color w:val="auto"/>
        </w:rPr>
        <w:t>Subject to the next succeeding sentence, if all accumulated distributions in arrears on all outstanding Series B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distributions payable with respect to all Series B Preferred Shares and any Parity Securities are paid, any partial payment will be made pro rata with respect to the Series B Preferred Shares and any Parity Securities entitled to a distribution payment at such time in proportion to the aggregate amounts remaining due in respect of such Series B Preferred Shares and Parity Securities at such time.</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used in this description of Series B Preferred Shares, (i) “Junior Securities” means our ordinary shares and any other class or series of our share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capital over which the Series B Preferred Shares has preference or priority in the payment of distributions or in the distribution of assets on our liquidation, dissolution or winding up, (ii) “Parity Securities” means any other class or series of our share capital that ranks equally with the Series B Preferred Shares in the payment of distributions and in the distribution of assets on our liquidation, dissolution or winding up (including our Series A Preferred Shares and</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Series C Preferred Shares) and (iii) “Senior Securities” means any other class or series of our share capital that has preference or priority over the Series B Preferred Shares in the payment of distributions or in the distribution of assets on our liquidation, dissolution or winding up.</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conditions described above, and not otherwise, distributions (payable in cash, shares, or otherwise), as may be determined by our board</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directors, may be declared and paid on our ordinary shares and any Junior Securities from time to time out of any funds legally available for such payment, and the holders of the Series B Preferred Shares will not be entitled to participate in those distributions.</w:t>
      </w:r>
    </w:p>
    <w:p>
      <w:pPr>
        <w:sectPr>
          <w:pgSz w:w="11900" w:h="16838" w:orient="portrait"/>
          <w:cols w:equalWidth="0" w:num="1">
            <w:col w:w="11240"/>
          </w:cols>
          <w:pgMar w:left="320" w:top="1408" w:right="339" w:bottom="1440" w:gutter="0" w:footer="0" w:header="0"/>
        </w:sectPr>
      </w:pPr>
    </w:p>
    <w:bookmarkStart w:id="106" w:name="page107"/>
    <w:bookmarkEnd w:id="106"/>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our voluntary or involuntary Liquidation, the holders of the outstanding Series B Preferred Shares are entitled to be paid out of our assets legally</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available for distribution to our shareholders, before any distribution of assets is made to holders of ordinary shares or any other Junior Securities, a liquidating distribution in the amount of a liquidation preference of $25.00 per share, plus an amount equal to accumulated and unpaid distributions thereon, if any, to, but excluding, the date of such liquidation distribution, whether or not declared, plus the sum of any declared and unpaid distributions</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Distribution Periods prior to the Distribution Period in which the liquidation distribution is made and any declared and unpaid distributions for the then current Distribution Period in which the liquidation distribution is made to the date of such liquidation distribution. After payment of the full amount of the liquidating distributions to which they are entitled, the holders of Series B Preferred Shares will have no right or claim to any of our remaining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Preemptive Rights</w:t>
      </w:r>
    </w:p>
    <w:p>
      <w:pPr>
        <w:spacing w:after="0" w:line="81"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7"/>
          <w:szCs w:val="17"/>
          <w:color w:val="auto"/>
        </w:rPr>
        <w:t>The Series B Preferred Shares are not entitled to any preemptive rights or other rights to purchase or subscribe for our ordinary shares or any other security, and are not convertible into or exchangeable for our ordinary shares or any other security or property at the option of the holder.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B Preferred Shares are not subject to any mandatory redemption, sinking fund or other similar provisions.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Series B Preferred Shares do not have the right to require the redemption or repurchase of the Series B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on or after December 15, 2024</w:t>
      </w:r>
    </w:p>
    <w:p>
      <w:pPr>
        <w:spacing w:after="0" w:line="18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We may redeem the Series B Preferred Shares, in whole or in part, at our option, at any time or from time to time on or after December 15, 2024 (“Series B Optional Redemption”), at the redemption price equal to $25.00 per Series B Preferred Share, plus an amount equal to all accumulated and</w:t>
      </w:r>
    </w:p>
    <w:p>
      <w:pPr>
        <w:jc w:val="both"/>
        <w:spacing w:after="0" w:line="218" w:lineRule="auto"/>
        <w:rPr>
          <w:sz w:val="20"/>
          <w:szCs w:val="20"/>
          <w:color w:val="auto"/>
        </w:rPr>
      </w:pPr>
      <w:r>
        <w:rPr>
          <w:rFonts w:ascii="Arial" w:cs="Arial" w:eastAsia="Arial" w:hAnsi="Arial"/>
          <w:sz w:val="18"/>
          <w:szCs w:val="18"/>
          <w:color w:val="auto"/>
        </w:rPr>
        <w:t>unpaid distributions thereon, if any, to, but excluding, the date of redemption, whether or not declared. We may undertake multiple Series B Optional Redemptions. Any such redemption would be effected only out of funds legally available for such purpose and would be subject to compliance with the provisions of the instruments governing our outstanding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Rating Event</w:t>
      </w:r>
    </w:p>
    <w:p>
      <w:pPr>
        <w:spacing w:after="0" w:line="18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At any time within 120 days after the conclusion of any review or appeal process instituted by us following the occurrence of a Series B Rating Event (as defined below), we may, at our option, redeem the Series B Preferred Shares in whole, but not in part, prior to December 15, 2024, at a redemption</w:t>
      </w:r>
    </w:p>
    <w:p>
      <w:pPr>
        <w:jc w:val="both"/>
        <w:spacing w:after="0" w:line="248" w:lineRule="auto"/>
        <w:rPr>
          <w:sz w:val="20"/>
          <w:szCs w:val="20"/>
          <w:color w:val="auto"/>
        </w:rPr>
      </w:pPr>
      <w:r>
        <w:rPr>
          <w:rFonts w:ascii="Arial" w:cs="Arial" w:eastAsia="Arial" w:hAnsi="Arial"/>
          <w:sz w:val="16"/>
          <w:szCs w:val="16"/>
          <w:color w:val="auto"/>
        </w:rPr>
        <w:t>price per Series B Preferred Share equal to $25.50 (102% of the liquidation preference of $25.00), plus an amount equal to all accumulated and unpaid distributions thereon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170"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“Series B Rating Event” means a change by any rating agency to the criteria employed by such rating agency as of November 27, 2019 for purposes of assigning ratings to securities with features similar to the Series B Preferred Shares, which change results in (i) any shortening of the length of time for which the criteria in effect as of November 27, 2019 are scheduled to be in effect with respect to the Series B Preferred Shares, or (ii) a lower equity credit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being given to the Series B Preferred Shares than the equity credit that would have been assigned to the Series B Preferred Shares by such rating agency pursuant to the criteria in effect as of November 27,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Change of Control</w:t>
      </w:r>
    </w:p>
    <w:p>
      <w:pPr>
        <w:spacing w:after="0" w:line="198"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6"/>
          <w:szCs w:val="16"/>
          <w:color w:val="auto"/>
        </w:rPr>
        <w:t>If a Change of Control (as defined in the Series B Share Designation) occurs, we may, at our option, redeem the Series B Preferred Shares, in whole but not in part, prior to December 15, 2024 and within 60 days after the occurrence of such Change of Control, at a price of $25.25 per Series B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instruments governing our outstanding indebtedness.</w:t>
      </w:r>
    </w:p>
    <w:p>
      <w:pPr>
        <w:sectPr>
          <w:pgSz w:w="11900" w:h="16838" w:orient="portrait"/>
          <w:cols w:equalWidth="0" w:num="1">
            <w:col w:w="11240"/>
          </w:cols>
          <w:pgMar w:left="320" w:top="1440" w:right="339" w:bottom="1440" w:gutter="0" w:footer="0" w:header="0"/>
        </w:sectPr>
      </w:pPr>
    </w:p>
    <w:bookmarkStart w:id="107" w:name="page108"/>
    <w:bookmarkEnd w:id="107"/>
    <w:p>
      <w:pPr>
        <w:jc w:val="both"/>
        <w:ind w:firstLine="360"/>
        <w:spacing w:after="0" w:line="248" w:lineRule="auto"/>
        <w:rPr>
          <w:sz w:val="20"/>
          <w:szCs w:val="20"/>
          <w:color w:val="auto"/>
        </w:rPr>
      </w:pPr>
      <w:r>
        <w:rPr>
          <w:rFonts w:ascii="Arial" w:cs="Arial" w:eastAsia="Arial" w:hAnsi="Arial"/>
          <w:sz w:val="16"/>
          <w:szCs w:val="16"/>
          <w:color w:val="auto"/>
        </w:rPr>
        <w:t>If (i) a Change of Control occurs (whether before, on or after December 15, 2024) and (ii) we do not give notice prior to the 31st day following the Change of Control to redeem all the outstanding Series B Preferred Shares, the distribution rate per annum on the Series B Preferred Shares will increase</w:t>
      </w:r>
    </w:p>
    <w:p>
      <w:pPr>
        <w:spacing w:after="0"/>
        <w:rPr>
          <w:sz w:val="20"/>
          <w:szCs w:val="20"/>
          <w:color w:val="auto"/>
        </w:rPr>
      </w:pPr>
      <w:r>
        <w:rPr>
          <w:rFonts w:ascii="Arial" w:cs="Arial" w:eastAsia="Arial" w:hAnsi="Arial"/>
          <w:sz w:val="18"/>
          <w:szCs w:val="18"/>
          <w:color w:val="auto"/>
        </w:rPr>
        <w:t>by 5.00%, beginning on the 31st day following such Change of Control.</w:t>
      </w:r>
    </w:p>
    <w:p>
      <w:pPr>
        <w:spacing w:after="0" w:line="16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The Change of Control redemption feature of the Series B Preferred Shares may, in certain circumstances, make more difficult or discourage a sale or takeover of our limited liability company or a member of the Company and, thus, the removal of incumbent management. We have no present intention to</w:t>
      </w:r>
    </w:p>
    <w:p>
      <w:pPr>
        <w:spacing w:after="0"/>
        <w:rPr>
          <w:sz w:val="20"/>
          <w:szCs w:val="20"/>
          <w:color w:val="auto"/>
        </w:rPr>
      </w:pPr>
      <w:r>
        <w:rPr>
          <w:rFonts w:ascii="Arial" w:cs="Arial" w:eastAsia="Arial" w:hAnsi="Arial"/>
          <w:sz w:val="18"/>
          <w:szCs w:val="18"/>
          <w:color w:val="auto"/>
        </w:rPr>
        <w:t>engage in a transaction involving a Change of Control, although it is possible that we could decide to do so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Tax Redemption Event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 Series B Tax Redemption Event (as defined in the Series B Share Designation) occurs, we may, at our option, redeem the Series B Preferred</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Shares, in whole but not in part, prior to December 15, 2024, and within 60 days after the occurrence of such Series B Tax Redemption Event, at a price of $25.25 per Series B Preferred Share, plus an amount equal to all accumulated and unpaid distributions thereon, if any, to, but excluding, the date of redemption, whether or not declared. Any such redemption would be effected only out of funds legally available for such purpose and would be subject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 provisions of the instruments governing our outstanding indebtedness.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Owners of Series B Preferred Shares do not have any voting rights, except as set forth below or as otherwise required by applicable law. To the extent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that owners of Series B Preferred Shares are entitled to vote, each holder of Series B Preferred Shares will have one vote per share, except that when shares of any class or series of Parity Securities have the right to vote with the Series B Preferred Shares as a single class on any matter, the Series B Preferred Shares and the shares of each such Parity Securities will have one vote for each $25.00 of liquidation preference (for the avoidance of doubt, excluding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accumulated distributions).</w:t>
      </w:r>
    </w:p>
    <w:p>
      <w:pPr>
        <w:spacing w:after="0" w:line="169" w:lineRule="exact"/>
        <w:rPr>
          <w:sz w:val="20"/>
          <w:szCs w:val="20"/>
          <w:color w:val="auto"/>
        </w:rPr>
      </w:pPr>
    </w:p>
    <w:p>
      <w:pPr>
        <w:jc w:val="both"/>
        <w:ind w:firstLine="360"/>
        <w:spacing w:after="0" w:line="233" w:lineRule="auto"/>
        <w:rPr>
          <w:sz w:val="20"/>
          <w:szCs w:val="20"/>
          <w:color w:val="auto"/>
        </w:rPr>
      </w:pPr>
      <w:r>
        <w:rPr>
          <w:rFonts w:ascii="Arial" w:cs="Arial" w:eastAsia="Arial" w:hAnsi="Arial"/>
          <w:sz w:val="17"/>
          <w:szCs w:val="17"/>
          <w:color w:val="auto"/>
        </w:rPr>
        <w:t>Whenever dividends on any shares of the Series B Preferred Shares are in arrears for six or more quarterly Distribution Periods, whether or not consecutive, the upper limit of the number of directors then constituting our board of directors will be automatically increased by two (if not already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increased by two by reason of the election of directors by the holders of any Other Voting Preferred Shares (as defined below) and the holders of Series B Preferred Shares, voting together as a single class). The holders of the Series B Preferred Shares, voting together as a single class with the holders of any series of Parity Securities then outstanding upon which like voting rights have been conferred and are exercisable (any such series, the “Other Voting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Preferred Shares”), will be entitled to vote, by the affirmative vote of a majority of the votes entitled to be cast, for the appointment of two additional directors at a special meeting of the holders of the Series B Preferred Shares and such Other Voting Preferred Shares and at each subsequent annual meeting of the holders of our ordinary shares at which such directors are up for re-appointment;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when all distributions accumulated on the Series B</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Preferred Shares for all past Distribution Periods and the then current Distribution Period shall have been fully paid, the right of holders of the Series B Preferred Shares to appoint any directors will cease and, unless there are any Other Voting Preferred Shares entitled to vote for the election of directors, the term of office of those two directors will forthwith terminate, the office of any directors appointed by holders of the Series B Preferred Shares shall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automatically be vacated and the upper limit of the number of directors constituting the board of directors shall be automatically reduced by two. However, the right of the holders of the Series B Preferred Shares and any Other Voting Preferred Shares to appoint two additional directors will again vest if and whenever six additional quarterly distributions have not been declared and paid, as described above. In no event shall the holders of the Series B Preferred</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Shares be entitled pursuant to these voting rights to elect a director that would cause us to fail to satisfy a requirement relating to director independence of any national securities exchange or quotation system on which any class or series of our share capital is listed or quoted. For the avoidance of doubt, in no event shall the total number of directors elected by holders of the Series B Preferred Shares and any Other Voting Preferred Shares exceed two.</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While any Series B Preferred Shares remain outstanding, the following actions will be deemed a variation of the rights of the Series B Preferred</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Shares and all Other Voting Preferred Shares, acting as a single class, (i) authorize, create or issue any Senior Securities or reclassify any authorized share capital into any Senior Securities or issue any obligation or security convertible into or evidencing the right to purchase any Senior Securities or (ii) amend, alter or repeal any provision of the Articles, including by merger, consolidation or otherwise, so as to adversely affect the powers, preferences or special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rights of the Series B Preferred Shares, and shall in each case of clause (i) and (ii) require the approval of the holders of at least 66 2/3% in voting power of the Series B Preferred Shares and all Other Voting Preferred Shares; provided that in the case of the foregoing clause (ii), if such amendment affects materially and adversely the rights, designations, preferences, powers and duties of one or more but not all of the Other Voting Preferred Shares (including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Series B Preferred Shares for this purpose), the</w:t>
      </w:r>
    </w:p>
    <w:p>
      <w:pPr>
        <w:sectPr>
          <w:pgSz w:w="11900" w:h="16838" w:orient="portrait"/>
          <w:cols w:equalWidth="0" w:num="1">
            <w:col w:w="11240"/>
          </w:cols>
          <w:pgMar w:left="320" w:top="1408" w:right="339" w:bottom="1440" w:gutter="0" w:footer="0" w:header="0"/>
        </w:sectPr>
      </w:pPr>
    </w:p>
    <w:bookmarkStart w:id="108" w:name="page109"/>
    <w:bookmarkEnd w:id="108"/>
    <w:p>
      <w:pPr>
        <w:jc w:val="both"/>
        <w:spacing w:after="0" w:line="248" w:lineRule="auto"/>
        <w:rPr>
          <w:sz w:val="20"/>
          <w:szCs w:val="20"/>
          <w:color w:val="auto"/>
        </w:rPr>
      </w:pPr>
      <w:r>
        <w:rPr>
          <w:rFonts w:ascii="Arial" w:cs="Arial" w:eastAsia="Arial" w:hAnsi="Arial"/>
          <w:sz w:val="16"/>
          <w:szCs w:val="16"/>
          <w:color w:val="auto"/>
        </w:rPr>
        <w:t>holders of the outstanding shares of the classes or series so affected, voting as a class, is required in lieu of (or, if such consent is required by law, in addition to) the consent of the holders of 66 2/3% of the Other Voting Preferred Shares (including the Series B Preferred Shares for this purpose) as a class.</w:t>
      </w:r>
    </w:p>
    <w:p>
      <w:pPr>
        <w:jc w:val="both"/>
        <w:spacing w:after="0" w:line="234" w:lineRule="auto"/>
        <w:rPr>
          <w:sz w:val="20"/>
          <w:szCs w:val="20"/>
          <w:color w:val="auto"/>
        </w:rPr>
      </w:pPr>
      <w:r>
        <w:rPr>
          <w:rFonts w:ascii="Arial" w:cs="Arial" w:eastAsia="Arial" w:hAnsi="Arial"/>
          <w:sz w:val="16"/>
          <w:szCs w:val="16"/>
          <w:color w:val="auto"/>
        </w:rPr>
        <w:t xml:space="preserve">However, we may create additional series or classes of Parity Securities and Junior Securities and issue additional classes or series of Parity Securities and Junior Securities without notice to or the consent of any holder of the Series B Preferred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Parity Securities, the full cumulative distributions for all past Distribution Periods on all outstanding Series B Preferred Shares shall have been or contemporaneously 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declared and paid in full or declared and a sum sufficient for the payment of those distributions has been set aside.</w:t>
      </w:r>
    </w:p>
    <w:p>
      <w:pPr>
        <w:spacing w:after="0" w:line="169"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Notwithstanding the foregoing, none of the following will be deemed to affect the powers, preferences or special rights of the Series B Preferred Shares:</w:t>
      </w:r>
    </w:p>
    <w:p>
      <w:pPr>
        <w:spacing w:after="0" w:line="175" w:lineRule="exact"/>
        <w:rPr>
          <w:sz w:val="20"/>
          <w:szCs w:val="20"/>
          <w:color w:val="auto"/>
        </w:rPr>
      </w:pPr>
    </w:p>
    <w:p>
      <w:pPr>
        <w:jc w:val="both"/>
        <w:ind w:left="1020" w:hanging="328"/>
        <w:spacing w:after="0" w:line="212" w:lineRule="auto"/>
        <w:tabs>
          <w:tab w:leader="none" w:pos="10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increase in the amount of authorized ordinary shares or authorized preferred shares, or any increase or decrease in the number of shares of any series of preferred shares, or the authorization, creation and issuance of other classes or series of share capital, in each case ranking on parity with or junior to the Series B Preferred Shares as to distributions or distribution of assets upon our liquidation, dissolution or winding up;</w:t>
      </w:r>
    </w:p>
    <w:p>
      <w:pPr>
        <w:ind w:left="1020" w:hanging="328"/>
        <w:spacing w:after="0" w:line="211" w:lineRule="auto"/>
        <w:tabs>
          <w:tab w:leader="none" w:pos="10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B Preferred Shares remain outstanding with identical terms as existing immediately prior to such merger or consolidation; and</w:t>
      </w:r>
    </w:p>
    <w:p>
      <w:pPr>
        <w:jc w:val="both"/>
        <w:ind w:left="1020" w:hanging="328"/>
        <w:spacing w:after="0" w:line="231" w:lineRule="auto"/>
        <w:tabs>
          <w:tab w:leader="none" w:pos="10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merger or consolidation of us with or into another entity in which the Series B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B Preferred Shares.</w:t>
      </w:r>
    </w:p>
    <w:p>
      <w:pPr>
        <w:spacing w:after="0" w:line="176"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The foregoing voting rights of the holders of Series B Preferred Shares shall not apply if, at or prior to the time when the act with respect to which the vote would otherwise be required shall be effected, all outstanding Series B Preferred Shares shall have been redeemed or called for redemption upon proper notice and we shall have set aside sufficient funds for the benefit of holders of Series B Preferred Shares to effect the redemption.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8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The Articles provide for submission to the exclusive jurisdiction of the courts of the Cayman Islands in connection with any claim or dispute arising out of or in connection with the constitutional documents of the Company or otherwise related in any way to each Company shareholder’s shareholding in</w:t>
      </w:r>
    </w:p>
    <w:p>
      <w:pPr>
        <w:jc w:val="both"/>
        <w:spacing w:after="0" w:line="218" w:lineRule="auto"/>
        <w:rPr>
          <w:sz w:val="20"/>
          <w:szCs w:val="20"/>
          <w:color w:val="auto"/>
        </w:rPr>
      </w:pPr>
      <w:r>
        <w:rPr>
          <w:rFonts w:ascii="Arial" w:cs="Arial" w:eastAsia="Arial" w:hAnsi="Arial"/>
          <w:sz w:val="18"/>
          <w:szCs w:val="18"/>
          <w:color w:val="auto"/>
        </w:rPr>
        <w:t>the Company, other than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 such a claim.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C Preferred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Articles authorize the Company to issue up to 200,000,000 preferred shares in one or more series, and the Company’s board of directors is</w:t>
      </w:r>
    </w:p>
    <w:p>
      <w:pPr>
        <w:spacing w:after="0" w:line="1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authorized to fix the number of shares of each series and determine the rights, designations, preferences, powers and duties of any such series. The “8.25% Fixed-Rate Reset Series C Cumulative Perpetual Redeemable Preferred Shares” are designated as one series of our authorized preferred shares, consisting of 4,200,000 Series C Preferred Shares.</w:t>
      </w:r>
    </w:p>
    <w:p>
      <w:pPr>
        <w:spacing w:after="0" w:line="176"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6"/>
          <w:szCs w:val="16"/>
          <w:color w:val="auto"/>
        </w:rPr>
        <w:t>The Series C Preferred Shares represent perpetual equity interests in us and, unlike our indebtedness, do not give rise to a claim for payment of a principal amount at a particular date. As such, the Series C Preferred Shares rank junior to all of our current and future indebtedness and other liabilities with respect to assets available to satisfy claims against us. The Series C Preferred Shares have a fixed liquidation preference of $25.00 per Series C Preferred Share, plus an amount equal to accumulated and unpaid distributions thereon, if any, to, but excluding, the date of payment, whether or not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declared;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rights of the holders of Series C Preferred Shares to receive the liquidation preference will be subject to the proportional rights of holders of Parity Securities (as defined below) and to the other matters described under “—</w:t>
      </w:r>
      <w:r>
        <w:rPr>
          <w:rFonts w:ascii="Arial" w:cs="Arial" w:eastAsia="Arial" w:hAnsi="Arial"/>
          <w:sz w:val="18"/>
          <w:szCs w:val="18"/>
          <w:i w:val="1"/>
          <w:iCs w:val="1"/>
          <w:color w:val="auto"/>
        </w:rPr>
        <w:t>Liquidation Rights</w:t>
      </w:r>
      <w:r>
        <w:rPr>
          <w:rFonts w:ascii="Arial" w:cs="Arial" w:eastAsia="Arial" w:hAnsi="Arial"/>
          <w:sz w:val="18"/>
          <w:szCs w:val="18"/>
          <w:color w:val="auto"/>
        </w:rPr>
        <w: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C Preferred Shares trade on Nasdaq under the symbol “FTAIN”.</w:t>
      </w:r>
    </w:p>
    <w:p>
      <w:pPr>
        <w:sectPr>
          <w:pgSz w:w="11900" w:h="16838" w:orient="portrait"/>
          <w:cols w:equalWidth="0" w:num="1">
            <w:col w:w="11240"/>
          </w:cols>
          <w:pgMar w:left="320" w:top="1408" w:right="339" w:bottom="1440" w:gutter="0" w:footer="0" w:header="0"/>
        </w:sectPr>
      </w:pPr>
    </w:p>
    <w:bookmarkStart w:id="109" w:name="page110"/>
    <w:bookmarkEnd w:id="109"/>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With respect to the payment of distributions and rights (including redemption rights) upon our liquidation, dissolution or winding up, the Series C</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Preferred Shares rank (i) senior and prior to our ordinary shares and any class or series of preferred shares that by its terms is designated as ranking junior to the Series C Preferred Shares, (ii)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class or series of preferred shares that by its terms is designated as ranking equal to the Series C Preferred Shares or does not state it is junior or senior to the Series C Preferred Shares (including our Series A Preferred Shares and Series B Preferred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Shares), (iii) junior to any class or series of preferred shares that is expressly designated as ranking senior to the Series C Preferred Shares (subject to receipt of any requisite consents prior to issuance) and (iv) effectively junior to all of our existing and future indebtedness (including indebtedness convertible into our ordinary shares or preferred shares) and other liabilities and to all liabilities and any preferred equity of our existing subsidiaries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any future subsidiaries.</w:t>
      </w:r>
    </w:p>
    <w:p>
      <w:pPr>
        <w:spacing w:after="0" w:line="16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The Series C Preferred Shares are not convertible into, or exchangeable for, shares of any other class or series of our share capital or other securities and are not subject to any sinking fund or other obligation to redeem or repurchase the Series C Preferred Shares. The Series C Preferred Shares are not</w:t>
      </w:r>
    </w:p>
    <w:p>
      <w:pPr>
        <w:jc w:val="both"/>
        <w:ind w:right="20"/>
        <w:spacing w:after="0" w:line="226" w:lineRule="auto"/>
        <w:rPr>
          <w:sz w:val="20"/>
          <w:szCs w:val="20"/>
          <w:color w:val="auto"/>
        </w:rPr>
      </w:pPr>
      <w:r>
        <w:rPr>
          <w:rFonts w:ascii="Arial" w:cs="Arial" w:eastAsia="Arial" w:hAnsi="Arial"/>
          <w:sz w:val="18"/>
          <w:szCs w:val="18"/>
          <w:color w:val="auto"/>
        </w:rPr>
        <w:t>secured, are not guaranteed by us or any of our affiliates and are not subject to any other arrangement that legally or economically enhances the ranking of the Series C Preferred Shares.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02"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Holders of the Series C Preferred Shares are entitled to receive, only when, as, and if declared by our board of directors, out of funds legally available for such purpose, cumulative cash distributions based on the stated liquidation preference of $25.00 per Series C Preferred Share at a rate equal to (i) from, and including, the original issue date of the Series C Preferred Shares, being the date of the completion of the merger, to, but excluding, June 15, 2026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“Series C Reset Rate Period”), 8.25% per annum, and (ii) beginning June 15, 2026 (the “Series C Fixed Rate Period”), the Five-Year Treasury Rate (as defined below) plus a spread of 737.8 basis points per annum; provided that if the Five-Year Treasury Rate for any Distribution Period (as defined below) described in this clause (ii) cannot be determined pursuant to the definition of “Five-Year Treasury Rate,” the distribution rate for such Distribution Period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will be the same as the distribution rate determined for the immediately preceding Distribution Period. A “Distribution Period” means the period from, and including, each Distribution Payment Date to, but excluding, the next succeeding Distribution Payment Date, except for the initial Distribution Period, which is the period from, and including, the original issue date of the Series C Preferred Shares, being the date of the completion of the merger, to, but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excluding, the next succeeding Distribution Payment Date.</w:t>
      </w:r>
    </w:p>
    <w:p>
      <w:pPr>
        <w:spacing w:after="0" w:line="16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For purposes of calculating the distribution rate for a given Series C Fixed Rate Period, the calculation agent shall determine the “Five-Year Treasury Rate” (for any Reset Period (as defined below) commencing on or after the First Reset Date), based on the rate on the Reset Distribution Determination</w:t>
      </w:r>
    </w:p>
    <w:p>
      <w:pPr>
        <w:spacing w:after="0"/>
        <w:rPr>
          <w:sz w:val="20"/>
          <w:szCs w:val="20"/>
          <w:color w:val="auto"/>
        </w:rPr>
      </w:pPr>
      <w:r>
        <w:rPr>
          <w:rFonts w:ascii="Arial" w:cs="Arial" w:eastAsia="Arial" w:hAnsi="Arial"/>
          <w:sz w:val="18"/>
          <w:szCs w:val="18"/>
          <w:color w:val="auto"/>
        </w:rPr>
        <w:t>Date (as defined below) and equal to:</w:t>
      </w:r>
    </w:p>
    <w:p>
      <w:pPr>
        <w:spacing w:after="0" w:line="169" w:lineRule="exact"/>
        <w:rPr>
          <w:sz w:val="20"/>
          <w:szCs w:val="20"/>
          <w:color w:val="auto"/>
        </w:rPr>
      </w:pPr>
    </w:p>
    <w:p>
      <w:pPr>
        <w:jc w:val="both"/>
        <w:ind w:left="1020" w:hanging="328"/>
        <w:spacing w:after="0" w:line="212" w:lineRule="auto"/>
        <w:tabs>
          <w:tab w:leader="none" w:pos="101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average of the yields to maturity on actively traded U.S. treasury securities adjusted to constant maturity, for five-year maturities, for the five Business Days appearing under the caption “Treasury Constant Maturities” in the most recently published statistical release designated H.15 Daily Update or any successor publication which is published by the Federal Reserve Board, as determined by the calculation agent in its sole discretion; or</w:t>
      </w:r>
    </w:p>
    <w:p>
      <w:pPr>
        <w:jc w:val="both"/>
        <w:ind w:left="1020" w:hanging="328"/>
        <w:spacing w:after="0" w:line="239" w:lineRule="auto"/>
        <w:tabs>
          <w:tab w:leader="none" w:pos="10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no calculation is provided as described in clause (i), then the calculation agent, after consulting such sources as it deems comparable to any of the foregoing calculations, or any such source as it deems reasonable from which to estimate the Five-Year Treasury Rate, shall determine the Five-Year Treasury Rate in its sole discretion, provided that if the calculation agent determines there is an industry-accepted successor Five-Year Treasury Rate, then the Calculation Agent shall use such successor rate. If the calculation agent has determined a substitute or successor rate in accordance with the foregoing, the calculation agent, in its sole discretion, may determine the “business day” convention, the definition of “business day” and the Reset Distribution Determination Date to be used and any other relevant methodology for calculating such substitute or successor rate, including any adjustment factor needed to make such substitute or successor rate comparable to the rate described in clause (i), in a manner that is consistent with industry-accepted practices for such substitute or successor rate.</w:t>
      </w:r>
    </w:p>
    <w:p>
      <w:pPr>
        <w:spacing w:after="0" w:line="179"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As used herein, “Reset Period” means the period from, and including, June 15, 2026 to, but excluding, the fifth-year anniversary of said date, and thereafter from, and including, the fifth-year anniversary of June 15, 2026 but excluding the following fifth-year anniversary of said date (each five-year period, commencing with June 15, 2026, a “Reset Period”).</w:t>
      </w:r>
    </w:p>
    <w:p>
      <w:pPr>
        <w:sectPr>
          <w:pgSz w:w="11900" w:h="16838" w:orient="portrait"/>
          <w:cols w:equalWidth="0" w:num="1">
            <w:col w:w="11240"/>
          </w:cols>
          <w:pgMar w:left="320" w:top="1440" w:right="339" w:bottom="1440" w:gutter="0" w:footer="0" w:header="0"/>
        </w:sectPr>
      </w:pPr>
    </w:p>
    <w:bookmarkStart w:id="110" w:name="page111"/>
    <w:bookmarkEnd w:id="110"/>
    <w:p>
      <w:pPr>
        <w:jc w:val="both"/>
        <w:ind w:firstLine="360"/>
        <w:spacing w:after="0" w:line="235" w:lineRule="auto"/>
        <w:rPr>
          <w:sz w:val="20"/>
          <w:szCs w:val="20"/>
          <w:color w:val="auto"/>
        </w:rPr>
      </w:pPr>
      <w:r>
        <w:rPr>
          <w:rFonts w:ascii="Arial" w:cs="Arial" w:eastAsia="Arial" w:hAnsi="Arial"/>
          <w:sz w:val="18"/>
          <w:szCs w:val="18"/>
          <w:color w:val="auto"/>
        </w:rPr>
        <w:t>As used herein, “Reset Distribution Determination Date” means, in respect of any Reset Period, the day falling three business days prior to the beginning of such Reset Period.</w:t>
      </w:r>
    </w:p>
    <w:p>
      <w:pPr>
        <w:spacing w:after="0" w:line="175"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When, as, and if declared by our board of directors, we pay cash distributions on the Series C Preferred Shares quarterly, in arrears, on each Distribution Payment Date, which payments began on December 15, 2022. We pay cash distributions to the holders of record of Series C Preferred Shares as they appear on our share register on the applicable record date, which for any Distribution Payment Date shall be the 1st calendar day of the month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Distribution Payment Date or such other record date fixed by our board of directors as the record date for such Distribution Payment Date that is not more than 60 nor less than 10 days prior to such Distribution Payment Date.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Distributions on the Series C Preferred Shares are not mandatory. However, distributions on the Series C Preferred Shares accrue from and including,</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most recent Distribution Payment Date on which all accrued distributions have been paid, as applicable, whether or not we have earnings, whether or not there are funds legally available for the payment of those distributions and whether or not those distributions are declared. No interest, or sum in lieu of interest, is payable in respect of any distribution payment or payments on the Series C Preferred Shares which may be in arrears, and holders of the Series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 Preferred Shares are not entitled to any distribution, whether payable in cash, property, or shares, in excess of full cumulative distributions described above.</w:t>
      </w:r>
    </w:p>
    <w:p>
      <w:pPr>
        <w:spacing w:after="0" w:line="161"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If in the future we issue additional shares of the Series C Preferred Shares, distributions on those additional shares will accrue from the most recent Distribution Payment Date at the then-applicable distribution rate.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Regarding Distributions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While any Series C Preferred Shares remain outstanding, unless the full cumulative distributions for all past Distribution Periods on all outstanding</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Series C Preferred Shares have been or contemporaneously are declared and paid in full or declared and a sum sufficient for the payment of those distributions has been set aside:</w:t>
      </w:r>
    </w:p>
    <w:p>
      <w:pPr>
        <w:spacing w:after="0" w:line="161" w:lineRule="exact"/>
        <w:rPr>
          <w:sz w:val="20"/>
          <w:szCs w:val="20"/>
          <w:color w:val="auto"/>
        </w:rPr>
      </w:pPr>
    </w:p>
    <w:p>
      <w:pPr>
        <w:ind w:left="1020" w:hanging="328"/>
        <w:spacing w:after="0" w:line="220" w:lineRule="auto"/>
        <w:tabs>
          <w:tab w:leader="none" w:pos="10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distribution will be declared and paid or set aside for payment on any Junior Securities (as defined below) (other than a distribution payable solely in shares of Junior Securities);</w:t>
      </w:r>
    </w:p>
    <w:p>
      <w:pPr>
        <w:spacing w:after="0" w:line="1" w:lineRule="exact"/>
        <w:rPr>
          <w:rFonts w:ascii="Arial" w:cs="Arial" w:eastAsia="Arial" w:hAnsi="Arial"/>
          <w:sz w:val="18"/>
          <w:szCs w:val="18"/>
          <w:color w:val="auto"/>
        </w:rPr>
      </w:pPr>
    </w:p>
    <w:p>
      <w:pPr>
        <w:jc w:val="both"/>
        <w:ind w:left="1020" w:hanging="328"/>
        <w:spacing w:after="0" w:line="221" w:lineRule="auto"/>
        <w:tabs>
          <w:tab w:leader="none" w:pos="1014"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 contractually binding requirement to buy Junior Securities pursuant to a binding agreement existing prior to the original issue date of the Series C Preferred Shares), nor will any monies be paid to or made available for a sinking fund for the redemption of any such securities by the Company or any of its subsidiaries; and</w:t>
      </w:r>
    </w:p>
    <w:p>
      <w:pPr>
        <w:jc w:val="both"/>
        <w:ind w:left="1020" w:hanging="328"/>
        <w:spacing w:after="0" w:line="218" w:lineRule="auto"/>
        <w:tabs>
          <w:tab w:leader="none" w:pos="10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shares of Parity Securities will be repurchased, redeemed or otherwise acquired for consideration by the Company or any of its subsidiaries (other than pursuant to pro rata offers to purchase or exchange all, or a pro rata portion of Series C Preferred Shares and such Parity Securities or as a result of a reclassification of Parity Securities for or into other Parity Securities, or by conversion into or exchange for other Parity Securities or Junior Securities).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foregoing limitations do not apply to (i) purchases or acquisitions of, or cash settlement in respect of, Junior Securities pursuant to any employee</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or director incentive or benefit plan or arrangement (including any of our employment, severance, or consulting agreements) of ours or of any of our subsidiaries and (ii) any distribution in connection with the implementation of a shareholder rights plan or the redemption or repurchase of any rights under such a plan, including with respect to any successor shareholder rights plan.</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Accumulated distributions in arrears for any past Distribution Period may be declared by the board of directors and paid on any date fixed by the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board of directors, whether or not a Distribution Payment Date, to holders of the Series C Preferred Shares on the record date for such payment, which may not be less than 10 days before such distribution. To the extent a distribution period applicable to a class of Junior Securities or Parity Securities is shorter than the Distribution Period applicable to the Series C Preferred Shares (e.g., monthly rather than quarterly), the board of directors may declare and pay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regular distributions with respect to such Junior Securities or Parity Securities so long as, at the time of declaration of such distribution, the board of directors expects to have sufficient funds to pay the full cumulative distributions in respect of the Series C Preferred Shares on the next Distribution Payment Date.</w:t>
      </w:r>
    </w:p>
    <w:p>
      <w:pPr>
        <w:spacing w:after="0" w:line="176"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Subject to the next succeeding sentence, if all accumulated distributions in arrears on all outstanding Series C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w:t>
      </w:r>
    </w:p>
    <w:p>
      <w:pPr>
        <w:sectPr>
          <w:pgSz w:w="11900" w:h="16838" w:orient="portrait"/>
          <w:cols w:equalWidth="0" w:num="1">
            <w:col w:w="11240"/>
          </w:cols>
          <w:pgMar w:left="320" w:top="1408" w:right="339" w:bottom="1440" w:gutter="0" w:footer="0" w:header="0"/>
        </w:sectPr>
      </w:pPr>
    </w:p>
    <w:bookmarkStart w:id="111" w:name="page112"/>
    <w:bookmarkEnd w:id="111"/>
    <w:p>
      <w:pPr>
        <w:jc w:val="both"/>
        <w:spacing w:after="0" w:line="248" w:lineRule="auto"/>
        <w:rPr>
          <w:sz w:val="20"/>
          <w:szCs w:val="20"/>
          <w:color w:val="auto"/>
        </w:rPr>
      </w:pPr>
      <w:r>
        <w:rPr>
          <w:rFonts w:ascii="Arial" w:cs="Arial" w:eastAsia="Arial" w:hAnsi="Arial"/>
          <w:sz w:val="16"/>
          <w:szCs w:val="16"/>
          <w:color w:val="auto"/>
        </w:rPr>
        <w:t>distributions payable with respect to all Series C Preferred Shares and any Parity Securities are paid, any partial payment will be made pro rata with respect to the Series C Preferred Shares and any Parity Securities entitled to a distribution payment at such time in proportion to the aggregate amounts remaining</w:t>
      </w:r>
    </w:p>
    <w:p>
      <w:pPr>
        <w:spacing w:after="0"/>
        <w:rPr>
          <w:sz w:val="20"/>
          <w:szCs w:val="20"/>
          <w:color w:val="auto"/>
        </w:rPr>
      </w:pPr>
      <w:r>
        <w:rPr>
          <w:rFonts w:ascii="Arial" w:cs="Arial" w:eastAsia="Arial" w:hAnsi="Arial"/>
          <w:sz w:val="18"/>
          <w:szCs w:val="18"/>
          <w:color w:val="auto"/>
        </w:rPr>
        <w:t>due in respect of such Series C Preferred Shares and Parity Securities at such time.</w:t>
      </w:r>
    </w:p>
    <w:p>
      <w:pPr>
        <w:spacing w:after="0" w:line="16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As used in this description of Series C Preferred Shares, (i) “Junior Securities” means our ordinary shares and any other class or series of our share capital over which the Series C Preferred Shares has preference or priority in the payment of distributions or in the distribution of assets on our liquidation,</w:t>
      </w:r>
    </w:p>
    <w:p>
      <w:pPr>
        <w:jc w:val="both"/>
        <w:spacing w:after="0" w:line="234" w:lineRule="auto"/>
        <w:rPr>
          <w:sz w:val="20"/>
          <w:szCs w:val="20"/>
          <w:color w:val="auto"/>
        </w:rPr>
      </w:pPr>
      <w:r>
        <w:rPr>
          <w:rFonts w:ascii="Arial" w:cs="Arial" w:eastAsia="Arial" w:hAnsi="Arial"/>
          <w:sz w:val="16"/>
          <w:szCs w:val="16"/>
          <w:color w:val="auto"/>
        </w:rPr>
        <w:t>dissolution or winding up, (ii) “Parity Securities” means any other class or series of our share capital that ranks equally with the Series C Preferred Shares in the payment of distributions and in the distribution of assets on our liquidation, dissolution or winding up (including our Series A Preferred Shares and Series B Preferred Shares) and (iii) “Senior Securities” means any other class or series of our share capital that has preference or priority over the Series 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Shares in the payment of distributions or in the distribution of assets on our liquidation, dissolution or winding up.</w:t>
      </w:r>
    </w:p>
    <w:p>
      <w:pPr>
        <w:spacing w:after="0" w:line="16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Subject to the conditions described above, and not otherwise, distributions (payable in cash, shares, or otherwise), as may be determined by our board of directors, may be declared and paid on our ordinary shares and any Junior Securities from time to time out of any funds legally available for such</w:t>
      </w:r>
    </w:p>
    <w:p>
      <w:pPr>
        <w:spacing w:after="0"/>
        <w:rPr>
          <w:sz w:val="20"/>
          <w:szCs w:val="20"/>
          <w:color w:val="auto"/>
        </w:rPr>
      </w:pPr>
      <w:r>
        <w:rPr>
          <w:rFonts w:ascii="Arial" w:cs="Arial" w:eastAsia="Arial" w:hAnsi="Arial"/>
          <w:sz w:val="18"/>
          <w:szCs w:val="18"/>
          <w:color w:val="auto"/>
        </w:rPr>
        <w:t>payment, and the holders of the Series C Preferred Shares will not be entitled to participate in those distributions.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our voluntary or involuntary Liquidation, the holders of the outstanding Series C Preferred Shares are entitled to be paid out of our assets legally</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available for distribution to our shareholders, before any distribution of assets is made to holders of ordinary shares or any other Junior Securities, a liquidating distribution in the amount of a liquidation preference of $25.00 per share, plus an amount equal to accumulated and unpaid distributions thereon, if any, to, but excluding, the date of such liquidating distribution, whether or not declared, plus the sum of any declared and unpaid distributions</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Distribution Periods prior to the Distribution Period in which the liquidating distribution is made and any declared and unpaid distributions for the then current Distribution Period in which the liquidating distribution is made to the date of such liquidating distribution. After payment of the full amount of the liquidating distributions to which they are entitled, the holders of Series C Preferred Shares will have no right or claim to any of our remaining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Preemptive Rights</w:t>
      </w:r>
    </w:p>
    <w:p>
      <w:pPr>
        <w:spacing w:after="0" w:line="189"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7"/>
          <w:szCs w:val="17"/>
          <w:color w:val="auto"/>
        </w:rPr>
        <w:t>The Series C Preferred Shares are not entitled to any preemptive rights or other rights to purchase or subscribe for our ordinary shares or any other security, and are not convertible into or exchangeable for our ordinary shares or any other security or property at the option of the holder.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C Preferred Shares are not subject to any mandatory redemption, sinking fund or other similar provisions.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Series C Preferred Shares do not have the right to require the redemption or repurchase of the Series C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on or after June 15, 2026</w:t>
      </w:r>
    </w:p>
    <w:p>
      <w:pPr>
        <w:spacing w:after="0" w:line="18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We may redeem the Series C Preferred Shares, in whole or in part, at our option, at any time or from time to time on or after June 15, 2026 (“Series C Optional Redemption”), at the redemption price equal to $25.00 per Series C Preferred Share, plus an amount equal to all accumulated and unpaid</w:t>
      </w:r>
    </w:p>
    <w:p>
      <w:pPr>
        <w:jc w:val="both"/>
        <w:spacing w:after="0" w:line="218" w:lineRule="auto"/>
        <w:rPr>
          <w:sz w:val="20"/>
          <w:szCs w:val="20"/>
          <w:color w:val="auto"/>
        </w:rPr>
      </w:pPr>
      <w:r>
        <w:rPr>
          <w:rFonts w:ascii="Arial" w:cs="Arial" w:eastAsia="Arial" w:hAnsi="Arial"/>
          <w:sz w:val="18"/>
          <w:szCs w:val="18"/>
          <w:color w:val="auto"/>
        </w:rPr>
        <w:t>distributions thereon, if any, to, but excluding, the date of redemption, whether or not declared. We may undertake multiple Series C Optional Redemptions. Any such redemption would be effected only out of funds legally available for such purpose and would be subject to compliance with the provisions of the instruments governing our outstanding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Rating Event</w:t>
      </w:r>
    </w:p>
    <w:p>
      <w:pPr>
        <w:spacing w:after="0" w:line="185"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At any time within 120 days after the conclusion of any review or appeal process instituted by us following the occurrence of a Series C Rating Event (as defined below), we may, at our option, redeem the Series C Preferred Shares in whole, but not in part, prior to June 15, 2026, at a redemption price per Series C Preferred Share equal to $25.50 (102% of the liquidation preference of $25.00), plus an amount equal to all accumulated and unpaid distributions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thereon to, but excluding, the date of redemption, whether or not declared. Any such redemption would</w:t>
      </w:r>
    </w:p>
    <w:p>
      <w:pPr>
        <w:sectPr>
          <w:pgSz w:w="11900" w:h="16838" w:orient="portrait"/>
          <w:cols w:equalWidth="0" w:num="1">
            <w:col w:w="11240"/>
          </w:cols>
          <w:pgMar w:left="320" w:top="1408" w:right="339" w:bottom="1440" w:gutter="0" w:footer="0" w:header="0"/>
        </w:sectPr>
      </w:pPr>
    </w:p>
    <w:bookmarkStart w:id="112" w:name="page113"/>
    <w:bookmarkEnd w:id="112"/>
    <w:p>
      <w:pPr>
        <w:jc w:val="both"/>
        <w:spacing w:after="0" w:line="235" w:lineRule="auto"/>
        <w:rPr>
          <w:sz w:val="20"/>
          <w:szCs w:val="20"/>
          <w:color w:val="auto"/>
        </w:rPr>
      </w:pPr>
      <w:r>
        <w:rPr>
          <w:rFonts w:ascii="Arial" w:cs="Arial" w:eastAsia="Arial" w:hAnsi="Arial"/>
          <w:sz w:val="18"/>
          <w:szCs w:val="18"/>
          <w:color w:val="auto"/>
        </w:rPr>
        <w:t>be effected only out of funds legally available for such purpose and would be subject to compliance with the provisions of the instruments governing our outstanding indebtedness.</w:t>
      </w:r>
    </w:p>
    <w:p>
      <w:pPr>
        <w:spacing w:after="0" w:line="175"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“Series C Rating Event” means a change by any rating agency to the criteria employed by such rating agency as of March 25, 2021 for purposes of assigning ratings to securities with features similar to the Series C Preferred Shares, which change results in (i) any shortening of the length of time for which the criteria in effect as of March 25, 2021 are scheduled to be in effect with respect to the Series C Preferred Shares, or (ii) a lower equity credit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being given to the Series C Preferred Shares than the equity credit that would have been assigned to the Series C Preferred Shares by such rating agency pursuant to the criteria in effect as of March 25,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Change of Control</w:t>
      </w:r>
    </w:p>
    <w:p>
      <w:pPr>
        <w:spacing w:after="0" w:line="198"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If a Change of Control (as defined in the Series C Share Designation) occurs, we may, at our option, redeem the Series C Preferred Shares, in whole but not in part, prior to June 15, 2026 and within 60 days after the occurrence of such Change of Control, at a price of $25.25 per Series C Preferred Share, plus an amount equal to all accumulated and unpaid distributions thereon, if any, to, but excluding, the date of redemption, whether or not declared. Any</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such redemption would be effected only out of funds legally available for such purpose and would be subject to compliance with the provisions of the instruments governing our outstanding indebtedness.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(i) a Change of Control occurs (whether before, on or after June 15, 2026) and (ii) we do not give notice prior to the 31st day following the Change</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Control to redeem all the outstanding Series C Preferred Shares, the distribution rate per annum on the Series C Preferred Shares will increase by 500 basis points, beginning on the 31st day following such Change of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Tax Redemption Event</w:t>
      </w:r>
    </w:p>
    <w:p>
      <w:pPr>
        <w:spacing w:after="0" w:line="225"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If a Series C Tax Redemption Event (as defined in the Series C Share Designation) occurs, we may, at our option, redeem the Series C Preferred Shares, in whole but not in part, prior to June 15, 2026, and within 60 days after the occurrence of such Series C Tax Redemption Event, at a price of $25.25 per Series C Preferred Share, plus an amount equal to all accumulated and unpaid distributions thereon, if any, to, but excluding, the date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redemption, whether or not declared. Any such redemption would be effected only out of funds legally available for such purpose and would be subject to compliance with the provisions of the instruments governing our outstanding indebtedness.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Owners of Series C Preferred Shares do not have any voting rights, except as set forth below or as otherwise required by applicable law. To the extent that owners of Series C Preferred Shares are entitled to vote, each holder of Series C Preferred Shares will have one vote per share, except that when shares of any class or series of Parity Securities have the right to vote with the Series C Preferred Shares as a single class on any matter, the Series C Preferred</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Shares and the shares of each such Parity Securities will have one vote for each $25.00 of liquidation preference (for the avoidance of doubt, excluding accumulated distributions).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Whenever dividends on any shares of the Series C Preferred Shares are in arrears for six or more quarterly Distribution Periods, whether or not</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consecutive, the upper limit of the number of directors then constituting our board of directors will be automatically increased by two (if not already increased by two by reason of the election of directors by the holders of any Other Voting Preferred Shares (as defined below) and the holders of Series C Preferred Shares, voting together as a single class). The holders of the Series C Preferred Shares, voting together as a single class with the holders of any</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series of Parity Securities then outstanding upon which like voting rights have been conferred and are exercisable (any such series, the “Other Voting Preferred Shares”), will be entitled to vote, by the affirmative vote of a majority of the votes entitled to be cast, for the appointment of two additional directors at a special meeting of the holders of the Series C Preferred Shares and such Other Voting Preferred Shares and at each subsequent annual meeting of the holders of our ordinary shares at which such directors are up for re-appointment;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when all distributions accumulated on the Series C</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Preferred Shares for all past Distribution Periods and the then current Distribution Period shall have been fully paid, the right of holders of the Series C Preferred Shares to appoint any directors will cease and, unless there are any Other Voting Preferred Shares entitled to vote for the election of directors, the term of office of those two directors will forthwith terminate, the office of any directors appointed by holders of the Series C Preferred Shares shall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automatically be vacated and the upper limit of the number of directors constituting the board of directors shall be automatically reduced by two. However, the right of the holders of the Series C Preferred Shares and any Other Voting Preferred Shares to appoint two additional directors will again vest if and whenever six additional quarterly distributions have not been declared and paid, as described above. In no event shall the holders of the Series C Preferred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Shares be entitled pursuant to these voting rights to elect a director that would cause us to fail to satisfy a requirement relating to director</w:t>
      </w:r>
    </w:p>
    <w:p>
      <w:pPr>
        <w:sectPr>
          <w:pgSz w:w="11900" w:h="16838" w:orient="portrait"/>
          <w:cols w:equalWidth="0" w:num="1">
            <w:col w:w="11240"/>
          </w:cols>
          <w:pgMar w:left="320" w:top="1408" w:right="339" w:bottom="1440" w:gutter="0" w:footer="0" w:header="0"/>
        </w:sectPr>
      </w:pPr>
    </w:p>
    <w:bookmarkStart w:id="113" w:name="page114"/>
    <w:bookmarkEnd w:id="113"/>
    <w:p>
      <w:pPr>
        <w:jc w:val="both"/>
        <w:spacing w:after="0" w:line="248" w:lineRule="auto"/>
        <w:rPr>
          <w:sz w:val="20"/>
          <w:szCs w:val="20"/>
          <w:color w:val="auto"/>
        </w:rPr>
      </w:pPr>
      <w:r>
        <w:rPr>
          <w:rFonts w:ascii="Arial" w:cs="Arial" w:eastAsia="Arial" w:hAnsi="Arial"/>
          <w:sz w:val="16"/>
          <w:szCs w:val="16"/>
          <w:color w:val="auto"/>
        </w:rPr>
        <w:t>independence of any national securities exchange or quotation system on which any class or series of our share capital is listed or quoted. For the avoidance of doubt, in no event shall the total number of directors elected by holders of the Series C Preferred Shares and any Other Voting Preferred Shares exceed</w:t>
      </w:r>
    </w:p>
    <w:p>
      <w:pPr>
        <w:spacing w:after="0"/>
        <w:rPr>
          <w:sz w:val="20"/>
          <w:szCs w:val="20"/>
          <w:color w:val="auto"/>
        </w:rPr>
      </w:pPr>
      <w:r>
        <w:rPr>
          <w:rFonts w:ascii="Arial" w:cs="Arial" w:eastAsia="Arial" w:hAnsi="Arial"/>
          <w:sz w:val="18"/>
          <w:szCs w:val="18"/>
          <w:color w:val="auto"/>
        </w:rPr>
        <w:t>two.</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any Series C Preferred Shares remain outstanding, the following actions will be deemed a variation of the rights of the Series C Preferred Shares and all Other Voting Preferred Shares, acting as a single class, (i) authorize, create or issue any Senior Securities or reclassify any authorized share capital into</w:t>
      </w:r>
    </w:p>
    <w:p>
      <w:pPr>
        <w:jc w:val="both"/>
        <w:spacing w:after="0" w:line="234" w:lineRule="auto"/>
        <w:rPr>
          <w:sz w:val="20"/>
          <w:szCs w:val="20"/>
          <w:color w:val="auto"/>
        </w:rPr>
      </w:pPr>
      <w:r>
        <w:rPr>
          <w:rFonts w:ascii="Arial" w:cs="Arial" w:eastAsia="Arial" w:hAnsi="Arial"/>
          <w:sz w:val="16"/>
          <w:szCs w:val="16"/>
          <w:color w:val="auto"/>
        </w:rPr>
        <w:t>any Senior Securities or issue any obligation or security convertible into or evidencing the right to purchase any Senior Securities or (ii) amend, alter or repeal any provision of the Articles, including by merger, consolidation or otherwise, so as to adversely affect the powers, preferences or special rights of the Series C Preferred Shares, and shall in each case of clause (i) and (ii) require the approval of the holders of at least 66 2/3% in voting power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Series C Preferred Shares and all Other Voting Preferred Shares; provided that in the case of the foregoing clause (ii), if such amendment affects materially and adversely the rights, designations, preferences, powers and duties of one or more but not all of the Other Voting Preferred Shares (including the Series C Preferred Shares for this purpose), the holders of the outstanding shares of the classes or series so affected, voting as a class, is required in lieu of (or, if</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such consent is required by law, in addition to) the consent of the holders of 66 2/3% of the Other Voting Preferred Shares (including the Series C Preferred Shares for this purpose) as a class. However, we may create additional series or classes of Parity Securities and Junior Securities and issue additional classes or series of Parity Securities and Junior Securities without notice to or the consent of any holder of the Series C Preferred</w:t>
      </w:r>
    </w:p>
    <w:p>
      <w:pPr>
        <w:jc w:val="both"/>
        <w:spacing w:after="0" w:line="218" w:lineRule="auto"/>
        <w:rPr>
          <w:sz w:val="20"/>
          <w:szCs w:val="20"/>
          <w:color w:val="auto"/>
        </w:rPr>
      </w:pPr>
      <w:r>
        <w:rPr>
          <w:rFonts w:ascii="Arial" w:cs="Arial" w:eastAsia="Arial" w:hAnsi="Arial"/>
          <w:sz w:val="18"/>
          <w:szCs w:val="18"/>
          <w:color w:val="auto"/>
        </w:rPr>
        <w:t xml:space="preserve">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Parity Securities, the full cumulative distributions for all past Distribution Periods on all outstanding Series C Preferred Shares shall have been or contemporaneously are declared and paid in full or declared and a sum sufficient for the payment of those distributions has been set aside.</w:t>
      </w:r>
    </w:p>
    <w:p>
      <w:pPr>
        <w:spacing w:after="0" w:line="176"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Notwithstanding the foregoing, none of the following will be deemed to affect the powers, preferences or special rights of the Series C Preferred Shares:</w:t>
      </w:r>
    </w:p>
    <w:p>
      <w:pPr>
        <w:spacing w:after="0" w:line="162" w:lineRule="exact"/>
        <w:rPr>
          <w:sz w:val="20"/>
          <w:szCs w:val="20"/>
          <w:color w:val="auto"/>
        </w:rPr>
      </w:pPr>
    </w:p>
    <w:p>
      <w:pPr>
        <w:jc w:val="both"/>
        <w:ind w:left="1020" w:hanging="328"/>
        <w:spacing w:after="0" w:line="215" w:lineRule="auto"/>
        <w:tabs>
          <w:tab w:leader="none" w:pos="10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increase in the amount of authorized ordinary shares or authorized preferred shares, or any increase or decrease in the number of shares of any series of preferred shares, or the authorization, creation and issuance of other classes or series of share capital, in each case ranking on parity with or junior to the Series C Preferred Shares as to distributions or distribution of assets upon our liquidation, dissolution or winding up;</w:t>
      </w:r>
    </w:p>
    <w:p>
      <w:pPr>
        <w:spacing w:after="0" w:line="3" w:lineRule="exact"/>
        <w:rPr>
          <w:rFonts w:ascii="Arial" w:cs="Arial" w:eastAsia="Arial" w:hAnsi="Arial"/>
          <w:sz w:val="18"/>
          <w:szCs w:val="18"/>
          <w:color w:val="auto"/>
        </w:rPr>
      </w:pPr>
    </w:p>
    <w:p>
      <w:pPr>
        <w:ind w:left="1020" w:hanging="328"/>
        <w:spacing w:after="0" w:line="203" w:lineRule="auto"/>
        <w:tabs>
          <w:tab w:leader="none" w:pos="10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C Preferred Shares remain outstanding with identical terms as existing immediately prior to such merger or consolidation; and</w:t>
      </w:r>
    </w:p>
    <w:p>
      <w:pPr>
        <w:jc w:val="both"/>
        <w:ind w:left="1020" w:hanging="328"/>
        <w:spacing w:after="0" w:line="236" w:lineRule="auto"/>
        <w:tabs>
          <w:tab w:leader="none" w:pos="101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merger or consolidation of us with or into another entity in which the Series C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C Preferred Shares.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foregoing voting rights of the holders of Series C Preferred Shares shall not apply if, at or prior to the time when the act with respect to which the</w:t>
      </w:r>
    </w:p>
    <w:p>
      <w:pPr>
        <w:spacing w:after="0" w:line="2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vote would otherwise be required shall be effected, all outstanding Series C Preferred Shares shall have been redeemed or called for redemption upon proper notice and we shall have set aside sufficient funds for the benefit of holders of Series C Preferred Shares to effect the redemption.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202"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6"/>
          <w:szCs w:val="16"/>
          <w:color w:val="auto"/>
        </w:rPr>
        <w:t>The Articles provide for submission to the exclusive jurisdiction of the courts of the Cayman Islands in connection with any claim or dispute arising out of or in connection with the constitutional documents of the Company or otherwise related in any way to each Company shareholder’s shareholding in the Company, other than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a claim.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jc w:val="both"/>
        <w:ind w:right="20" w:firstLine="360"/>
        <w:spacing w:after="0" w:line="261" w:lineRule="auto"/>
        <w:rPr>
          <w:sz w:val="20"/>
          <w:szCs w:val="20"/>
          <w:color w:val="auto"/>
        </w:rPr>
      </w:pPr>
      <w:r>
        <w:rPr>
          <w:rFonts w:ascii="Arial" w:cs="Arial" w:eastAsia="Arial" w:hAnsi="Arial"/>
          <w:sz w:val="18"/>
          <w:szCs w:val="18"/>
          <w:color w:val="auto"/>
        </w:rPr>
        <w:t>Dividends are recorded if and when declared by the board of directors. The then board of directors of FTAI declared cash dividends of $1.26, $1.32 and $1.32 per ordinary share during each of the years ended December 31, 2022, 2021 and 2020, respectively.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Additionally, the then board of directors of FTAI declared cash dividends on the FTAI Series A Preferred Shares of $2.06, $2.06 and $2.06 per share</w:t>
      </w:r>
    </w:p>
    <w:p>
      <w:pPr>
        <w:spacing w:after="0" w:line="2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for the years ended December 31, 2022, 2021, and 2020, respectively, the Series B Preferred Shares of $2.00, $2.00 and $2.10 per share for the years ended December 31, 2022, 2021 and</w:t>
      </w:r>
    </w:p>
    <w:p>
      <w:pPr>
        <w:sectPr>
          <w:pgSz w:w="11900" w:h="16838" w:orient="portrait"/>
          <w:cols w:equalWidth="0" w:num="1">
            <w:col w:w="11240"/>
          </w:cols>
          <w:pgMar w:left="320" w:top="1408"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2020, respectively, and the Series C Preferred Shares of $2.06 and $1.49 per share for the year ended December 31, 2022 and 2021,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Company</w:t>
      </w:r>
    </w:p>
    <w:p>
      <w:pPr>
        <w:spacing w:after="0" w:line="202"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The Company is an exempted company with limited liability incorporated under the laws of Cayman Islands. The Companies Act (As Revised) of the Cayman Islands (the “Cayman Companies Act”) distinguishes between ordinary resident companies and exempted companies. Any company that is registered in the Cayman Islands but conducts business mainly outside of the Cayman Islands may apply to be registered as an exempted company.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requirements for an exempted company are essentially the same as for an ordinary company except for the exemptions and privileges listed below:</w:t>
      </w:r>
    </w:p>
    <w:p>
      <w:pPr>
        <w:spacing w:after="0" w:line="209"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21"/>
          <w:szCs w:val="21"/>
          <w:color w:val="auto"/>
        </w:rPr>
      </w:pPr>
      <w:r>
        <w:rPr>
          <w:rFonts w:ascii="Arial" w:cs="Arial" w:eastAsia="Arial" w:hAnsi="Arial"/>
          <w:sz w:val="17"/>
          <w:szCs w:val="17"/>
          <w:color w:val="auto"/>
        </w:rPr>
        <w:t>an exempted company does not have to file an annual return of its shareholders with the registrar of Companies of the Cayman Islands;</w:t>
      </w:r>
    </w:p>
    <w:p>
      <w:pPr>
        <w:spacing w:after="0" w:line="10" w:lineRule="exact"/>
        <w:rPr>
          <w:rFonts w:ascii="Arial" w:cs="Arial" w:eastAsia="Arial" w:hAnsi="Arial"/>
          <w:sz w:val="21"/>
          <w:szCs w:val="21"/>
          <w:color w:val="auto"/>
        </w:rPr>
      </w:pPr>
    </w:p>
    <w:p>
      <w:pPr>
        <w:ind w:left="660" w:hanging="328"/>
        <w:spacing w:after="0" w:line="221"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an exempted company’s register of members is not open to inspection;</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an exempted company does not have to hold an annual general meeting;</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an exempted company may issue no par value shares;</w:t>
      </w:r>
    </w:p>
    <w:p>
      <w:pPr>
        <w:spacing w:after="0" w:line="12" w:lineRule="exact"/>
        <w:rPr>
          <w:rFonts w:ascii="Arial" w:cs="Arial" w:eastAsia="Arial" w:hAnsi="Arial"/>
          <w:sz w:val="22"/>
          <w:szCs w:val="22"/>
          <w:color w:val="auto"/>
        </w:rPr>
      </w:pPr>
    </w:p>
    <w:p>
      <w:pPr>
        <w:ind w:left="660" w:right="180" w:hanging="328"/>
        <w:spacing w:after="0" w:line="225" w:lineRule="auto"/>
        <w:tabs>
          <w:tab w:leader="none" w:pos="655" w:val="left"/>
        </w:tabs>
        <w:numPr>
          <w:ilvl w:val="0"/>
          <w:numId w:val="50"/>
        </w:numPr>
        <w:rPr>
          <w:rFonts w:ascii="Arial" w:cs="Arial" w:eastAsia="Arial" w:hAnsi="Arial"/>
          <w:sz w:val="22"/>
          <w:szCs w:val="22"/>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an exempted company may register as a limited duration company; and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an exempted company may register as a segregated portfolio company.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Cayman Islands Law and Our Articles</w:t>
      </w:r>
    </w:p>
    <w:p>
      <w:pPr>
        <w:spacing w:after="0" w:line="202"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The following is a summary of certain provisions of our Articles that may function to have an anti-takeover effect and may delay, deter or prevent a tender offer or takeover attempt that a shareholder might consider to be in its best interest, including those attempts that might result in a premium over the market price for the shares held by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8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Our authorized but unissued ordinary shares and preferred shares will be available for future issuance without obtaining shareholder approval. These additional shares may be utilized for a variety of corporate purposes, including future offerings to raise additional capital and corporate acquisitions. The</w:t>
      </w:r>
    </w:p>
    <w:p>
      <w:pPr>
        <w:jc w:val="both"/>
        <w:spacing w:after="0" w:line="226" w:lineRule="auto"/>
        <w:rPr>
          <w:sz w:val="20"/>
          <w:szCs w:val="20"/>
          <w:color w:val="auto"/>
        </w:rPr>
      </w:pPr>
      <w:r>
        <w:rPr>
          <w:rFonts w:ascii="Arial" w:cs="Arial" w:eastAsia="Arial" w:hAnsi="Arial"/>
          <w:sz w:val="18"/>
          <w:szCs w:val="18"/>
          <w:color w:val="auto"/>
        </w:rPr>
        <w:t>existence of authorized but unissued ordinary shares and preferred shares could render more difficult or discourage an attempt to obtain control over us by means of a proxy contest, tender offer, merger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 of Our Articles</w:t>
      </w:r>
    </w:p>
    <w:p>
      <w:pPr>
        <w:spacing w:after="0" w:line="198"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Our Articles provides that our board shall consist of not fewer than three and not more than nine directors as the board of directors may from time to time determine. Our board of directors consists of seven directors and is divided into three classes that are, as nearly as possible, of equal size. Each class of directors is elected for a three-year term of office, but the terms are staggered so that the term of only one class of directors expires at each annual general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meeting. We believe that classification of our board of directors helps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are generally required to effect a change in a majority of our board of directors.</w:t>
      </w:r>
    </w:p>
    <w:p>
      <w:pPr>
        <w:spacing w:after="0" w:line="16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w:t>
      </w:r>
    </w:p>
    <w:p>
      <w:pPr>
        <w:spacing w:after="0"/>
        <w:rPr>
          <w:sz w:val="20"/>
          <w:szCs w:val="20"/>
          <w:color w:val="auto"/>
        </w:rPr>
      </w:pPr>
      <w:r>
        <w:rPr>
          <w:rFonts w:ascii="Arial" w:cs="Arial" w:eastAsia="Arial" w:hAnsi="Arial"/>
          <w:sz w:val="18"/>
          <w:szCs w:val="18"/>
          <w:color w:val="auto"/>
        </w:rPr>
        <w:t>shareholders to be in their best interest.</w:t>
      </w:r>
    </w:p>
    <w:p>
      <w:pPr>
        <w:spacing w:after="0" w:line="169"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In addition, our Articles provides that a director may be removed, only for cause, and only by the affirmative vote of at least 80% of the then issued and outstanding ordinary shares entitled to vote in the election of directors.</w:t>
      </w:r>
    </w:p>
    <w:p>
      <w:pPr>
        <w:sectPr>
          <w:pgSz w:w="11900" w:h="16838" w:orient="portrait"/>
          <w:cols w:equalWidth="0" w:num="1">
            <w:col w:w="11240"/>
          </w:cols>
          <w:pgMar w:left="320" w:top="1408" w:right="339" w:bottom="1440" w:gutter="0" w:footer="0" w:header="0"/>
        </w:sectPr>
      </w:pPr>
    </w:p>
    <w:bookmarkStart w:id="115" w:name="page116"/>
    <w:bookmarkEnd w:id="115"/>
    <w:p>
      <w:pPr>
        <w:jc w:val="both"/>
        <w:ind w:right="20" w:firstLine="360"/>
        <w:spacing w:after="0" w:line="235" w:lineRule="auto"/>
        <w:rPr>
          <w:sz w:val="20"/>
          <w:szCs w:val="20"/>
          <w:color w:val="auto"/>
        </w:rPr>
      </w:pPr>
      <w:r>
        <w:rPr>
          <w:rFonts w:ascii="Arial" w:cs="Arial" w:eastAsia="Arial" w:hAnsi="Arial"/>
          <w:sz w:val="18"/>
          <w:szCs w:val="18"/>
          <w:color w:val="auto"/>
        </w:rPr>
        <w:t>In addition, our board of directors has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75"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Pursuant to our Articles, preferred shares may be issued from time to time, and the board of directors is authorized to determine and alter all designations, preferences, rights, powers and duties without limitation. Our Articles do not provide our shareholders with the ability to call general meetings of the shareholders.</w:t>
      </w:r>
    </w:p>
    <w:p>
      <w:pPr>
        <w:spacing w:after="0" w:line="176"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See also, “</w:t>
      </w:r>
      <w:r>
        <w:rPr>
          <w:rFonts w:ascii="Arial" w:cs="Arial" w:eastAsia="Arial" w:hAnsi="Arial"/>
          <w:sz w:val="18"/>
          <w:szCs w:val="18"/>
          <w:i w:val="1"/>
          <w:iCs w:val="1"/>
          <w:color w:val="auto"/>
        </w:rPr>
        <w:t>Series A Preferred Shares-Optional Redemption upon a Change of Control,</w:t>
      </w:r>
      <w:r>
        <w:rPr>
          <w:rFonts w:ascii="Arial" w:cs="Arial" w:eastAsia="Arial" w:hAnsi="Arial"/>
          <w:sz w:val="18"/>
          <w:szCs w:val="18"/>
          <w:color w:val="auto"/>
        </w:rPr>
        <w:t>” “</w:t>
      </w:r>
      <w:r>
        <w:rPr>
          <w:rFonts w:ascii="Arial" w:cs="Arial" w:eastAsia="Arial" w:hAnsi="Arial"/>
          <w:sz w:val="18"/>
          <w:szCs w:val="18"/>
          <w:i w:val="1"/>
          <w:iCs w:val="1"/>
          <w:color w:val="auto"/>
        </w:rPr>
        <w:t>Series B Preferred Shares-Optional Redemption upon a</w:t>
      </w:r>
      <w:r>
        <w:rPr>
          <w:rFonts w:ascii="Arial" w:cs="Arial" w:eastAsia="Arial" w:hAnsi="Arial"/>
          <w:sz w:val="18"/>
          <w:szCs w:val="18"/>
          <w:color w:val="auto"/>
        </w:rPr>
        <w:t xml:space="preserve"> </w:t>
      </w:r>
      <w:r>
        <w:rPr>
          <w:rFonts w:ascii="Arial" w:cs="Arial" w:eastAsia="Arial" w:hAnsi="Arial"/>
          <w:sz w:val="18"/>
          <w:szCs w:val="18"/>
          <w:i w:val="1"/>
          <w:iCs w:val="1"/>
          <w:color w:val="auto"/>
        </w:rPr>
        <w:t>Change of Control</w:t>
      </w:r>
      <w:r>
        <w:rPr>
          <w:rFonts w:ascii="Arial" w:cs="Arial" w:eastAsia="Arial" w:hAnsi="Arial"/>
          <w:sz w:val="18"/>
          <w:szCs w:val="18"/>
          <w:color w:val="auto"/>
        </w:rPr>
        <w:t>” and “</w:t>
      </w:r>
      <w:r>
        <w:rPr>
          <w:rFonts w:ascii="Arial" w:cs="Arial" w:eastAsia="Arial" w:hAnsi="Arial"/>
          <w:sz w:val="18"/>
          <w:szCs w:val="18"/>
          <w:i w:val="1"/>
          <w:iCs w:val="1"/>
          <w:color w:val="auto"/>
        </w:rPr>
        <w:t>Series C Preferred Shares-Optional Redemption upon a Change of Control.</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Our Shareholders to Act</w:t>
      </w:r>
    </w:p>
    <w:p>
      <w:pPr>
        <w:spacing w:after="0" w:line="198"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Our Articles do not permit our shareholders to call general meetings. General meetings of shareholders may be called by the Board of Directors, the Chief Executive Officer, the Chairperson or a committee of the Board of Directors that has been duly designated by the Board of Directors and whose powers include the authority to call such meetings. Written notice of any general meeting so called shall be given to each shareholder of record entitled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vote at such meeting not less than 10 or more than 60 days before the date of such meeting, unless otherwise required by law.</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Articles do not permit our shareholders to pass resolutions in writing.</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Articles provide that nominations of persons for election to our board of directors at any annual general meeting, or at any extraordinary meeting</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our shareholders called for the purpose of electing directors, may be made (a) by or at the direction of our board of directors or (b) by certain shareholders. In addition to any other applicable requirements, for business to be properly brought before an annual general meeting by a shareholder, such shareholder must have given timely notice thereof in proper written form. To be timely, a shareholder’s notice must be delivered to or mailed and received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at our registered office (i) in the case of an annual general meeting, not less than 90 days nor more than 120 days prior to the anniversary date of the immediately preceding annual general meeting; and (ii) in the case of an extraordinary meeting, not later than the tenth day following the day on which such notice of the date of the extraordinary meeting was mailed or such public disclosure of the date of the extraordinary meeting was made, whichever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first occurs.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Liability and Indemnification of Directors and Officers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Articles provides that our directors shall not, to the maximum extent permitted by law, be liable to us for any loss or damage incurred by us as a</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result (whether direct or indirect) of the carrying out of their functions unless that liability arises through the actual fraud, willful neglect or willful default of such director, and provided further that such director acted in good faith and in a manner such director reasonably believed to be in or not opposed to our best interests and had no reasonable cause to believe such director’s conduct was unlawful.</w:t>
      </w:r>
    </w:p>
    <w:p>
      <w:pPr>
        <w:spacing w:after="0" w:line="176"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Our Articles provide that we indemnify our directors and officers to the fullest extent permitted by law. We are also expressly authorized to advance certain expenses (including attorneys’ fees and disbursements and court costs) to our directors and officers and carry directors’ and officers’ insurance providing indemnification for our directors and officers for some liabilities. We believe that these indemnification provisions and insurance are useful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attract and retain qualified directors and officers.</w:t>
      </w:r>
    </w:p>
    <w:p>
      <w:pPr>
        <w:spacing w:after="0" w:line="16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6"/>
          <w:szCs w:val="16"/>
          <w:color w:val="auto"/>
        </w:rPr>
        <w:t>We have entered into separate indemnification agreements with each of our directors and executive officers. Each indemnification agreement provides, among other things, for indemnification to the fullest extent permitted by law and our Articles against (i) any and all expenses and liabilities, including</w:t>
      </w:r>
    </w:p>
    <w:p>
      <w:pPr>
        <w:jc w:val="both"/>
        <w:ind w:right="20"/>
        <w:spacing w:after="0" w:line="242" w:lineRule="auto"/>
        <w:rPr>
          <w:sz w:val="20"/>
          <w:szCs w:val="20"/>
          <w:color w:val="auto"/>
        </w:rPr>
      </w:pPr>
      <w:r>
        <w:rPr>
          <w:rFonts w:ascii="Arial" w:cs="Arial" w:eastAsia="Arial" w:hAnsi="Arial"/>
          <w:sz w:val="16"/>
          <w:szCs w:val="16"/>
          <w:color w:val="auto"/>
        </w:rPr>
        <w:t>judgments, fines, penalties and amounts paid in settlement of any claim with our approval and counsel fees and disbursements, (ii) any liability pursuant to a loan guarantee, or otherwise, for any of our indebtedness, and (iii) any liabilities incurred as a result of acting on our behalf (as a fiduciary or otherwise) in connection with an employee benefit plan. The indemnification agreements provide for the advancement or payment of all expenses to the indemnitee and for reimbursement to us if it is found that such indemnitee is not entitled to such indemnification under applicable law and our Articles.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Opportunity</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our Articles, to the extent permitted by law:</w:t>
      </w:r>
    </w:p>
    <w:p>
      <w:pPr>
        <w:sectPr>
          <w:pgSz w:w="11900" w:h="16838" w:orient="portrait"/>
          <w:cols w:equalWidth="0" w:num="1">
            <w:col w:w="11240"/>
          </w:cols>
          <w:pgMar w:left="320" w:top="1408" w:right="339" w:bottom="1440" w:gutter="0" w:footer="0" w:header="0"/>
        </w:sectPr>
      </w:pPr>
    </w:p>
    <w:bookmarkStart w:id="116" w:name="page117"/>
    <w:bookmarkEnd w:id="116"/>
    <w:p>
      <w:pPr>
        <w:jc w:val="both"/>
        <w:ind w:left="1020" w:right="160" w:hanging="328"/>
        <w:spacing w:after="0" w:line="227" w:lineRule="auto"/>
        <w:tabs>
          <w:tab w:leader="none" w:pos="1015"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Fortress and its respective affiliates, including Fortress Investment Group LLC (the “Manager”) and Master GP,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1" w:lineRule="exact"/>
        <w:rPr>
          <w:rFonts w:ascii="Arial" w:cs="Arial" w:eastAsia="Arial" w:hAnsi="Arial"/>
          <w:sz w:val="17"/>
          <w:szCs w:val="17"/>
          <w:color w:val="auto"/>
        </w:rPr>
      </w:pPr>
    </w:p>
    <w:p>
      <w:pPr>
        <w:ind w:left="1020" w:right="520" w:hanging="328"/>
        <w:spacing w:after="0" w:line="208" w:lineRule="auto"/>
        <w:tabs>
          <w:tab w:leader="none" w:pos="10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Fortress and its respective affiliates, including the Manager and Master GP, or any of their officers, directors or employees acquire knowledge of a potential transaction that could be a corporate opportunity, it has no duty to offer such corporate opportunity to us, our shareholders or affiliates;</w:t>
      </w:r>
    </w:p>
    <w:p>
      <w:pPr>
        <w:spacing w:after="0" w:line="1" w:lineRule="exact"/>
        <w:rPr>
          <w:rFonts w:ascii="Arial" w:cs="Arial" w:eastAsia="Arial" w:hAnsi="Arial"/>
          <w:sz w:val="18"/>
          <w:szCs w:val="18"/>
          <w:color w:val="auto"/>
        </w:rPr>
      </w:pPr>
    </w:p>
    <w:p>
      <w:pPr>
        <w:ind w:left="1020" w:hanging="328"/>
        <w:spacing w:after="0" w:line="243" w:lineRule="auto"/>
        <w:tabs>
          <w:tab w:leader="none" w:pos="10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have renounced any interest or expectancy in, or in being offered an opportunity to participate in, such corporate opportunities; and in the event that any of our directors and officers who is also a director, officer or employee of Fortress and their respective affiliates, including the Manager and Master GP, acquire knowledge of a corporate opportunity or is offered a corporate opportunity, provided that this knowledge was not acquired solely in such person’s capacity as our director or officer and such person acted in good faith, then such person is deemed to have fully satisfied such person’s fiduciary duty and is not liable to us if Fortress and their respective affiliates, including the Manager and Master GP, pursues or acquires the corporate opportunity or if such person did not present the corporate opportunity to 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Transfer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the Company’s shares is American Stock Transfer &amp; Trust Company LLC, 6201 15th Avenue, Brooklyn, NY 11219.</w:t>
      </w:r>
    </w:p>
    <w:p>
      <w:pPr>
        <w:sectPr>
          <w:pgSz w:w="11900" w:h="16838" w:orient="portrait"/>
          <w:cols w:equalWidth="0" w:num="1">
            <w:col w:w="11200"/>
          </w:cols>
          <w:pgMar w:left="320" w:top="1408" w:right="37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FTAI AVIATION LTD.</w:t>
      </w:r>
    </w:p>
    <w:p>
      <w:pPr>
        <w:jc w:val="center"/>
        <w:spacing w:after="0" w:line="219" w:lineRule="auto"/>
        <w:rPr>
          <w:sz w:val="20"/>
          <w:szCs w:val="20"/>
          <w:color w:val="auto"/>
        </w:rPr>
      </w:pPr>
      <w:r>
        <w:rPr>
          <w:rFonts w:ascii="Arial" w:cs="Arial" w:eastAsia="Arial" w:hAnsi="Arial"/>
          <w:sz w:val="18"/>
          <w:szCs w:val="18"/>
          <w:b w:val="1"/>
          <w:bCs w:val="1"/>
          <w:color w:val="auto"/>
        </w:rPr>
        <w:t>NONQUALIFIED STOCK OPTION AND</w:t>
      </w:r>
    </w:p>
    <w:p>
      <w:pPr>
        <w:jc w:val="center"/>
        <w:spacing w:after="0"/>
        <w:rPr>
          <w:sz w:val="20"/>
          <w:szCs w:val="20"/>
          <w:color w:val="auto"/>
        </w:rPr>
      </w:pPr>
      <w:r>
        <w:rPr>
          <w:rFonts w:ascii="Arial" w:cs="Arial" w:eastAsia="Arial" w:hAnsi="Arial"/>
          <w:sz w:val="18"/>
          <w:szCs w:val="18"/>
          <w:b w:val="1"/>
          <w:bCs w:val="1"/>
          <w:color w:val="auto"/>
        </w:rPr>
        <w:t>INCENTIVE AWARD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line="360" w:lineRule="auto"/>
        <w:rPr>
          <w:sz w:val="20"/>
          <w:szCs w:val="20"/>
          <w:color w:val="auto"/>
        </w:rPr>
      </w:pPr>
      <w:r>
        <w:rPr>
          <w:rFonts w:ascii="Arial" w:cs="Arial" w:eastAsia="Arial" w:hAnsi="Arial"/>
          <w:sz w:val="18"/>
          <w:szCs w:val="18"/>
          <w:b w:val="1"/>
          <w:bCs w:val="1"/>
          <w:color w:val="auto"/>
        </w:rPr>
        <w:t>Adopted by Fortress Transportation and Infrastructure Investors, LLC as of May 11, 2015 and assumed by the Company as of November 10, 2022 Amended on February 23, 2023</w:t>
      </w:r>
    </w:p>
    <w:p>
      <w:pPr>
        <w:sectPr>
          <w:pgSz w:w="11900" w:h="16838" w:orient="portrait"/>
          <w:cols w:equalWidth="0" w:num="1">
            <w:col w:w="11220"/>
          </w:cols>
          <w:pgMar w:left="340" w:top="115" w:right="339" w:bottom="1440" w:gutter="0" w:footer="0" w:header="0"/>
        </w:sectPr>
      </w:pPr>
    </w:p>
    <w:bookmarkStart w:id="118" w:name="page119"/>
    <w:bookmarkEnd w:id="118"/>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0" w:type="dxa"/>
            <w:vAlign w:val="bottom"/>
            <w:gridSpan w:val="2"/>
          </w:tcPr>
          <w:p>
            <w:pPr>
              <w:ind w:left="60"/>
              <w:spacing w:after="0"/>
              <w:rPr>
                <w:sz w:val="20"/>
                <w:szCs w:val="20"/>
                <w:color w:val="auto"/>
              </w:rPr>
            </w:pPr>
            <w:r>
              <w:rPr>
                <w:rFonts w:ascii="Arial" w:cs="Arial" w:eastAsia="Arial" w:hAnsi="Arial"/>
                <w:sz w:val="18"/>
                <w:szCs w:val="18"/>
                <w:b w:val="1"/>
                <w:bCs w:val="1"/>
                <w:color w:val="auto"/>
              </w:rPr>
              <w:t>TABLE OF CONTENTS</w:t>
            </w:r>
          </w:p>
        </w:tc>
        <w:tc>
          <w:tcPr>
            <w:tcW w:w="21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51"/>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40" w:type="dxa"/>
            <w:vAlign w:val="bottom"/>
            <w:gridSpan w:val="2"/>
          </w:tcPr>
          <w:p>
            <w:pPr>
              <w:ind w:left="2180"/>
              <w:spacing w:after="0"/>
              <w:rPr>
                <w:sz w:val="20"/>
                <w:szCs w:val="20"/>
                <w:color w:val="auto"/>
              </w:rPr>
            </w:pPr>
            <w:r>
              <w:rPr>
                <w:rFonts w:ascii="Arial" w:cs="Arial" w:eastAsia="Arial" w:hAnsi="Arial"/>
                <w:sz w:val="18"/>
                <w:szCs w:val="18"/>
                <w:color w:val="auto"/>
                <w:w w:val="87"/>
              </w:rPr>
              <w:t>PAGE</w:t>
            </w:r>
          </w:p>
        </w:tc>
      </w:tr>
      <w:tr>
        <w:trPr>
          <w:trHeight w:val="223"/>
        </w:trPr>
        <w:tc>
          <w:tcPr>
            <w:tcW w:w="8520" w:type="dxa"/>
            <w:vAlign w:val="bottom"/>
            <w:gridSpan w:val="36"/>
          </w:tcPr>
          <w:p>
            <w:pPr>
              <w:spacing w:after="0"/>
              <w:rPr>
                <w:sz w:val="20"/>
                <w:szCs w:val="20"/>
                <w:color w:val="auto"/>
              </w:rPr>
            </w:pPr>
            <w:r>
              <w:rPr>
                <w:rFonts w:ascii="Arial" w:cs="Arial" w:eastAsia="Arial" w:hAnsi="Arial"/>
                <w:sz w:val="18"/>
                <w:szCs w:val="18"/>
                <w:color w:val="0000FF"/>
              </w:rPr>
              <w:t>SECTION 1 PURPOSE OF PLAN; DEFINITIONS</w:t>
            </w:r>
          </w:p>
        </w:tc>
        <w:tc>
          <w:tcPr>
            <w:tcW w:w="2180" w:type="dxa"/>
            <w:vAlign w:val="bottom"/>
          </w:tcPr>
          <w:p>
            <w:pPr>
              <w:ind w:left="2020"/>
              <w:spacing w:after="0"/>
              <w:rPr>
                <w:sz w:val="20"/>
                <w:szCs w:val="20"/>
                <w:color w:val="auto"/>
              </w:rPr>
            </w:pPr>
            <w:r>
              <w:rPr>
                <w:rFonts w:ascii="Arial" w:cs="Arial" w:eastAsia="Arial" w:hAnsi="Arial"/>
                <w:sz w:val="18"/>
                <w:szCs w:val="18"/>
                <w:color w:val="auto"/>
              </w:rPr>
              <w:t>1</w:t>
            </w:r>
          </w:p>
        </w:tc>
        <w:tc>
          <w:tcPr>
            <w:tcW w:w="460" w:type="dxa"/>
            <w:vAlign w:val="bottom"/>
            <w:tcBorders>
              <w:top w:val="single" w:sz="8" w:color="auto"/>
            </w:tcBorders>
          </w:tcPr>
          <w:p>
            <w:pPr>
              <w:spacing w:after="0"/>
              <w:rPr>
                <w:sz w:val="19"/>
                <w:szCs w:val="19"/>
                <w:color w:val="auto"/>
              </w:rPr>
            </w:pPr>
          </w:p>
        </w:tc>
      </w:tr>
      <w:tr>
        <w:trPr>
          <w:trHeight w:val="209"/>
        </w:trPr>
        <w:tc>
          <w:tcPr>
            <w:tcW w:w="2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9"/>
              </w:rPr>
              <w:t>1.</w:t>
            </w:r>
            <w:r>
              <w:rPr>
                <w:rFonts w:ascii="Arial" w:cs="Arial" w:eastAsia="Arial" w:hAnsi="Arial"/>
                <w:sz w:val="18"/>
                <w:szCs w:val="18"/>
                <w:u w:val="single" w:color="auto"/>
                <w:color w:val="0000FF"/>
                <w:w w:val="79"/>
              </w:rPr>
              <w:t>1</w:t>
            </w: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3"/>
              </w:rPr>
              <w:t>Purpose</w:t>
            </w:r>
          </w:p>
        </w:tc>
        <w:tc>
          <w:tcPr>
            <w:tcW w:w="2720" w:type="dxa"/>
            <w:vAlign w:val="bottom"/>
            <w:tcBorders>
              <w:top w:val="single" w:sz="8" w:color="0000FF"/>
            </w:tcBorders>
            <w:gridSpan w:val="27"/>
          </w:tcPr>
          <w:p>
            <w:pPr>
              <w:spacing w:after="0"/>
              <w:rPr>
                <w:sz w:val="18"/>
                <w:szCs w:val="18"/>
                <w:color w:val="auto"/>
              </w:rPr>
            </w:pPr>
          </w:p>
        </w:tc>
        <w:tc>
          <w:tcPr>
            <w:tcW w:w="4800" w:type="dxa"/>
            <w:vAlign w:val="bottom"/>
            <w:gridSpan w:val="4"/>
          </w:tcPr>
          <w:p>
            <w:pPr>
              <w:spacing w:after="0"/>
              <w:rPr>
                <w:sz w:val="18"/>
                <w:szCs w:val="18"/>
                <w:color w:val="auto"/>
              </w:rPr>
            </w:pPr>
          </w:p>
        </w:tc>
        <w:tc>
          <w:tcPr>
            <w:tcW w:w="2180" w:type="dxa"/>
            <w:vAlign w:val="bottom"/>
          </w:tcPr>
          <w:p>
            <w:pPr>
              <w:ind w:left="202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r>
      <w:tr>
        <w:trPr>
          <w:trHeight w:val="210"/>
        </w:trPr>
        <w:tc>
          <w:tcPr>
            <w:tcW w:w="220" w:type="dxa"/>
            <w:vAlign w:val="bottom"/>
          </w:tcPr>
          <w:p>
            <w:pPr>
              <w:spacing w:after="0"/>
              <w:rPr>
                <w:sz w:val="20"/>
                <w:szCs w:val="20"/>
                <w:color w:val="auto"/>
              </w:rPr>
            </w:pPr>
            <w:r>
              <w:rPr>
                <w:rFonts w:ascii="Arial" w:cs="Arial" w:eastAsia="Arial" w:hAnsi="Arial"/>
                <w:sz w:val="18"/>
                <w:szCs w:val="18"/>
                <w:color w:val="0000FF"/>
                <w:w w:val="79"/>
              </w:rPr>
              <w:t>1.</w:t>
            </w:r>
            <w:r>
              <w:rPr>
                <w:rFonts w:ascii="Arial" w:cs="Arial" w:eastAsia="Arial" w:hAnsi="Arial"/>
                <w:sz w:val="18"/>
                <w:szCs w:val="18"/>
                <w:u w:val="single" w:color="auto"/>
                <w:color w:val="0000FF"/>
                <w:w w:val="79"/>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00" w:type="dxa"/>
            <w:vAlign w:val="bottom"/>
            <w:gridSpan w:val="33"/>
          </w:tcPr>
          <w:p>
            <w:pPr>
              <w:spacing w:after="0"/>
              <w:rPr>
                <w:sz w:val="20"/>
                <w:szCs w:val="20"/>
                <w:color w:val="auto"/>
              </w:rPr>
            </w:pPr>
            <w:r>
              <w:rPr>
                <w:rFonts w:ascii="Arial" w:cs="Arial" w:eastAsia="Arial" w:hAnsi="Arial"/>
                <w:sz w:val="18"/>
                <w:szCs w:val="18"/>
                <w:color w:val="0000FF"/>
              </w:rPr>
              <w:t>Definitions</w:t>
            </w:r>
          </w:p>
        </w:tc>
        <w:tc>
          <w:tcPr>
            <w:tcW w:w="2180" w:type="dxa"/>
            <w:vAlign w:val="bottom"/>
          </w:tcPr>
          <w:p>
            <w:pPr>
              <w:ind w:left="202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4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6"/>
              </w:rPr>
              <w:t>SECTION 2 ADMINISTRATION</w:t>
            </w:r>
          </w:p>
        </w:tc>
        <w:tc>
          <w:tcPr>
            <w:tcW w:w="6040" w:type="dxa"/>
            <w:vAlign w:val="bottom"/>
            <w:gridSpan w:val="18"/>
          </w:tcPr>
          <w:p>
            <w:pPr>
              <w:spacing w:after="0"/>
              <w:rPr>
                <w:sz w:val="18"/>
                <w:szCs w:val="18"/>
                <w:color w:val="auto"/>
              </w:rPr>
            </w:pPr>
          </w:p>
        </w:tc>
        <w:tc>
          <w:tcPr>
            <w:tcW w:w="2180" w:type="dxa"/>
            <w:vAlign w:val="bottom"/>
          </w:tcPr>
          <w:p>
            <w:pPr>
              <w:ind w:left="202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r>
      <w:tr>
        <w:trPr>
          <w:trHeight w:val="209"/>
        </w:trPr>
        <w:tc>
          <w:tcPr>
            <w:tcW w:w="220" w:type="dxa"/>
            <w:vAlign w:val="bottom"/>
          </w:tcPr>
          <w:p>
            <w:pPr>
              <w:spacing w:after="0"/>
              <w:rPr>
                <w:sz w:val="20"/>
                <w:szCs w:val="20"/>
                <w:color w:val="auto"/>
              </w:rPr>
            </w:pPr>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00" w:type="dxa"/>
            <w:vAlign w:val="bottom"/>
            <w:gridSpan w:val="33"/>
          </w:tcPr>
          <w:p>
            <w:pPr>
              <w:spacing w:after="0"/>
              <w:rPr>
                <w:sz w:val="20"/>
                <w:szCs w:val="20"/>
                <w:color w:val="auto"/>
              </w:rPr>
            </w:pPr>
            <w:r>
              <w:rPr>
                <w:rFonts w:ascii="Arial" w:cs="Arial" w:eastAsia="Arial" w:hAnsi="Arial"/>
                <w:sz w:val="18"/>
                <w:szCs w:val="18"/>
                <w:color w:val="0000FF"/>
              </w:rPr>
              <w:t>Administration</w:t>
            </w:r>
          </w:p>
        </w:tc>
        <w:tc>
          <w:tcPr>
            <w:tcW w:w="2180" w:type="dxa"/>
            <w:vAlign w:val="bottom"/>
          </w:tcPr>
          <w:p>
            <w:pPr>
              <w:ind w:left="202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20" w:type="dxa"/>
            <w:vAlign w:val="bottom"/>
          </w:tcPr>
          <w:p>
            <w:pPr>
              <w:spacing w:after="0"/>
              <w:rPr>
                <w:sz w:val="20"/>
                <w:szCs w:val="20"/>
                <w:color w:val="auto"/>
              </w:rPr>
            </w:pPr>
            <w:r>
              <w:rPr>
                <w:rFonts w:ascii="Arial" w:cs="Arial" w:eastAsia="Arial" w:hAnsi="Arial"/>
                <w:sz w:val="18"/>
                <w:szCs w:val="18"/>
                <w:color w:val="0000FF"/>
                <w:w w:val="79"/>
              </w:rPr>
              <w:t>2.</w:t>
            </w:r>
            <w:r>
              <w:rPr>
                <w:rFonts w:ascii="Arial" w:cs="Arial" w:eastAsia="Arial" w:hAnsi="Arial"/>
                <w:sz w:val="18"/>
                <w:szCs w:val="18"/>
                <w:u w:val="single" w:color="auto"/>
                <w:color w:val="0000FF"/>
                <w:w w:val="79"/>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00" w:type="dxa"/>
            <w:vAlign w:val="bottom"/>
            <w:gridSpan w:val="33"/>
          </w:tcPr>
          <w:p>
            <w:pPr>
              <w:spacing w:after="0"/>
              <w:rPr>
                <w:sz w:val="20"/>
                <w:szCs w:val="20"/>
                <w:color w:val="auto"/>
              </w:rPr>
            </w:pPr>
            <w:r>
              <w:rPr>
                <w:rFonts w:ascii="Arial" w:cs="Arial" w:eastAsia="Arial" w:hAnsi="Arial"/>
                <w:sz w:val="18"/>
                <w:szCs w:val="18"/>
                <w:color w:val="0000FF"/>
              </w:rPr>
              <w:t>Duties and Powers of Committee</w:t>
            </w:r>
          </w:p>
        </w:tc>
        <w:tc>
          <w:tcPr>
            <w:tcW w:w="2180" w:type="dxa"/>
            <w:vAlign w:val="bottom"/>
          </w:tcPr>
          <w:p>
            <w:pPr>
              <w:ind w:left="202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r>
      <w:tr>
        <w:trPr>
          <w:trHeight w:val="209"/>
        </w:trPr>
        <w:tc>
          <w:tcPr>
            <w:tcW w:w="2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9"/>
              </w:rPr>
              <w:t>2.</w:t>
            </w:r>
            <w:r>
              <w:rPr>
                <w:rFonts w:ascii="Arial" w:cs="Arial" w:eastAsia="Arial" w:hAnsi="Arial"/>
                <w:sz w:val="18"/>
                <w:szCs w:val="18"/>
                <w:u w:val="single" w:color="auto"/>
                <w:color w:val="0000FF"/>
                <w:w w:val="79"/>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3"/>
              </w:rPr>
              <w:t>Majority Rule</w:t>
            </w:r>
          </w:p>
        </w:tc>
        <w:tc>
          <w:tcPr>
            <w:tcW w:w="1360" w:type="dxa"/>
            <w:vAlign w:val="bottom"/>
            <w:tcBorders>
              <w:top w:val="single" w:sz="8" w:color="0000FF"/>
            </w:tcBorders>
            <w:gridSpan w:val="16"/>
          </w:tcPr>
          <w:p>
            <w:pPr>
              <w:spacing w:after="0"/>
              <w:rPr>
                <w:sz w:val="18"/>
                <w:szCs w:val="18"/>
                <w:color w:val="auto"/>
              </w:rPr>
            </w:pPr>
          </w:p>
        </w:tc>
        <w:tc>
          <w:tcPr>
            <w:tcW w:w="5720" w:type="dxa"/>
            <w:vAlign w:val="bottom"/>
            <w:gridSpan w:val="13"/>
          </w:tcPr>
          <w:p>
            <w:pPr>
              <w:spacing w:after="0"/>
              <w:rPr>
                <w:sz w:val="18"/>
                <w:szCs w:val="18"/>
                <w:color w:val="auto"/>
              </w:rPr>
            </w:pPr>
          </w:p>
        </w:tc>
        <w:tc>
          <w:tcPr>
            <w:tcW w:w="2180" w:type="dxa"/>
            <w:vAlign w:val="bottom"/>
          </w:tcPr>
          <w:p>
            <w:pPr>
              <w:ind w:left="202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r>
      <w:tr>
        <w:trPr>
          <w:trHeight w:val="209"/>
        </w:trPr>
        <w:tc>
          <w:tcPr>
            <w:tcW w:w="220" w:type="dxa"/>
            <w:vAlign w:val="bottom"/>
          </w:tcPr>
          <w:p>
            <w:pPr>
              <w:spacing w:after="0"/>
              <w:rPr>
                <w:sz w:val="20"/>
                <w:szCs w:val="20"/>
                <w:color w:val="auto"/>
              </w:rPr>
            </w:pPr>
            <w:r>
              <w:rPr>
                <w:rFonts w:ascii="Arial" w:cs="Arial" w:eastAsia="Arial" w:hAnsi="Arial"/>
                <w:sz w:val="18"/>
                <w:szCs w:val="18"/>
                <w:color w:val="0000FF"/>
                <w:w w:val="79"/>
              </w:rPr>
              <w:t>2.</w:t>
            </w:r>
            <w:r>
              <w:rPr>
                <w:rFonts w:ascii="Arial" w:cs="Arial" w:eastAsia="Arial" w:hAnsi="Arial"/>
                <w:sz w:val="18"/>
                <w:szCs w:val="18"/>
                <w:u w:val="single" w:color="auto"/>
                <w:color w:val="0000FF"/>
                <w:w w:val="79"/>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00" w:type="dxa"/>
            <w:vAlign w:val="bottom"/>
            <w:gridSpan w:val="33"/>
          </w:tcPr>
          <w:p>
            <w:pPr>
              <w:spacing w:after="0"/>
              <w:rPr>
                <w:sz w:val="20"/>
                <w:szCs w:val="20"/>
                <w:color w:val="auto"/>
              </w:rPr>
            </w:pPr>
            <w:r>
              <w:rPr>
                <w:rFonts w:ascii="Arial" w:cs="Arial" w:eastAsia="Arial" w:hAnsi="Arial"/>
                <w:sz w:val="18"/>
                <w:szCs w:val="18"/>
                <w:color w:val="0000FF"/>
              </w:rPr>
              <w:t>Delegation of Authority</w:t>
            </w:r>
          </w:p>
        </w:tc>
        <w:tc>
          <w:tcPr>
            <w:tcW w:w="2180" w:type="dxa"/>
            <w:vAlign w:val="bottom"/>
          </w:tcPr>
          <w:p>
            <w:pPr>
              <w:ind w:left="202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2.</w:t>
            </w:r>
            <w:r>
              <w:rPr>
                <w:rFonts w:ascii="Arial" w:cs="Arial" w:eastAsia="Arial" w:hAnsi="Arial"/>
                <w:sz w:val="18"/>
                <w:szCs w:val="18"/>
                <w:u w:val="single" w:color="auto"/>
                <w:color w:val="0000FF"/>
                <w:w w:val="79"/>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0"/>
              </w:rPr>
              <w:t>Compensation; Professional Assistance; Good Faith Actions</w:t>
            </w:r>
          </w:p>
        </w:tc>
        <w:tc>
          <w:tcPr>
            <w:tcW w:w="3740" w:type="dxa"/>
            <w:vAlign w:val="bottom"/>
          </w:tcPr>
          <w:p>
            <w:pPr>
              <w:spacing w:after="0"/>
              <w:rPr>
                <w:sz w:val="18"/>
                <w:szCs w:val="18"/>
                <w:color w:val="auto"/>
              </w:rPr>
            </w:pPr>
          </w:p>
        </w:tc>
        <w:tc>
          <w:tcPr>
            <w:tcW w:w="2180" w:type="dxa"/>
            <w:vAlign w:val="bottom"/>
          </w:tcPr>
          <w:p>
            <w:pPr>
              <w:ind w:left="202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r>
      <w:tr>
        <w:trPr>
          <w:trHeight w:val="210"/>
        </w:trPr>
        <w:tc>
          <w:tcPr>
            <w:tcW w:w="8520" w:type="dxa"/>
            <w:vAlign w:val="bottom"/>
            <w:gridSpan w:val="36"/>
          </w:tcPr>
          <w:p>
            <w:pPr>
              <w:spacing w:after="0"/>
              <w:rPr>
                <w:sz w:val="20"/>
                <w:szCs w:val="20"/>
                <w:color w:val="auto"/>
              </w:rPr>
            </w:pPr>
            <w:r>
              <w:rPr>
                <w:rFonts w:ascii="Arial" w:cs="Arial" w:eastAsia="Arial" w:hAnsi="Arial"/>
                <w:sz w:val="18"/>
                <w:szCs w:val="18"/>
                <w:color w:val="0000FF"/>
              </w:rPr>
              <w:t>SECTION 3 SHARES SUBJECT TO PLAN</w:t>
            </w:r>
          </w:p>
        </w:tc>
        <w:tc>
          <w:tcPr>
            <w:tcW w:w="2180" w:type="dxa"/>
            <w:vAlign w:val="bottom"/>
          </w:tcPr>
          <w:p>
            <w:pPr>
              <w:ind w:left="202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r>
      <w:tr>
        <w:trPr>
          <w:trHeight w:val="210"/>
        </w:trPr>
        <w:tc>
          <w:tcPr>
            <w:tcW w:w="2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36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8"/>
                <w:szCs w:val="18"/>
                <w:color w:val="0000FF"/>
                <w:w w:val="88"/>
              </w:rPr>
              <w:t>Number of and Source of Shares</w:t>
            </w:r>
          </w:p>
        </w:tc>
        <w:tc>
          <w:tcPr>
            <w:tcW w:w="440" w:type="dxa"/>
            <w:vAlign w:val="bottom"/>
            <w:tcBorders>
              <w:top w:val="single" w:sz="8" w:color="0000FF"/>
            </w:tcBorders>
            <w:gridSpan w:val="6"/>
          </w:tcPr>
          <w:p>
            <w:pPr>
              <w:spacing w:after="0"/>
              <w:rPr>
                <w:sz w:val="18"/>
                <w:szCs w:val="18"/>
                <w:color w:val="auto"/>
              </w:rPr>
            </w:pPr>
          </w:p>
        </w:tc>
        <w:tc>
          <w:tcPr>
            <w:tcW w:w="5300" w:type="dxa"/>
            <w:vAlign w:val="bottom"/>
            <w:gridSpan w:val="8"/>
          </w:tcPr>
          <w:p>
            <w:pPr>
              <w:spacing w:after="0"/>
              <w:rPr>
                <w:sz w:val="18"/>
                <w:szCs w:val="18"/>
                <w:color w:val="auto"/>
              </w:rPr>
            </w:pPr>
          </w:p>
        </w:tc>
        <w:tc>
          <w:tcPr>
            <w:tcW w:w="2180" w:type="dxa"/>
            <w:vAlign w:val="bottom"/>
          </w:tcPr>
          <w:p>
            <w:pPr>
              <w:ind w:left="202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r>
      <w:tr>
        <w:trPr>
          <w:trHeight w:val="209"/>
        </w:trPr>
        <w:tc>
          <w:tcPr>
            <w:tcW w:w="220" w:type="dxa"/>
            <w:vAlign w:val="bottom"/>
          </w:tcPr>
          <w:p>
            <w:pPr>
              <w:spacing w:after="0"/>
              <w:rPr>
                <w:sz w:val="20"/>
                <w:szCs w:val="20"/>
                <w:color w:val="auto"/>
              </w:rPr>
            </w:pPr>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00" w:type="dxa"/>
            <w:vAlign w:val="bottom"/>
            <w:gridSpan w:val="33"/>
          </w:tcPr>
          <w:p>
            <w:pPr>
              <w:spacing w:after="0"/>
              <w:rPr>
                <w:sz w:val="20"/>
                <w:szCs w:val="20"/>
                <w:color w:val="auto"/>
              </w:rPr>
            </w:pPr>
            <w:r>
              <w:rPr>
                <w:rFonts w:ascii="Arial" w:cs="Arial" w:eastAsia="Arial" w:hAnsi="Arial"/>
                <w:sz w:val="18"/>
                <w:szCs w:val="18"/>
                <w:color w:val="0000FF"/>
              </w:rPr>
              <w:t>Unrealized and Tandem Awards</w:t>
            </w:r>
          </w:p>
        </w:tc>
        <w:tc>
          <w:tcPr>
            <w:tcW w:w="2180" w:type="dxa"/>
            <w:vAlign w:val="bottom"/>
          </w:tcPr>
          <w:p>
            <w:pPr>
              <w:ind w:left="202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r>
      <w:tr>
        <w:trPr>
          <w:trHeight w:val="209"/>
        </w:trPr>
        <w:tc>
          <w:tcPr>
            <w:tcW w:w="2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79"/>
              </w:rPr>
              <w:t>3.</w:t>
            </w:r>
            <w:r>
              <w:rPr>
                <w:rFonts w:ascii="Arial" w:cs="Arial" w:eastAsia="Arial" w:hAnsi="Arial"/>
                <w:sz w:val="18"/>
                <w:szCs w:val="18"/>
                <w:u w:val="single" w:color="auto"/>
                <w:color w:val="0000FF"/>
                <w:w w:val="79"/>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Adjustment of Awards</w:t>
            </w:r>
          </w:p>
        </w:tc>
        <w:tc>
          <w:tcPr>
            <w:tcW w:w="5800" w:type="dxa"/>
            <w:vAlign w:val="bottom"/>
            <w:gridSpan w:val="15"/>
          </w:tcPr>
          <w:p>
            <w:pPr>
              <w:spacing w:after="0"/>
              <w:rPr>
                <w:sz w:val="18"/>
                <w:szCs w:val="18"/>
                <w:color w:val="auto"/>
              </w:rPr>
            </w:pPr>
          </w:p>
        </w:tc>
        <w:tc>
          <w:tcPr>
            <w:tcW w:w="2180" w:type="dxa"/>
            <w:vAlign w:val="bottom"/>
          </w:tcPr>
          <w:p>
            <w:pPr>
              <w:ind w:left="202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8"/>
              </w:rPr>
              <w:t>SECTION 4 ELIGIBILITY</w:t>
            </w:r>
          </w:p>
        </w:tc>
        <w:tc>
          <w:tcPr>
            <w:tcW w:w="6520" w:type="dxa"/>
            <w:vAlign w:val="bottom"/>
            <w:gridSpan w:val="22"/>
          </w:tcPr>
          <w:p>
            <w:pPr>
              <w:spacing w:after="0"/>
              <w:rPr>
                <w:sz w:val="18"/>
                <w:szCs w:val="18"/>
                <w:color w:val="auto"/>
              </w:rPr>
            </w:pPr>
          </w:p>
        </w:tc>
        <w:tc>
          <w:tcPr>
            <w:tcW w:w="2180" w:type="dxa"/>
            <w:vAlign w:val="bottom"/>
          </w:tcPr>
          <w:p>
            <w:pPr>
              <w:ind w:left="202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r>
      <w:tr>
        <w:trPr>
          <w:trHeight w:val="209"/>
        </w:trPr>
        <w:tc>
          <w:tcPr>
            <w:tcW w:w="8520" w:type="dxa"/>
            <w:vAlign w:val="bottom"/>
            <w:gridSpan w:val="36"/>
          </w:tcPr>
          <w:p>
            <w:pPr>
              <w:spacing w:after="0"/>
              <w:rPr>
                <w:sz w:val="20"/>
                <w:szCs w:val="20"/>
                <w:color w:val="auto"/>
              </w:rPr>
            </w:pPr>
            <w:r>
              <w:rPr>
                <w:rFonts w:ascii="Arial" w:cs="Arial" w:eastAsia="Arial" w:hAnsi="Arial"/>
                <w:sz w:val="18"/>
                <w:szCs w:val="18"/>
                <w:color w:val="0000FF"/>
              </w:rPr>
              <w:t>SECTION 5 AWARDS</w:t>
            </w:r>
          </w:p>
        </w:tc>
        <w:tc>
          <w:tcPr>
            <w:tcW w:w="2180" w:type="dxa"/>
            <w:vAlign w:val="bottom"/>
          </w:tcPr>
          <w:p>
            <w:pPr>
              <w:ind w:left="202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r>
      <w:tr>
        <w:trPr>
          <w:trHeight w:val="210"/>
        </w:trPr>
        <w:tc>
          <w:tcPr>
            <w:tcW w:w="2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79"/>
              </w:rPr>
              <w:t>5.</w:t>
            </w:r>
            <w:r>
              <w:rPr>
                <w:rFonts w:ascii="Arial" w:cs="Arial" w:eastAsia="Arial" w:hAnsi="Arial"/>
                <w:sz w:val="18"/>
                <w:szCs w:val="18"/>
                <w:u w:val="single" w:color="auto"/>
                <w:color w:val="0000FF"/>
                <w:w w:val="79"/>
              </w:rPr>
              <w:t>1</w:t>
            </w: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Stock Options</w:t>
            </w:r>
          </w:p>
        </w:tc>
        <w:tc>
          <w:tcPr>
            <w:tcW w:w="6840" w:type="dxa"/>
            <w:vAlign w:val="bottom"/>
            <w:gridSpan w:val="26"/>
          </w:tcPr>
          <w:p>
            <w:pPr>
              <w:spacing w:after="0"/>
              <w:rPr>
                <w:sz w:val="18"/>
                <w:szCs w:val="18"/>
                <w:color w:val="auto"/>
              </w:rPr>
            </w:pPr>
          </w:p>
        </w:tc>
        <w:tc>
          <w:tcPr>
            <w:tcW w:w="2180" w:type="dxa"/>
            <w:vAlign w:val="bottom"/>
          </w:tcPr>
          <w:p>
            <w:pPr>
              <w:ind w:left="202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20" w:type="dxa"/>
            <w:vAlign w:val="bottom"/>
          </w:tcPr>
          <w:p>
            <w:pPr>
              <w:spacing w:after="0"/>
              <w:rPr>
                <w:sz w:val="20"/>
                <w:szCs w:val="20"/>
                <w:color w:val="auto"/>
              </w:rPr>
            </w:pPr>
            <w:r>
              <w:rPr>
                <w:rFonts w:ascii="Arial" w:cs="Arial" w:eastAsia="Arial" w:hAnsi="Arial"/>
                <w:sz w:val="18"/>
                <w:szCs w:val="18"/>
                <w:color w:val="0000FF"/>
                <w:w w:val="79"/>
              </w:rPr>
              <w:t>5.</w:t>
            </w:r>
            <w:r>
              <w:rPr>
                <w:rFonts w:ascii="Arial" w:cs="Arial" w:eastAsia="Arial" w:hAnsi="Arial"/>
                <w:sz w:val="18"/>
                <w:szCs w:val="18"/>
                <w:u w:val="single" w:color="auto"/>
                <w:color w:val="0000FF"/>
                <w:w w:val="79"/>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00" w:type="dxa"/>
            <w:vAlign w:val="bottom"/>
            <w:gridSpan w:val="33"/>
          </w:tcPr>
          <w:p>
            <w:pPr>
              <w:spacing w:after="0"/>
              <w:rPr>
                <w:sz w:val="20"/>
                <w:szCs w:val="20"/>
                <w:color w:val="auto"/>
              </w:rPr>
            </w:pPr>
            <w:r>
              <w:rPr>
                <w:rFonts w:ascii="Arial" w:cs="Arial" w:eastAsia="Arial" w:hAnsi="Arial"/>
                <w:sz w:val="18"/>
                <w:szCs w:val="18"/>
                <w:color w:val="0000FF"/>
              </w:rPr>
              <w:t>Stock Appreciation Rights</w:t>
            </w:r>
          </w:p>
        </w:tc>
        <w:tc>
          <w:tcPr>
            <w:tcW w:w="2180" w:type="dxa"/>
            <w:vAlign w:val="bottom"/>
          </w:tcPr>
          <w:p>
            <w:pPr>
              <w:ind w:left="202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r>
      <w:tr>
        <w:trPr>
          <w:trHeight w:val="209"/>
        </w:trPr>
        <w:tc>
          <w:tcPr>
            <w:tcW w:w="2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79"/>
              </w:rPr>
              <w:t>5.</w:t>
            </w:r>
            <w:r>
              <w:rPr>
                <w:rFonts w:ascii="Arial" w:cs="Arial" w:eastAsia="Arial" w:hAnsi="Arial"/>
                <w:sz w:val="18"/>
                <w:szCs w:val="18"/>
                <w:u w:val="single" w:color="auto"/>
                <w:color w:val="0000FF"/>
                <w:w w:val="79"/>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Restricted Stock</w:t>
            </w:r>
          </w:p>
        </w:tc>
        <w:tc>
          <w:tcPr>
            <w:tcW w:w="6200" w:type="dxa"/>
            <w:vAlign w:val="bottom"/>
            <w:gridSpan w:val="19"/>
          </w:tcPr>
          <w:p>
            <w:pPr>
              <w:spacing w:after="0"/>
              <w:rPr>
                <w:sz w:val="18"/>
                <w:szCs w:val="18"/>
                <w:color w:val="auto"/>
              </w:rPr>
            </w:pPr>
          </w:p>
        </w:tc>
        <w:tc>
          <w:tcPr>
            <w:tcW w:w="2180" w:type="dxa"/>
            <w:vAlign w:val="bottom"/>
          </w:tcPr>
          <w:p>
            <w:pPr>
              <w:ind w:left="202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5.</w:t>
            </w:r>
            <w:r>
              <w:rPr>
                <w:rFonts w:ascii="Arial" w:cs="Arial" w:eastAsia="Arial" w:hAnsi="Arial"/>
                <w:sz w:val="18"/>
                <w:szCs w:val="18"/>
                <w:u w:val="single" w:color="auto"/>
                <w:color w:val="0000FF"/>
                <w:w w:val="79"/>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Performance Awards</w:t>
            </w:r>
          </w:p>
        </w:tc>
        <w:tc>
          <w:tcPr>
            <w:tcW w:w="6580" w:type="dxa"/>
            <w:vAlign w:val="bottom"/>
            <w:gridSpan w:val="23"/>
          </w:tcPr>
          <w:p>
            <w:pPr>
              <w:spacing w:after="0"/>
              <w:rPr>
                <w:sz w:val="18"/>
                <w:szCs w:val="18"/>
                <w:color w:val="auto"/>
              </w:rPr>
            </w:pPr>
          </w:p>
        </w:tc>
        <w:tc>
          <w:tcPr>
            <w:tcW w:w="2180" w:type="dxa"/>
            <w:vAlign w:val="bottom"/>
          </w:tcPr>
          <w:p>
            <w:pPr>
              <w:ind w:left="202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r>
      <w:tr>
        <w:trPr>
          <w:trHeight w:val="209"/>
        </w:trPr>
        <w:tc>
          <w:tcPr>
            <w:tcW w:w="220" w:type="dxa"/>
            <w:vAlign w:val="bottom"/>
          </w:tcPr>
          <w:p>
            <w:pPr>
              <w:spacing w:after="0"/>
              <w:rPr>
                <w:sz w:val="20"/>
                <w:szCs w:val="20"/>
                <w:color w:val="auto"/>
              </w:rPr>
            </w:pPr>
            <w:r>
              <w:rPr>
                <w:rFonts w:ascii="Arial" w:cs="Arial" w:eastAsia="Arial" w:hAnsi="Arial"/>
                <w:sz w:val="18"/>
                <w:szCs w:val="18"/>
                <w:color w:val="0000FF"/>
                <w:w w:val="79"/>
              </w:rPr>
              <w:t>5.</w:t>
            </w:r>
            <w:r>
              <w:rPr>
                <w:rFonts w:ascii="Arial" w:cs="Arial" w:eastAsia="Arial" w:hAnsi="Arial"/>
                <w:sz w:val="18"/>
                <w:szCs w:val="18"/>
                <w:u w:val="single" w:color="auto"/>
                <w:color w:val="0000FF"/>
                <w:w w:val="79"/>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00" w:type="dxa"/>
            <w:vAlign w:val="bottom"/>
            <w:gridSpan w:val="33"/>
          </w:tcPr>
          <w:p>
            <w:pPr>
              <w:spacing w:after="0"/>
              <w:rPr>
                <w:sz w:val="20"/>
                <w:szCs w:val="20"/>
                <w:color w:val="auto"/>
              </w:rPr>
            </w:pPr>
            <w:r>
              <w:rPr>
                <w:rFonts w:ascii="Arial" w:cs="Arial" w:eastAsia="Arial" w:hAnsi="Arial"/>
                <w:sz w:val="18"/>
                <w:szCs w:val="18"/>
                <w:color w:val="0000FF"/>
              </w:rPr>
              <w:t>Manager Awards and Tandem Awards</w:t>
            </w:r>
          </w:p>
        </w:tc>
        <w:tc>
          <w:tcPr>
            <w:tcW w:w="2180" w:type="dxa"/>
            <w:vAlign w:val="bottom"/>
          </w:tcPr>
          <w:p>
            <w:pPr>
              <w:ind w:left="202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210"/>
        </w:trPr>
        <w:tc>
          <w:tcPr>
            <w:tcW w:w="220" w:type="dxa"/>
            <w:vAlign w:val="bottom"/>
          </w:tcPr>
          <w:p>
            <w:pPr>
              <w:spacing w:after="0"/>
              <w:rPr>
                <w:sz w:val="20"/>
                <w:szCs w:val="20"/>
                <w:color w:val="auto"/>
              </w:rPr>
            </w:pPr>
            <w:r>
              <w:rPr>
                <w:rFonts w:ascii="Arial" w:cs="Arial" w:eastAsia="Arial" w:hAnsi="Arial"/>
                <w:sz w:val="18"/>
                <w:szCs w:val="18"/>
                <w:color w:val="0000FF"/>
                <w:w w:val="79"/>
              </w:rPr>
              <w:t>5.</w:t>
            </w:r>
            <w:r>
              <w:rPr>
                <w:rFonts w:ascii="Arial" w:cs="Arial" w:eastAsia="Arial" w:hAnsi="Arial"/>
                <w:sz w:val="18"/>
                <w:szCs w:val="18"/>
                <w:u w:val="single" w:color="auto"/>
                <w:color w:val="0000FF"/>
                <w:w w:val="79"/>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00" w:type="dxa"/>
            <w:vAlign w:val="bottom"/>
            <w:gridSpan w:val="33"/>
          </w:tcPr>
          <w:p>
            <w:pPr>
              <w:spacing w:after="0"/>
              <w:rPr>
                <w:sz w:val="20"/>
                <w:szCs w:val="20"/>
                <w:color w:val="auto"/>
              </w:rPr>
            </w:pPr>
            <w:r>
              <w:rPr>
                <w:rFonts w:ascii="Arial" w:cs="Arial" w:eastAsia="Arial" w:hAnsi="Arial"/>
                <w:sz w:val="18"/>
                <w:szCs w:val="18"/>
                <w:color w:val="0000FF"/>
              </w:rPr>
              <w:t>Automatic Non-Officer Director Awards</w:t>
            </w: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10</w:t>
            </w:r>
          </w:p>
        </w:tc>
      </w:tr>
      <w:tr>
        <w:trPr>
          <w:trHeight w:val="210"/>
        </w:trPr>
        <w:tc>
          <w:tcPr>
            <w:tcW w:w="2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9"/>
              </w:rPr>
              <w:t>5.</w:t>
            </w:r>
            <w:r>
              <w:rPr>
                <w:rFonts w:ascii="Arial" w:cs="Arial" w:eastAsia="Arial" w:hAnsi="Arial"/>
                <w:sz w:val="18"/>
                <w:szCs w:val="18"/>
                <w:u w:val="single" w:color="auto"/>
                <w:color w:val="0000FF"/>
                <w:w w:val="79"/>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Other Awards</w:t>
            </w:r>
          </w:p>
        </w:tc>
        <w:tc>
          <w:tcPr>
            <w:tcW w:w="1900" w:type="dxa"/>
            <w:vAlign w:val="bottom"/>
            <w:tcBorders>
              <w:top w:val="single" w:sz="8" w:color="0000FF"/>
            </w:tcBorders>
            <w:gridSpan w:val="23"/>
          </w:tcPr>
          <w:p>
            <w:pPr>
              <w:spacing w:after="0"/>
              <w:rPr>
                <w:sz w:val="18"/>
                <w:szCs w:val="18"/>
                <w:color w:val="auto"/>
              </w:rPr>
            </w:pPr>
          </w:p>
        </w:tc>
        <w:tc>
          <w:tcPr>
            <w:tcW w:w="5180" w:type="dxa"/>
            <w:vAlign w:val="bottom"/>
            <w:gridSpan w:val="6"/>
          </w:tcPr>
          <w:p>
            <w:pPr>
              <w:spacing w:after="0"/>
              <w:rPr>
                <w:sz w:val="18"/>
                <w:szCs w:val="18"/>
                <w:color w:val="auto"/>
              </w:rPr>
            </w:pP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11</w:t>
            </w:r>
          </w:p>
        </w:tc>
      </w:tr>
      <w:tr>
        <w:trPr>
          <w:trHeight w:val="209"/>
        </w:trPr>
        <w:tc>
          <w:tcPr>
            <w:tcW w:w="284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4"/>
              </w:rPr>
              <w:t>SECTION 6 AWARD AGREEMENTS</w:t>
            </w:r>
          </w:p>
        </w:tc>
        <w:tc>
          <w:tcPr>
            <w:tcW w:w="5680" w:type="dxa"/>
            <w:vAlign w:val="bottom"/>
            <w:gridSpan w:val="12"/>
          </w:tcPr>
          <w:p>
            <w:pPr>
              <w:spacing w:after="0"/>
              <w:rPr>
                <w:sz w:val="18"/>
                <w:szCs w:val="18"/>
                <w:color w:val="auto"/>
              </w:rPr>
            </w:pP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11</w:t>
            </w:r>
          </w:p>
        </w:tc>
      </w:tr>
      <w:tr>
        <w:trPr>
          <w:trHeight w:val="210"/>
        </w:trPr>
        <w:tc>
          <w:tcPr>
            <w:tcW w:w="2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6.</w:t>
            </w:r>
            <w:r>
              <w:rPr>
                <w:rFonts w:ascii="Arial" w:cs="Arial" w:eastAsia="Arial" w:hAnsi="Arial"/>
                <w:sz w:val="18"/>
                <w:szCs w:val="18"/>
                <w:u w:val="single" w:color="auto"/>
                <w:color w:val="0000FF"/>
                <w:w w:val="79"/>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Terms of Award Agreements</w:t>
            </w:r>
          </w:p>
        </w:tc>
        <w:tc>
          <w:tcPr>
            <w:tcW w:w="6020" w:type="dxa"/>
            <w:vAlign w:val="bottom"/>
            <w:gridSpan w:val="17"/>
          </w:tcPr>
          <w:p>
            <w:pPr>
              <w:spacing w:after="0"/>
              <w:rPr>
                <w:sz w:val="18"/>
                <w:szCs w:val="18"/>
                <w:color w:val="auto"/>
              </w:rPr>
            </w:pP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12</w:t>
            </w:r>
          </w:p>
        </w:tc>
      </w:tr>
      <w:tr>
        <w:trPr>
          <w:trHeight w:val="210"/>
        </w:trPr>
        <w:tc>
          <w:tcPr>
            <w:tcW w:w="16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SECTION 7 LOANS</w:t>
            </w:r>
          </w:p>
        </w:tc>
        <w:tc>
          <w:tcPr>
            <w:tcW w:w="6920" w:type="dxa"/>
            <w:vAlign w:val="bottom"/>
            <w:gridSpan w:val="28"/>
          </w:tcPr>
          <w:p>
            <w:pPr>
              <w:spacing w:after="0"/>
              <w:rPr>
                <w:sz w:val="18"/>
                <w:szCs w:val="18"/>
                <w:color w:val="auto"/>
              </w:rPr>
            </w:pP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13</w:t>
            </w:r>
          </w:p>
        </w:tc>
      </w:tr>
      <w:tr>
        <w:trPr>
          <w:trHeight w:val="210"/>
        </w:trPr>
        <w:tc>
          <w:tcPr>
            <w:tcW w:w="3820" w:type="dxa"/>
            <w:vAlign w:val="bottom"/>
            <w:tcBorders>
              <w:bottom w:val="single" w:sz="8" w:color="0000FF"/>
            </w:tcBorders>
            <w:gridSpan w:val="33"/>
          </w:tcPr>
          <w:p>
            <w:pPr>
              <w:spacing w:after="0"/>
              <w:rPr>
                <w:sz w:val="20"/>
                <w:szCs w:val="20"/>
                <w:color w:val="auto"/>
              </w:rPr>
            </w:pPr>
            <w:r>
              <w:rPr>
                <w:rFonts w:ascii="Arial" w:cs="Arial" w:eastAsia="Arial" w:hAnsi="Arial"/>
                <w:sz w:val="18"/>
                <w:szCs w:val="18"/>
                <w:color w:val="0000FF"/>
                <w:w w:val="97"/>
              </w:rPr>
              <w:t>SECTION 8 AMENDMENT AND TERMINATION</w:t>
            </w:r>
          </w:p>
        </w:tc>
        <w:tc>
          <w:tcPr>
            <w:tcW w:w="4700" w:type="dxa"/>
            <w:vAlign w:val="bottom"/>
            <w:gridSpan w:val="3"/>
          </w:tcPr>
          <w:p>
            <w:pPr>
              <w:spacing w:after="0"/>
              <w:rPr>
                <w:sz w:val="18"/>
                <w:szCs w:val="18"/>
                <w:color w:val="auto"/>
              </w:rPr>
            </w:pP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13</w:t>
            </w:r>
          </w:p>
        </w:tc>
      </w:tr>
      <w:tr>
        <w:trPr>
          <w:trHeight w:val="209"/>
        </w:trPr>
        <w:tc>
          <w:tcPr>
            <w:tcW w:w="8520" w:type="dxa"/>
            <w:vAlign w:val="bottom"/>
            <w:gridSpan w:val="36"/>
          </w:tcPr>
          <w:p>
            <w:pPr>
              <w:spacing w:after="0"/>
              <w:rPr>
                <w:sz w:val="20"/>
                <w:szCs w:val="20"/>
                <w:color w:val="auto"/>
              </w:rPr>
            </w:pPr>
            <w:r>
              <w:rPr>
                <w:rFonts w:ascii="Arial" w:cs="Arial" w:eastAsia="Arial" w:hAnsi="Arial"/>
                <w:sz w:val="18"/>
                <w:szCs w:val="18"/>
                <w:color w:val="0000FF"/>
              </w:rPr>
              <w:t>SECTION 9 UNFUNDED STATUS OF PLAN</w:t>
            </w: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14</w:t>
            </w:r>
          </w:p>
        </w:tc>
      </w:tr>
      <w:tr>
        <w:trPr>
          <w:trHeight w:val="210"/>
        </w:trPr>
        <w:tc>
          <w:tcPr>
            <w:tcW w:w="3400" w:type="dxa"/>
            <w:vAlign w:val="bottom"/>
            <w:tcBorders>
              <w:top w:val="single" w:sz="8" w:color="0000FF"/>
            </w:tcBorders>
            <w:gridSpan w:val="31"/>
          </w:tcPr>
          <w:p>
            <w:pPr>
              <w:spacing w:after="0"/>
              <w:rPr>
                <w:sz w:val="20"/>
                <w:szCs w:val="20"/>
                <w:color w:val="auto"/>
              </w:rPr>
            </w:pPr>
            <w:r>
              <w:rPr>
                <w:rFonts w:ascii="Arial" w:cs="Arial" w:eastAsia="Arial" w:hAnsi="Arial"/>
                <w:sz w:val="18"/>
                <w:szCs w:val="18"/>
                <w:color w:val="0000FF"/>
              </w:rPr>
              <w:t>SECTION 10 GENERAL PROVISIONS</w:t>
            </w:r>
          </w:p>
        </w:tc>
        <w:tc>
          <w:tcPr>
            <w:tcW w:w="5120" w:type="dxa"/>
            <w:vAlign w:val="bottom"/>
            <w:gridSpan w:val="5"/>
          </w:tcPr>
          <w:p>
            <w:pPr>
              <w:spacing w:after="0"/>
              <w:rPr>
                <w:sz w:val="18"/>
                <w:szCs w:val="18"/>
                <w:color w:val="auto"/>
              </w:rPr>
            </w:pP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14</w:t>
            </w:r>
          </w:p>
        </w:tc>
      </w:tr>
      <w:tr>
        <w:trPr>
          <w:trHeight w:val="210"/>
        </w:trPr>
        <w:tc>
          <w:tcPr>
            <w:tcW w:w="3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6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Securities Laws Compliance</w:t>
            </w:r>
          </w:p>
        </w:tc>
        <w:tc>
          <w:tcPr>
            <w:tcW w:w="5560" w:type="dxa"/>
            <w:vAlign w:val="bottom"/>
            <w:gridSpan w:val="11"/>
          </w:tcPr>
          <w:p>
            <w:pPr>
              <w:spacing w:after="0"/>
              <w:rPr>
                <w:sz w:val="18"/>
                <w:szCs w:val="18"/>
                <w:color w:val="auto"/>
              </w:rPr>
            </w:pP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14</w:t>
            </w:r>
          </w:p>
        </w:tc>
      </w:tr>
      <w:tr>
        <w:trPr>
          <w:trHeight w:val="210"/>
        </w:trPr>
        <w:tc>
          <w:tcPr>
            <w:tcW w:w="3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Certificate Legends</w:t>
            </w:r>
          </w:p>
        </w:tc>
        <w:tc>
          <w:tcPr>
            <w:tcW w:w="5960" w:type="dxa"/>
            <w:vAlign w:val="bottom"/>
            <w:gridSpan w:val="16"/>
          </w:tcPr>
          <w:p>
            <w:pPr>
              <w:spacing w:after="0"/>
              <w:rPr>
                <w:sz w:val="18"/>
                <w:szCs w:val="18"/>
                <w:color w:val="auto"/>
              </w:rPr>
            </w:pP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14</w:t>
            </w: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209"/>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Transfer Restrictions</w:t>
            </w:r>
          </w:p>
        </w:tc>
        <w:tc>
          <w:tcPr>
            <w:tcW w:w="6480" w:type="dxa"/>
            <w:vAlign w:val="bottom"/>
            <w:gridSpan w:val="21"/>
          </w:tcPr>
          <w:p>
            <w:pPr>
              <w:spacing w:after="0"/>
              <w:rPr>
                <w:sz w:val="18"/>
                <w:szCs w:val="18"/>
                <w:color w:val="auto"/>
              </w:rPr>
            </w:pP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14</w:t>
            </w:r>
          </w:p>
        </w:tc>
      </w:tr>
      <w:tr>
        <w:trPr>
          <w:trHeight w:val="209"/>
        </w:trPr>
        <w:tc>
          <w:tcPr>
            <w:tcW w:w="8520" w:type="dxa"/>
            <w:vAlign w:val="bottom"/>
            <w:gridSpan w:val="36"/>
          </w:tcPr>
          <w:p>
            <w:pPr>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Company Actions; No Right to Employment or Service</w:t>
            </w: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14</w:t>
            </w: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880" w:type="dxa"/>
            <w:vAlign w:val="bottom"/>
            <w:gridSpan w:val="10"/>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210"/>
        </w:trPr>
        <w:tc>
          <w:tcPr>
            <w:tcW w:w="8520" w:type="dxa"/>
            <w:vAlign w:val="bottom"/>
            <w:gridSpan w:val="36"/>
          </w:tcPr>
          <w:p>
            <w:pPr>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Sections 409A and 457A of the Code</w:t>
            </w: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15</w:t>
            </w:r>
          </w:p>
        </w:tc>
      </w:tr>
      <w:tr>
        <w:trPr>
          <w:trHeight w:val="210"/>
        </w:trPr>
        <w:tc>
          <w:tcPr>
            <w:tcW w:w="3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Payment of Taxes</w:t>
            </w:r>
          </w:p>
        </w:tc>
        <w:tc>
          <w:tcPr>
            <w:tcW w:w="1400" w:type="dxa"/>
            <w:vAlign w:val="bottom"/>
            <w:tcBorders>
              <w:top w:val="single" w:sz="8" w:color="0000FF"/>
            </w:tcBorders>
            <w:gridSpan w:val="16"/>
          </w:tcPr>
          <w:p>
            <w:pPr>
              <w:spacing w:after="0"/>
              <w:rPr>
                <w:sz w:val="18"/>
                <w:szCs w:val="18"/>
                <w:color w:val="auto"/>
              </w:rPr>
            </w:pPr>
          </w:p>
        </w:tc>
        <w:tc>
          <w:tcPr>
            <w:tcW w:w="5320" w:type="dxa"/>
            <w:vAlign w:val="bottom"/>
            <w:gridSpan w:val="9"/>
          </w:tcPr>
          <w:p>
            <w:pPr>
              <w:spacing w:after="0"/>
              <w:rPr>
                <w:sz w:val="18"/>
                <w:szCs w:val="18"/>
                <w:color w:val="auto"/>
              </w:rPr>
            </w:pP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15</w:t>
            </w:r>
          </w:p>
        </w:tc>
      </w:tr>
      <w:tr>
        <w:trPr>
          <w:trHeight w:val="209"/>
        </w:trPr>
        <w:tc>
          <w:tcPr>
            <w:tcW w:w="320" w:type="dxa"/>
            <w:vAlign w:val="bottom"/>
            <w:gridSpan w:val="2"/>
          </w:tcPr>
          <w:p>
            <w:pPr>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20" w:type="dxa"/>
            <w:vAlign w:val="bottom"/>
            <w:gridSpan w:val="32"/>
          </w:tcPr>
          <w:p>
            <w:pPr>
              <w:spacing w:after="0"/>
              <w:rPr>
                <w:sz w:val="20"/>
                <w:szCs w:val="20"/>
                <w:color w:val="auto"/>
              </w:rPr>
            </w:pPr>
            <w:r>
              <w:rPr>
                <w:rFonts w:ascii="Arial" w:cs="Arial" w:eastAsia="Arial" w:hAnsi="Arial"/>
                <w:sz w:val="18"/>
                <w:szCs w:val="18"/>
                <w:color w:val="0000FF"/>
              </w:rPr>
              <w:t>Governing Law</w:t>
            </w: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15</w:t>
            </w: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940" w:type="dxa"/>
            <w:vAlign w:val="bottom"/>
            <w:gridSpan w:val="1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210"/>
        </w:trPr>
        <w:tc>
          <w:tcPr>
            <w:tcW w:w="8520" w:type="dxa"/>
            <w:vAlign w:val="bottom"/>
            <w:gridSpan w:val="36"/>
          </w:tcPr>
          <w:p>
            <w:pPr>
              <w:spacing w:after="0"/>
              <w:rPr>
                <w:sz w:val="20"/>
                <w:szCs w:val="20"/>
                <w:color w:val="auto"/>
              </w:rPr>
            </w:pPr>
            <w:r>
              <w:rPr>
                <w:rFonts w:ascii="Arial" w:cs="Arial" w:eastAsia="Arial" w:hAnsi="Arial"/>
                <w:sz w:val="18"/>
                <w:szCs w:val="18"/>
                <w:color w:val="0000FF"/>
              </w:rPr>
              <w:t>SECTION 11 EFFECTIVE DATE OF PLAN</w:t>
            </w: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15</w:t>
            </w:r>
          </w:p>
        </w:tc>
      </w:tr>
      <w:tr>
        <w:trPr>
          <w:trHeight w:val="210"/>
        </w:trPr>
        <w:tc>
          <w:tcPr>
            <w:tcW w:w="232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4"/>
              </w:rPr>
              <w:t>SECTION 12 TERM OF PLAN</w:t>
            </w:r>
          </w:p>
        </w:tc>
        <w:tc>
          <w:tcPr>
            <w:tcW w:w="940" w:type="dxa"/>
            <w:vAlign w:val="bottom"/>
            <w:tcBorders>
              <w:top w:val="single" w:sz="8" w:color="0000FF"/>
            </w:tcBorders>
            <w:gridSpan w:val="12"/>
          </w:tcPr>
          <w:p>
            <w:pPr>
              <w:spacing w:after="0"/>
              <w:rPr>
                <w:sz w:val="18"/>
                <w:szCs w:val="18"/>
                <w:color w:val="auto"/>
              </w:rPr>
            </w:pPr>
          </w:p>
        </w:tc>
        <w:tc>
          <w:tcPr>
            <w:tcW w:w="5260" w:type="dxa"/>
            <w:vAlign w:val="bottom"/>
            <w:gridSpan w:val="7"/>
          </w:tcPr>
          <w:p>
            <w:pPr>
              <w:spacing w:after="0"/>
              <w:rPr>
                <w:sz w:val="18"/>
                <w:szCs w:val="18"/>
                <w:color w:val="auto"/>
              </w:rPr>
            </w:pPr>
          </w:p>
        </w:tc>
        <w:tc>
          <w:tcPr>
            <w:tcW w:w="2640" w:type="dxa"/>
            <w:vAlign w:val="bottom"/>
            <w:gridSpan w:val="2"/>
          </w:tcPr>
          <w:p>
            <w:pPr>
              <w:ind w:left="202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160"/>
          </w:cols>
          <w:pgMar w:left="400" w:top="1440" w:right="339" w:bottom="1440" w:gutter="0" w:footer="0" w:header="0"/>
        </w:sectPr>
      </w:pPr>
    </w:p>
    <w:bookmarkStart w:id="119" w:name="page120"/>
    <w:bookmarkEnd w:id="119"/>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FTAI AVIATION LTD.</w:t>
      </w:r>
    </w:p>
    <w:p>
      <w:pPr>
        <w:jc w:val="center"/>
        <w:ind w:right="-59"/>
        <w:spacing w:after="0"/>
        <w:rPr>
          <w:sz w:val="20"/>
          <w:szCs w:val="20"/>
          <w:color w:val="auto"/>
        </w:rPr>
      </w:pPr>
      <w:r>
        <w:rPr>
          <w:rFonts w:ascii="Arial" w:cs="Arial" w:eastAsia="Arial" w:hAnsi="Arial"/>
          <w:sz w:val="18"/>
          <w:szCs w:val="18"/>
          <w:b w:val="1"/>
          <w:bCs w:val="1"/>
          <w:color w:val="auto"/>
        </w:rPr>
        <w:t>NONQUALIFIED STOCK OPTION AND INCENTIVE AWARD PLAN</w:t>
      </w:r>
    </w:p>
    <w:p>
      <w:pPr>
        <w:spacing w:after="0" w:line="17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SECTION 1</w:t>
      </w:r>
    </w:p>
    <w:p>
      <w:pPr>
        <w:spacing w:after="0" w:line="1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PURPOSE OF PLAN; DEFINITIONS</w:t>
      </w:r>
    </w:p>
    <w:p>
      <w:pPr>
        <w:spacing w:after="0" w:line="202" w:lineRule="exact"/>
        <w:rPr>
          <w:sz w:val="20"/>
          <w:szCs w:val="20"/>
          <w:color w:val="auto"/>
        </w:rPr>
      </w:pPr>
    </w:p>
    <w:p>
      <w:pPr>
        <w:ind w:right="140" w:firstLine="1296"/>
        <w:spacing w:after="0" w:line="24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(a) to reinforce the long-term commitment to the Company’s success of those Non-Officer Directors, officers, directors, employees, advisors, service providers, consultants and other personnel who are or will be responsible for such success; to facilitate the ownership of the Company’s Shares by such individuals, thereby reinforcing the identity of their interests with those of the Company’s</w:t>
      </w:r>
    </w:p>
    <w:p>
      <w:pPr>
        <w:spacing w:after="0" w:line="2" w:lineRule="exact"/>
        <w:rPr>
          <w:sz w:val="20"/>
          <w:szCs w:val="20"/>
          <w:color w:val="auto"/>
        </w:rPr>
      </w:pPr>
    </w:p>
    <w:p>
      <w:pPr>
        <w:jc w:val="both"/>
        <w:ind w:right="280"/>
        <w:spacing w:after="0" w:line="234" w:lineRule="auto"/>
        <w:rPr>
          <w:sz w:val="20"/>
          <w:szCs w:val="20"/>
          <w:color w:val="auto"/>
        </w:rPr>
      </w:pPr>
      <w:r>
        <w:rPr>
          <w:rFonts w:ascii="Arial" w:cs="Arial" w:eastAsia="Arial" w:hAnsi="Arial"/>
          <w:sz w:val="16"/>
          <w:szCs w:val="16"/>
          <w:color w:val="auto"/>
        </w:rPr>
        <w:t>shareholders; to assist the Company in attracting and retaining individuals with experience and ability, (b) to compensate the Manager for its successful efforts in raising capital for the Company and to provide performance-based compensation in order to provide incentive to the Manager to enhance the value of the Company’s Shares and (c) to benefit the Company’s shareholders by encouraging high levels of performance by individuals whose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performance is a key element in achieving the Company’s continued success.</w:t>
      </w:r>
    </w:p>
    <w:p>
      <w:pPr>
        <w:spacing w:after="0" w:line="1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the Plan, the following terms shall be defined as set forth below:</w:t>
      </w:r>
    </w:p>
    <w:p>
      <w:pPr>
        <w:spacing w:after="0" w:line="185" w:lineRule="exact"/>
        <w:rPr>
          <w:sz w:val="20"/>
          <w:szCs w:val="20"/>
          <w:color w:val="auto"/>
        </w:rPr>
      </w:pPr>
    </w:p>
    <w:p>
      <w:pPr>
        <w:ind w:left="2600" w:hanging="648"/>
        <w:spacing w:after="0"/>
        <w:tabs>
          <w:tab w:leader="none" w:pos="2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or “</w:t>
      </w:r>
      <w:r>
        <w:rPr>
          <w:rFonts w:ascii="Arial" w:cs="Arial" w:eastAsia="Arial" w:hAnsi="Arial"/>
          <w:sz w:val="18"/>
          <w:szCs w:val="18"/>
          <w:u w:val="single" w:color="auto"/>
          <w:color w:val="auto"/>
        </w:rPr>
        <w:t>Awards</w:t>
      </w:r>
      <w:r>
        <w:rPr>
          <w:rFonts w:ascii="Arial" w:cs="Arial" w:eastAsia="Arial" w:hAnsi="Arial"/>
          <w:sz w:val="18"/>
          <w:szCs w:val="18"/>
          <w:color w:val="auto"/>
        </w:rPr>
        <w:t>” means an award described in Section 5 hereof.</w:t>
      </w:r>
    </w:p>
    <w:p>
      <w:pPr>
        <w:spacing w:after="0" w:line="198" w:lineRule="exact"/>
        <w:rPr>
          <w:rFonts w:ascii="Arial" w:cs="Arial" w:eastAsia="Arial" w:hAnsi="Arial"/>
          <w:sz w:val="18"/>
          <w:szCs w:val="18"/>
          <w:color w:val="auto"/>
        </w:rPr>
      </w:pPr>
    </w:p>
    <w:p>
      <w:pPr>
        <w:ind w:right="460" w:firstLine="1952"/>
        <w:spacing w:after="0" w:line="235" w:lineRule="auto"/>
        <w:tabs>
          <w:tab w:leader="none" w:pos="2586"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 agreement described in Section 6 hereof entered into between the Company and a Participant, setting forth the terms, conditions and any limitations applicable to the Award granted to the Participant.</w:t>
      </w:r>
    </w:p>
    <w:p>
      <w:pPr>
        <w:spacing w:after="0" w:line="161" w:lineRule="exact"/>
        <w:rPr>
          <w:rFonts w:ascii="Arial" w:cs="Arial" w:eastAsia="Arial" w:hAnsi="Arial"/>
          <w:sz w:val="18"/>
          <w:szCs w:val="18"/>
          <w:color w:val="auto"/>
        </w:rPr>
      </w:pPr>
    </w:p>
    <w:p>
      <w:pPr>
        <w:ind w:left="2600" w:hanging="648"/>
        <w:spacing w:after="0"/>
        <w:tabs>
          <w:tab w:leader="none" w:pos="2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shall have the meaning set forth in Rule 13d-3 under the Exchange Act.</w:t>
      </w:r>
    </w:p>
    <w:p>
      <w:pPr>
        <w:spacing w:after="0" w:line="198" w:lineRule="exact"/>
        <w:rPr>
          <w:rFonts w:ascii="Arial" w:cs="Arial" w:eastAsia="Arial" w:hAnsi="Arial"/>
          <w:sz w:val="18"/>
          <w:szCs w:val="18"/>
          <w:color w:val="auto"/>
        </w:rPr>
      </w:pPr>
    </w:p>
    <w:p>
      <w:pPr>
        <w:ind w:left="2600" w:hanging="648"/>
        <w:spacing w:after="0"/>
        <w:tabs>
          <w:tab w:leader="none" w:pos="2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84" w:lineRule="exact"/>
        <w:rPr>
          <w:rFonts w:ascii="Arial" w:cs="Arial" w:eastAsia="Arial" w:hAnsi="Arial"/>
          <w:sz w:val="18"/>
          <w:szCs w:val="18"/>
          <w:color w:val="auto"/>
        </w:rPr>
      </w:pPr>
    </w:p>
    <w:p>
      <w:pPr>
        <w:ind w:firstLine="1952"/>
        <w:spacing w:after="0" w:line="229" w:lineRule="auto"/>
        <w:tabs>
          <w:tab w:leader="none" w:pos="2589"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of the Company shall be deemed to have occurred if an event set forth in any one of the following paragraphs (i)-(iii) shall have occurred unless prior to the occurrence of such event, the Board determines that such event shall not constitute a Change in Control:</w:t>
      </w:r>
    </w:p>
    <w:p>
      <w:pPr>
        <w:spacing w:after="0" w:line="163" w:lineRule="exact"/>
        <w:rPr>
          <w:rFonts w:ascii="Arial" w:cs="Arial" w:eastAsia="Arial" w:hAnsi="Arial"/>
          <w:sz w:val="18"/>
          <w:szCs w:val="18"/>
          <w:color w:val="auto"/>
        </w:rPr>
      </w:pPr>
    </w:p>
    <w:p>
      <w:pPr>
        <w:ind w:left="3240" w:right="300" w:hanging="640"/>
        <w:spacing w:after="0" w:line="219" w:lineRule="auto"/>
        <w:tabs>
          <w:tab w:leader="none" w:pos="323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Person is or becomes a Beneficial Owner, directly or indirectly, of securities of the Company representing thirty percent (30%) or more of the combined voting power of the then outstanding securities of the Company, excluding (A) any Person who becomes such a Beneficial Owner in connection with a transaction described in clause (x) of paragraph (ii) below, and (B) any Person who becomes such a Beneficial Owner through the issuance of such securities with respect to purchases made directly from the Company; or</w:t>
      </w:r>
    </w:p>
    <w:p>
      <w:pPr>
        <w:spacing w:after="0" w:line="162" w:lineRule="exact"/>
        <w:rPr>
          <w:rFonts w:ascii="Arial" w:cs="Arial" w:eastAsia="Arial" w:hAnsi="Arial"/>
          <w:sz w:val="18"/>
          <w:szCs w:val="18"/>
          <w:color w:val="auto"/>
        </w:rPr>
      </w:pPr>
    </w:p>
    <w:p>
      <w:pPr>
        <w:ind w:left="3240" w:right="240" w:hanging="640"/>
        <w:spacing w:after="0" w:line="227" w:lineRule="auto"/>
        <w:tabs>
          <w:tab w:leader="none" w:pos="3230"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Company or any direct or indirect subsidiary of the Company with any other corporation, other than (x)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fifty percent (50%) or more of the combined voting power of the securities of the Company or such surviving entity or any parent thereof outstanding immediately after such merger or consolidation, or (y) a merger or consolidation effected to implement a recapitalization of the Company (or similar transaction) in which no Person is or becomes the Beneficial Owner, directly or indirectly, of securities of the Company representing thirty percent (30%) or more of the combined voting power of the then outstanding securities of the Company; or</w:t>
      </w:r>
    </w:p>
    <w:p>
      <w:pPr>
        <w:sectPr>
          <w:pgSz w:w="11900" w:h="16838" w:orient="portrait"/>
          <w:cols w:equalWidth="0" w:num="1">
            <w:col w:w="11180"/>
          </w:cols>
          <w:pgMar w:left="320" w:top="1440" w:right="399" w:bottom="1440" w:gutter="0" w:footer="0" w:header="0"/>
        </w:sectPr>
      </w:pPr>
    </w:p>
    <w:bookmarkStart w:id="120" w:name="page121"/>
    <w:bookmarkEnd w:id="120"/>
    <w:p>
      <w:pPr>
        <w:spacing w:after="0" w:line="184" w:lineRule="exact"/>
        <w:rPr>
          <w:sz w:val="20"/>
          <w:szCs w:val="20"/>
          <w:color w:val="auto"/>
        </w:rPr>
      </w:pPr>
    </w:p>
    <w:p>
      <w:pPr>
        <w:jc w:val="both"/>
        <w:ind w:left="3240" w:right="320" w:hanging="640"/>
        <w:spacing w:after="0" w:line="229" w:lineRule="auto"/>
        <w:tabs>
          <w:tab w:leader="none" w:pos="3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or dissolution of the Company or there is consummated an agreement for the sale or disposition by the Company of all or substantially all of the assets of the Company.</w:t>
      </w:r>
    </w:p>
    <w:p>
      <w:pPr>
        <w:spacing w:after="0" w:line="16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For each Award that constitutes deferred compensation under Section 409A of the Code, to the extent required to avoid additional tax or other penalty, a Change in Control shall be deemed to have occurred under the Plan with respect to such Award only if a change in the ownership or effective control of the</w:t>
      </w:r>
    </w:p>
    <w:p>
      <w:pPr>
        <w:ind w:right="120"/>
        <w:spacing w:after="0" w:line="226" w:lineRule="auto"/>
        <w:rPr>
          <w:sz w:val="20"/>
          <w:szCs w:val="20"/>
          <w:color w:val="auto"/>
        </w:rPr>
      </w:pPr>
      <w:r>
        <w:rPr>
          <w:rFonts w:ascii="Arial" w:cs="Arial" w:eastAsia="Arial" w:hAnsi="Arial"/>
          <w:sz w:val="18"/>
          <w:szCs w:val="18"/>
          <w:color w:val="auto"/>
        </w:rPr>
        <w:t>Company or a change in ownership of a substantial portion of the assets of the Company shall also be deemed to have occurred under Section 409A of the Code.</w:t>
      </w:r>
    </w:p>
    <w:p>
      <w:pPr>
        <w:spacing w:after="0" w:line="161" w:lineRule="exact"/>
        <w:rPr>
          <w:sz w:val="20"/>
          <w:szCs w:val="20"/>
          <w:color w:val="auto"/>
        </w:rPr>
      </w:pPr>
    </w:p>
    <w:p>
      <w:pPr>
        <w:ind w:left="2600" w:hanging="648"/>
        <w:spacing w:after="0"/>
        <w:tabs>
          <w:tab w:leader="none" w:pos="26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from time to time, or any successor statute thereto.</w:t>
      </w:r>
    </w:p>
    <w:p>
      <w:pPr>
        <w:spacing w:after="0" w:line="221" w:lineRule="exact"/>
        <w:rPr>
          <w:rFonts w:ascii="Arial" w:cs="Arial" w:eastAsia="Arial" w:hAnsi="Arial"/>
          <w:sz w:val="16"/>
          <w:szCs w:val="16"/>
          <w:color w:val="auto"/>
        </w:rPr>
      </w:pPr>
    </w:p>
    <w:p>
      <w:pPr>
        <w:ind w:left="2600" w:hanging="648"/>
        <w:spacing w:after="0"/>
        <w:tabs>
          <w:tab w:leader="none" w:pos="2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Securities and Exchange Commission.</w:t>
      </w:r>
    </w:p>
    <w:p>
      <w:pPr>
        <w:spacing w:after="0" w:line="184" w:lineRule="exact"/>
        <w:rPr>
          <w:rFonts w:ascii="Arial" w:cs="Arial" w:eastAsia="Arial" w:hAnsi="Arial"/>
          <w:sz w:val="18"/>
          <w:szCs w:val="18"/>
          <w:color w:val="auto"/>
        </w:rPr>
      </w:pPr>
    </w:p>
    <w:p>
      <w:pPr>
        <w:ind w:right="80" w:firstLine="1952"/>
        <w:spacing w:after="0" w:line="267" w:lineRule="auto"/>
        <w:tabs>
          <w:tab w:leader="none" w:pos="2586" w:val="left"/>
        </w:tabs>
        <w:numPr>
          <w:ilvl w:val="0"/>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any committee the Board may appoint to administer the Plan. To the extent necessary and desirable, the Committee shall be composed entirely of individuals who meet the qualifications referred to in Rule 16b-3 under the Exchange Act. If at any time or to any extent the Board shall not administer the Plan, then the functions of the Board specified in the Plan shall be exercised by the Committee.</w:t>
      </w:r>
    </w:p>
    <w:p>
      <w:pPr>
        <w:spacing w:after="0" w:line="141" w:lineRule="exact"/>
        <w:rPr>
          <w:rFonts w:ascii="Arial" w:cs="Arial" w:eastAsia="Arial" w:hAnsi="Arial"/>
          <w:sz w:val="16"/>
          <w:szCs w:val="16"/>
          <w:color w:val="auto"/>
        </w:rPr>
      </w:pPr>
    </w:p>
    <w:p>
      <w:pPr>
        <w:ind w:left="2600" w:hanging="648"/>
        <w:spacing w:after="0"/>
        <w:tabs>
          <w:tab w:leader="none" w:pos="2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FTAI Aviation Ltd. (f/k/a FTAI Finance Holdco Ltd.), a Cayman Islands exempted company.</w:t>
      </w:r>
    </w:p>
    <w:p>
      <w:pPr>
        <w:spacing w:after="0" w:line="196" w:lineRule="exact"/>
        <w:rPr>
          <w:rFonts w:ascii="Arial" w:cs="Arial" w:eastAsia="Arial" w:hAnsi="Arial"/>
          <w:sz w:val="17"/>
          <w:szCs w:val="17"/>
          <w:color w:val="auto"/>
        </w:rPr>
      </w:pPr>
    </w:p>
    <w:p>
      <w:pPr>
        <w:ind w:firstLine="1952"/>
        <w:spacing w:after="0" w:line="219" w:lineRule="auto"/>
        <w:tabs>
          <w:tab w:leader="none" w:pos="25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with respect to any Participant, that such Participant (i) as determined by the Participant’s employer or service recipient (such determination to be approved by the Committee)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such Participant.</w:t>
      </w:r>
    </w:p>
    <w:p>
      <w:pPr>
        <w:spacing w:after="0" w:line="162" w:lineRule="exact"/>
        <w:rPr>
          <w:rFonts w:ascii="Arial" w:cs="Arial" w:eastAsia="Arial" w:hAnsi="Arial"/>
          <w:sz w:val="18"/>
          <w:szCs w:val="18"/>
          <w:color w:val="auto"/>
        </w:rPr>
      </w:pPr>
    </w:p>
    <w:p>
      <w:pPr>
        <w:ind w:left="2600" w:hanging="648"/>
        <w:spacing w:after="0"/>
        <w:tabs>
          <w:tab w:leader="none" w:pos="2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provided pursuant to Section 11 hereof.</w:t>
      </w:r>
    </w:p>
    <w:p>
      <w:pPr>
        <w:spacing w:after="0" w:line="198" w:lineRule="exact"/>
        <w:rPr>
          <w:rFonts w:ascii="Arial" w:cs="Arial" w:eastAsia="Arial" w:hAnsi="Arial"/>
          <w:sz w:val="18"/>
          <w:szCs w:val="18"/>
          <w:color w:val="auto"/>
        </w:rPr>
      </w:pPr>
    </w:p>
    <w:p>
      <w:pPr>
        <w:ind w:right="160" w:firstLine="1952"/>
        <w:spacing w:after="0" w:line="224" w:lineRule="auto"/>
        <w:tabs>
          <w:tab w:leader="none" w:pos="25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Security Factor</w:t>
      </w:r>
      <w:r>
        <w:rPr>
          <w:rFonts w:ascii="Arial" w:cs="Arial" w:eastAsia="Arial" w:hAnsi="Arial"/>
          <w:sz w:val="18"/>
          <w:szCs w:val="18"/>
          <w:color w:val="auto"/>
        </w:rPr>
        <w:t>” means a number of Shares (rounded down to the nearest whole share) equal to (i) the gross capital raised in an equity issuance of equity securities other than Shares during the term of the Plan (as determined by the Committee), divided by (ii) the Fair Market Value of a Share as of the date of such equity issuance.</w:t>
      </w:r>
    </w:p>
    <w:p>
      <w:pPr>
        <w:spacing w:after="0" w:line="176" w:lineRule="exact"/>
        <w:rPr>
          <w:rFonts w:ascii="Arial" w:cs="Arial" w:eastAsia="Arial" w:hAnsi="Arial"/>
          <w:sz w:val="18"/>
          <w:szCs w:val="18"/>
          <w:color w:val="auto"/>
        </w:rPr>
      </w:pPr>
    </w:p>
    <w:p>
      <w:pPr>
        <w:ind w:left="2580" w:hanging="628"/>
        <w:spacing w:after="0"/>
        <w:tabs>
          <w:tab w:leader="none" w:pos="2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84" w:lineRule="exact"/>
        <w:rPr>
          <w:rFonts w:ascii="Arial" w:cs="Arial" w:eastAsia="Arial" w:hAnsi="Arial"/>
          <w:sz w:val="18"/>
          <w:szCs w:val="18"/>
          <w:color w:val="auto"/>
        </w:rPr>
      </w:pPr>
    </w:p>
    <w:p>
      <w:pPr>
        <w:ind w:firstLine="1952"/>
        <w:spacing w:after="0" w:line="219" w:lineRule="auto"/>
        <w:tabs>
          <w:tab w:leader="none" w:pos="25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given date, except as otherwise determined by the Committee (i) the closing price of a Share on the principal exchange on which Shares are then trading, if any, on the trading day previous to such date, or, if shares were not traded on the trading day previous to such date, then on the next preceding trading day during which a sale occurred; or (ii) if such Shares are not publicly traded on an exchange, the mean between the closing bid and asked prices for the Shares, on the day previous to such date, as determined in good faith by the Committee; or (iii) if the Shares are not publicly traded, the fair market value established by the Committee using any reasonable method and acting in good faith.</w:t>
      </w:r>
    </w:p>
    <w:p>
      <w:pPr>
        <w:spacing w:after="0" w:line="162" w:lineRule="exact"/>
        <w:rPr>
          <w:rFonts w:ascii="Arial" w:cs="Arial" w:eastAsia="Arial" w:hAnsi="Arial"/>
          <w:sz w:val="18"/>
          <w:szCs w:val="18"/>
          <w:color w:val="auto"/>
        </w:rPr>
      </w:pPr>
    </w:p>
    <w:p>
      <w:pPr>
        <w:ind w:right="20" w:firstLine="1952"/>
        <w:spacing w:after="0" w:line="223" w:lineRule="auto"/>
        <w:tabs>
          <w:tab w:leader="none" w:pos="25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Manager</w:t>
      </w:r>
      <w:r>
        <w:rPr>
          <w:rFonts w:ascii="Arial" w:cs="Arial" w:eastAsia="Arial" w:hAnsi="Arial"/>
          <w:sz w:val="18"/>
          <w:szCs w:val="18"/>
          <w:color w:val="auto"/>
        </w:rPr>
        <w:t>” means FIG LLC, a Delaware limited liability company (“</w:t>
      </w:r>
      <w:r>
        <w:rPr>
          <w:rFonts w:ascii="Arial" w:cs="Arial" w:eastAsia="Arial" w:hAnsi="Arial"/>
          <w:sz w:val="18"/>
          <w:szCs w:val="18"/>
          <w:u w:val="single" w:color="auto"/>
          <w:color w:val="auto"/>
        </w:rPr>
        <w:t>FIG LLC</w:t>
      </w:r>
      <w:r>
        <w:rPr>
          <w:rFonts w:ascii="Arial" w:cs="Arial" w:eastAsia="Arial" w:hAnsi="Arial"/>
          <w:sz w:val="18"/>
          <w:szCs w:val="18"/>
          <w:color w:val="auto"/>
        </w:rPr>
        <w:t>”), or any Person who shall succeed as manager as permitted by that certain Management and Advisory Agreement, dated as of July 31, 2022, by and among Fortress Transportation and Infrastructure Investors LLC (“</w:t>
      </w:r>
      <w:r>
        <w:rPr>
          <w:rFonts w:ascii="Arial" w:cs="Arial" w:eastAsia="Arial" w:hAnsi="Arial"/>
          <w:sz w:val="18"/>
          <w:szCs w:val="18"/>
          <w:u w:val="single" w:color="auto"/>
          <w:color w:val="auto"/>
        </w:rPr>
        <w:t>FTAI</w:t>
      </w:r>
      <w:r>
        <w:rPr>
          <w:rFonts w:ascii="Arial" w:cs="Arial" w:eastAsia="Arial" w:hAnsi="Arial"/>
          <w:sz w:val="18"/>
          <w:szCs w:val="18"/>
          <w:color w:val="auto"/>
        </w:rPr>
        <w:t>”), FTAI Finance Holdco Ltd., the subsidiaries of FTAI party thereto and FIG LLC, as may be amended and/or restated from time to time.</w:t>
      </w:r>
    </w:p>
    <w:p>
      <w:pPr>
        <w:spacing w:after="0" w:line="162" w:lineRule="exact"/>
        <w:rPr>
          <w:rFonts w:ascii="Arial" w:cs="Arial" w:eastAsia="Arial" w:hAnsi="Arial"/>
          <w:sz w:val="18"/>
          <w:szCs w:val="18"/>
          <w:color w:val="auto"/>
        </w:rPr>
      </w:pPr>
    </w:p>
    <w:p>
      <w:pPr>
        <w:ind w:left="2600" w:hanging="648"/>
        <w:spacing w:after="0"/>
        <w:tabs>
          <w:tab w:leader="none" w:pos="2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Manager Awards</w:t>
      </w:r>
      <w:r>
        <w:rPr>
          <w:rFonts w:ascii="Arial" w:cs="Arial" w:eastAsia="Arial" w:hAnsi="Arial"/>
          <w:sz w:val="18"/>
          <w:szCs w:val="18"/>
          <w:color w:val="auto"/>
        </w:rPr>
        <w:t>” means the Awards granted to the Manager as described in Section 5.5 hereof.</w:t>
      </w:r>
    </w:p>
    <w:p>
      <w:pPr>
        <w:spacing w:after="0" w:line="184" w:lineRule="exact"/>
        <w:rPr>
          <w:rFonts w:ascii="Arial" w:cs="Arial" w:eastAsia="Arial" w:hAnsi="Arial"/>
          <w:sz w:val="18"/>
          <w:szCs w:val="18"/>
          <w:color w:val="auto"/>
        </w:rPr>
      </w:pPr>
    </w:p>
    <w:p>
      <w:pPr>
        <w:ind w:left="2600" w:hanging="648"/>
        <w:spacing w:after="0"/>
        <w:tabs>
          <w:tab w:leader="none" w:pos="2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Non-Officer Director</w:t>
      </w:r>
      <w:r>
        <w:rPr>
          <w:rFonts w:ascii="Arial" w:cs="Arial" w:eastAsia="Arial" w:hAnsi="Arial"/>
          <w:sz w:val="18"/>
          <w:szCs w:val="18"/>
          <w:color w:val="auto"/>
        </w:rPr>
        <w:t>” means a director of the Company who is not an officer or employee of the Company.</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4" w:lineRule="exact"/>
        <w:rPr>
          <w:sz w:val="20"/>
          <w:szCs w:val="20"/>
          <w:color w:val="auto"/>
        </w:rPr>
      </w:pPr>
    </w:p>
    <w:p>
      <w:pPr>
        <w:ind w:left="2600" w:hanging="648"/>
        <w:spacing w:after="0"/>
        <w:tabs>
          <w:tab w:leader="none" w:pos="2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Non-Officer Director Stock Option</w:t>
      </w:r>
      <w:r>
        <w:rPr>
          <w:rFonts w:ascii="Arial" w:cs="Arial" w:eastAsia="Arial" w:hAnsi="Arial"/>
          <w:sz w:val="18"/>
          <w:szCs w:val="18"/>
          <w:color w:val="auto"/>
        </w:rPr>
        <w:t>” shall have the meaning set forth in Section 5.6(a) hereof.</w:t>
      </w:r>
    </w:p>
    <w:p>
      <w:pPr>
        <w:spacing w:after="0" w:line="184" w:lineRule="exact"/>
        <w:rPr>
          <w:rFonts w:ascii="Arial" w:cs="Arial" w:eastAsia="Arial" w:hAnsi="Arial"/>
          <w:sz w:val="18"/>
          <w:szCs w:val="18"/>
          <w:color w:val="auto"/>
        </w:rPr>
      </w:pPr>
    </w:p>
    <w:p>
      <w:pPr>
        <w:jc w:val="both"/>
        <w:ind w:right="80" w:firstLine="1952"/>
        <w:spacing w:after="0" w:line="236" w:lineRule="auto"/>
        <w:tabs>
          <w:tab w:leader="none" w:pos="2579"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any Person selected by the Committee, pursuant to the Committee’s authority in Section 2 hereof, to receive Awards, including but not limited to (i) any Non-Officer Director, (ii) the Manager and its affiliates and (iii) any director, officer or employee of the Company, any parent, affiliate or subsidiary of the Company, or the Manager or any of its affiliates and (iv) any consultant, service provider or advisor to the Company, any parent, affiliate or subsidiary of the Company, or the Manager or any of its affiliates.</w:t>
      </w:r>
    </w:p>
    <w:p>
      <w:pPr>
        <w:spacing w:after="0" w:line="176" w:lineRule="exact"/>
        <w:rPr>
          <w:rFonts w:ascii="Arial" w:cs="Arial" w:eastAsia="Arial" w:hAnsi="Arial"/>
          <w:sz w:val="17"/>
          <w:szCs w:val="17"/>
          <w:color w:val="auto"/>
        </w:rPr>
      </w:pPr>
    </w:p>
    <w:p>
      <w:pPr>
        <w:ind w:left="2600" w:hanging="648"/>
        <w:spacing w:after="0"/>
        <w:tabs>
          <w:tab w:leader="none" w:pos="26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have the meaning set forth in Section 3(a)(9) of the Exchange Act, as modified and used in Sections</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13(d) and 14(d) thereof.</w:t>
      </w:r>
    </w:p>
    <w:p>
      <w:pPr>
        <w:spacing w:after="0" w:line="168" w:lineRule="exact"/>
        <w:rPr>
          <w:rFonts w:ascii="Arial" w:cs="Arial" w:eastAsia="Arial" w:hAnsi="Arial"/>
          <w:sz w:val="16"/>
          <w:szCs w:val="16"/>
          <w:color w:val="auto"/>
        </w:rPr>
      </w:pPr>
    </w:p>
    <w:p>
      <w:pPr>
        <w:ind w:left="2600" w:hanging="648"/>
        <w:spacing w:after="0"/>
        <w:tabs>
          <w:tab w:leader="none" w:pos="2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FTAI Aviation Ltd. Nonqualified Stock Option and Incentive Award Plan.</w:t>
      </w:r>
    </w:p>
    <w:p>
      <w:pPr>
        <w:spacing w:after="0" w:line="198" w:lineRule="exact"/>
        <w:rPr>
          <w:rFonts w:ascii="Arial" w:cs="Arial" w:eastAsia="Arial" w:hAnsi="Arial"/>
          <w:sz w:val="18"/>
          <w:szCs w:val="18"/>
          <w:color w:val="auto"/>
        </w:rPr>
      </w:pPr>
    </w:p>
    <w:p>
      <w:pPr>
        <w:ind w:left="2600" w:hanging="648"/>
        <w:spacing w:after="0"/>
        <w:tabs>
          <w:tab w:leader="none" w:pos="2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as described in Section 5.3 hereof.</w:t>
      </w:r>
    </w:p>
    <w:p>
      <w:pPr>
        <w:spacing w:after="0" w:line="184" w:lineRule="exact"/>
        <w:rPr>
          <w:rFonts w:ascii="Arial" w:cs="Arial" w:eastAsia="Arial" w:hAnsi="Arial"/>
          <w:sz w:val="18"/>
          <w:szCs w:val="18"/>
          <w:color w:val="auto"/>
        </w:rPr>
      </w:pPr>
    </w:p>
    <w:p>
      <w:pPr>
        <w:ind w:left="2600" w:hanging="648"/>
        <w:spacing w:after="0"/>
        <w:tabs>
          <w:tab w:leader="none" w:pos="2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have the meaning set forth in Section 5.5(h) hereof.</w:t>
      </w:r>
    </w:p>
    <w:p>
      <w:pPr>
        <w:spacing w:after="0" w:line="184" w:lineRule="exact"/>
        <w:rPr>
          <w:rFonts w:ascii="Arial" w:cs="Arial" w:eastAsia="Arial" w:hAnsi="Arial"/>
          <w:sz w:val="18"/>
          <w:szCs w:val="18"/>
          <w:color w:val="auto"/>
        </w:rPr>
      </w:pPr>
    </w:p>
    <w:p>
      <w:pPr>
        <w:ind w:left="2600" w:hanging="648"/>
        <w:spacing w:after="0"/>
        <w:tabs>
          <w:tab w:leader="none" w:pos="2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ordinary shares, par value $0.01 per share, of the Company.</w:t>
      </w:r>
    </w:p>
    <w:p>
      <w:pPr>
        <w:spacing w:after="0" w:line="198" w:lineRule="exact"/>
        <w:rPr>
          <w:rFonts w:ascii="Arial" w:cs="Arial" w:eastAsia="Arial" w:hAnsi="Arial"/>
          <w:sz w:val="18"/>
          <w:szCs w:val="18"/>
          <w:color w:val="auto"/>
        </w:rPr>
      </w:pPr>
    </w:p>
    <w:p>
      <w:pPr>
        <w:ind w:left="2600" w:hanging="648"/>
        <w:spacing w:after="0"/>
        <w:tabs>
          <w:tab w:leader="none" w:pos="2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have the meaning set forth in Section 5.2 hereof.</w:t>
      </w:r>
    </w:p>
    <w:p>
      <w:pPr>
        <w:spacing w:after="0" w:line="184" w:lineRule="exact"/>
        <w:rPr>
          <w:rFonts w:ascii="Arial" w:cs="Arial" w:eastAsia="Arial" w:hAnsi="Arial"/>
          <w:sz w:val="18"/>
          <w:szCs w:val="18"/>
          <w:color w:val="auto"/>
        </w:rPr>
      </w:pPr>
    </w:p>
    <w:p>
      <w:pPr>
        <w:ind w:right="700" w:firstLine="1952"/>
        <w:spacing w:after="0" w:line="235" w:lineRule="auto"/>
        <w:tabs>
          <w:tab w:leader="none" w:pos="25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any option to purchase Shares granted pursuant to the Plan. The Stock Options granted hereunder are not intended to qualify as “incentive stock options” within the meaning of Section 422 of the Code.</w:t>
      </w:r>
    </w:p>
    <w:p>
      <w:pPr>
        <w:spacing w:after="0" w:line="175" w:lineRule="exact"/>
        <w:rPr>
          <w:sz w:val="20"/>
          <w:szCs w:val="20"/>
          <w:color w:val="auto"/>
        </w:rPr>
      </w:pPr>
    </w:p>
    <w:p>
      <w:pPr>
        <w:ind w:left="2600" w:hanging="648"/>
        <w:spacing w:after="0"/>
        <w:tabs>
          <w:tab w:leader="none" w:pos="2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Tandem Awards</w:t>
      </w:r>
      <w:r>
        <w:rPr>
          <w:rFonts w:ascii="Arial" w:cs="Arial" w:eastAsia="Arial" w:hAnsi="Arial"/>
          <w:sz w:val="18"/>
          <w:szCs w:val="18"/>
          <w:color w:val="auto"/>
        </w:rPr>
        <w:t>” shall have the meaning set forth in Section 5.5 hereof.</w:t>
      </w:r>
    </w:p>
    <w:p>
      <w:pPr>
        <w:spacing w:after="0" w:line="18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SECTION 2</w:t>
      </w:r>
    </w:p>
    <w:p>
      <w:pPr>
        <w:spacing w:after="0" w:line="158" w:lineRule="exact"/>
        <w:rPr>
          <w:sz w:val="20"/>
          <w:szCs w:val="20"/>
          <w:color w:val="auto"/>
        </w:rPr>
      </w:pPr>
    </w:p>
    <w:p>
      <w:pPr>
        <w:ind w:left="4820"/>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89" w:lineRule="exact"/>
        <w:rPr>
          <w:sz w:val="20"/>
          <w:szCs w:val="20"/>
          <w:color w:val="auto"/>
        </w:rPr>
      </w:pPr>
    </w:p>
    <w:p>
      <w:pPr>
        <w:ind w:right="340" w:firstLine="1296"/>
        <w:spacing w:after="0" w:line="24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to the extent applicable, be administered in accordance with the requirements of Rule 16b-3 under the Exchange Act (“</w:t>
      </w:r>
      <w:r>
        <w:rPr>
          <w:rFonts w:ascii="Arial" w:cs="Arial" w:eastAsia="Arial" w:hAnsi="Arial"/>
          <w:sz w:val="16"/>
          <w:szCs w:val="16"/>
          <w:u w:val="single" w:color="auto"/>
          <w:color w:val="auto"/>
        </w:rPr>
        <w:t>Rule 16b-3</w:t>
      </w:r>
      <w:r>
        <w:rPr>
          <w:rFonts w:ascii="Arial" w:cs="Arial" w:eastAsia="Arial" w:hAnsi="Arial"/>
          <w:sz w:val="16"/>
          <w:szCs w:val="16"/>
          <w:color w:val="auto"/>
        </w:rPr>
        <w:t>”), by the Board or, at the Board’s sole discretion, by the Committee, which shall be appointed by the Board, and</w:t>
      </w:r>
    </w:p>
    <w:p>
      <w:pPr>
        <w:spacing w:after="0" w:line="234" w:lineRule="auto"/>
        <w:rPr>
          <w:sz w:val="20"/>
          <w:szCs w:val="20"/>
          <w:color w:val="auto"/>
        </w:rPr>
      </w:pPr>
      <w:r>
        <w:rPr>
          <w:rFonts w:ascii="Arial" w:cs="Arial" w:eastAsia="Arial" w:hAnsi="Arial"/>
          <w:sz w:val="16"/>
          <w:szCs w:val="16"/>
          <w:color w:val="auto"/>
        </w:rPr>
        <w:t>which shall serve at the pleasure of the Board. The Plan is intended to be exempt from, or to comply with, and shall be administered in a manner that is intended to be exempt from, or comply with, Sections 409A and 457A of the Code and shall be construed and interpreted in accordance with such intent, to the extent subject thereto. To the extent that an Award and/or issuance and/or payment of an Award is subject to Section 409A or 457A of the Code, it shall</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be awarded and/or issued or paid in a manner that will comply with Section 409A or 457A of the Code, as applicable, including any applicable regulations or guidance issued by the Secretary of the United States Treasury Department and the Internal Revenue Service with respect thereto.</w:t>
      </w:r>
    </w:p>
    <w:p>
      <w:pPr>
        <w:spacing w:after="0" w:line="1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Duties and Powers of Committee</w:t>
      </w:r>
      <w:r>
        <w:rPr>
          <w:rFonts w:ascii="Arial" w:cs="Arial" w:eastAsia="Arial" w:hAnsi="Arial"/>
          <w:sz w:val="16"/>
          <w:szCs w:val="16"/>
          <w:color w:val="auto"/>
        </w:rPr>
        <w:t>. The Committee shall have the power and authority to grant Awards to Participants pursuant to</w:t>
      </w:r>
    </w:p>
    <w:p>
      <w:pPr>
        <w:jc w:val="both"/>
        <w:ind w:right="100"/>
        <w:spacing w:after="0" w:line="234" w:lineRule="auto"/>
        <w:rPr>
          <w:sz w:val="20"/>
          <w:szCs w:val="20"/>
          <w:color w:val="auto"/>
        </w:rPr>
      </w:pPr>
      <w:r>
        <w:rPr>
          <w:rFonts w:ascii="Arial" w:cs="Arial" w:eastAsia="Arial" w:hAnsi="Arial"/>
          <w:sz w:val="16"/>
          <w:szCs w:val="16"/>
          <w:color w:val="auto"/>
        </w:rPr>
        <w:t>the terms of the Plan, and, in its discretion, to adopt, alter and repeal such administrative rules, guidelines and practices governing the Plan as it shall from time to time deem advisable; to interpret the terms and provisions of the Plan and any Award issued under the Plan (and any agreements relating thereto); and to otherwise supervise the administration of the Plan. All decisions made by the Committee pursuant to the provisions of the Plan shall be final,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conclusive and binding on all Persons.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particular, the Committee shall have the authority to determine, in a manner consistent with the terms of the Plan:</w:t>
      </w:r>
    </w:p>
    <w:p>
      <w:pPr>
        <w:spacing w:after="0" w:line="185" w:lineRule="exact"/>
        <w:rPr>
          <w:sz w:val="20"/>
          <w:szCs w:val="20"/>
          <w:color w:val="auto"/>
        </w:rPr>
      </w:pPr>
    </w:p>
    <w:p>
      <w:pPr>
        <w:ind w:left="2600" w:hanging="648"/>
        <w:spacing w:after="0"/>
        <w:tabs>
          <w:tab w:leader="none" w:pos="26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addition to the Manager and the Non-Officer Directors, those Participants who shall receive Awards under the Plan;</w:t>
      </w:r>
    </w:p>
    <w:p>
      <w:pPr>
        <w:spacing w:after="0" w:line="221" w:lineRule="exact"/>
        <w:rPr>
          <w:rFonts w:ascii="Arial" w:cs="Arial" w:eastAsia="Arial" w:hAnsi="Arial"/>
          <w:sz w:val="16"/>
          <w:szCs w:val="16"/>
          <w:color w:val="auto"/>
        </w:rPr>
      </w:pPr>
    </w:p>
    <w:p>
      <w:pPr>
        <w:ind w:left="2600" w:hanging="648"/>
        <w:spacing w:after="0"/>
        <w:tabs>
          <w:tab w:leader="none" w:pos="2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Section 3 hereof, the number of Shares to be covered by each Award granted hereunder;</w:t>
      </w:r>
    </w:p>
    <w:p>
      <w:pPr>
        <w:sectPr>
          <w:pgSz w:w="11900" w:h="16838" w:orient="portrait"/>
          <w:cols w:equalWidth="0" w:num="1">
            <w:col w:w="11200"/>
          </w:cols>
          <w:pgMar w:left="320" w:top="1440" w:right="379" w:bottom="1440" w:gutter="0" w:footer="0" w:header="0"/>
        </w:sectPr>
      </w:pPr>
    </w:p>
    <w:bookmarkStart w:id="122" w:name="page123"/>
    <w:bookmarkEnd w:id="122"/>
    <w:p>
      <w:pPr>
        <w:spacing w:after="0" w:line="184" w:lineRule="exact"/>
        <w:rPr>
          <w:sz w:val="20"/>
          <w:szCs w:val="20"/>
          <w:color w:val="auto"/>
        </w:rPr>
      </w:pPr>
    </w:p>
    <w:p>
      <w:pPr>
        <w:ind w:right="80" w:firstLine="1952"/>
        <w:spacing w:after="0" w:line="229" w:lineRule="auto"/>
        <w:tabs>
          <w:tab w:leader="none" w:pos="25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terms and conditions of any Award granted hereunder, including, subject to the requirements of Sections 409A and 457A of the Code, the waiver or modification of any such terms or conditions, consistent with the provisions of the Plan (including, but not limited to, Section 8 hereof); and</w:t>
      </w:r>
    </w:p>
    <w:p>
      <w:pPr>
        <w:spacing w:after="0" w:line="159" w:lineRule="exact"/>
        <w:rPr>
          <w:rFonts w:ascii="Arial" w:cs="Arial" w:eastAsia="Arial" w:hAnsi="Arial"/>
          <w:sz w:val="18"/>
          <w:szCs w:val="18"/>
          <w:color w:val="auto"/>
        </w:rPr>
      </w:pPr>
    </w:p>
    <w:p>
      <w:pPr>
        <w:ind w:left="2600" w:hanging="648"/>
        <w:spacing w:after="0"/>
        <w:tabs>
          <w:tab w:leader="none" w:pos="26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terms and conditions which shall govern all the Award Agreements, including the waiver or modification of any</w:t>
      </w:r>
    </w:p>
    <w:p>
      <w:pPr>
        <w:spacing w:after="0"/>
        <w:rPr>
          <w:rFonts w:ascii="Arial" w:cs="Arial" w:eastAsia="Arial" w:hAnsi="Arial"/>
          <w:sz w:val="17"/>
          <w:szCs w:val="17"/>
          <w:color w:val="auto"/>
        </w:rPr>
      </w:pPr>
      <w:r>
        <w:rPr>
          <w:rFonts w:ascii="Arial" w:cs="Arial" w:eastAsia="Arial" w:hAnsi="Arial"/>
          <w:sz w:val="18"/>
          <w:szCs w:val="18"/>
          <w:color w:val="auto"/>
        </w:rPr>
        <w:t>such terms or conditions.</w:t>
      </w:r>
    </w:p>
    <w:p>
      <w:pPr>
        <w:spacing w:after="0" w:line="182" w:lineRule="exact"/>
        <w:rPr>
          <w:sz w:val="20"/>
          <w:szCs w:val="20"/>
          <w:color w:val="auto"/>
        </w:rPr>
      </w:pPr>
    </w:p>
    <w:p>
      <w:pPr>
        <w:ind w:right="20" w:firstLine="1296"/>
        <w:spacing w:after="0" w:line="23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Majority Rule</w:t>
      </w:r>
      <w:r>
        <w:rPr>
          <w:rFonts w:ascii="Arial" w:cs="Arial" w:eastAsia="Arial" w:hAnsi="Arial"/>
          <w:sz w:val="18"/>
          <w:szCs w:val="18"/>
          <w:color w:val="auto"/>
        </w:rPr>
        <w:t>. The Committee shall act by a majority of its members in attendance at a meeting at which a quorum is present or by a memorandum or other written instrument signed by all members of the Committee.</w:t>
      </w:r>
    </w:p>
    <w:p>
      <w:pPr>
        <w:spacing w:after="0" w:line="1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To the extent permitted by applicable law, the Committee or the Board may from time to time delegate</w:t>
      </w:r>
    </w:p>
    <w:p>
      <w:pPr>
        <w:ind w:right="140"/>
        <w:spacing w:after="0" w:line="218" w:lineRule="auto"/>
        <w:rPr>
          <w:sz w:val="20"/>
          <w:szCs w:val="20"/>
          <w:color w:val="auto"/>
        </w:rPr>
      </w:pPr>
      <w:r>
        <w:rPr>
          <w:rFonts w:ascii="Arial" w:cs="Arial" w:eastAsia="Arial" w:hAnsi="Arial"/>
          <w:sz w:val="18"/>
          <w:szCs w:val="18"/>
          <w:color w:val="auto"/>
        </w:rPr>
        <w:t>to one or more Persons the authority to take administrative actions pursuant to this Section 2. Any delegation hereunder shall be subject to the restrictions and limitations that the Committee specifies at the time of such delegation, and the Committee may at any time rescind the authority so delegated or appoint a new delegatee.</w:t>
      </w:r>
    </w:p>
    <w:p>
      <w:pPr>
        <w:spacing w:after="0" w:line="176" w:lineRule="exact"/>
        <w:rPr>
          <w:sz w:val="20"/>
          <w:szCs w:val="20"/>
          <w:color w:val="auto"/>
        </w:rPr>
      </w:pPr>
    </w:p>
    <w:p>
      <w:pPr>
        <w:ind w:right="240" w:firstLine="1296"/>
        <w:spacing w:after="0" w:line="241"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Compensation; Professional Assistance; Good Faith Actions</w:t>
      </w:r>
      <w:r>
        <w:rPr>
          <w:rFonts w:ascii="Arial" w:cs="Arial" w:eastAsia="Arial" w:hAnsi="Arial"/>
          <w:sz w:val="16"/>
          <w:szCs w:val="16"/>
          <w:color w:val="auto"/>
        </w:rPr>
        <w:t>. Members of the Committee may receive such compensation for their services as members as may be determined by the Board. All expenses and liabilities that members of the Committee or Board may incur in connection with the administration of this Plan shall be borne by the Company. The Committee may, with the approval of the Board, employ attorneys,</w:t>
      </w:r>
    </w:p>
    <w:p>
      <w:pPr>
        <w:spacing w:after="0" w:line="2"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consultants, accountants, appraisers, brokers or other Persons. The Committee, the Board, the Company and any officers and directors of the Company shall be entitled to rely upon the advice, opinions or valuations of any such Persons. All actions taken and all interpretations and determinations made by the Committee or Board in good faith shall be final and binding upon all Participants, the Company and all other interested Persons. No member of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Committee or Board shall be personally liable for any action, determination or interpretation made in good faith with respect to this Plan or any Award, and all members of the Committee and Board shall be fully protected and indemnified to the fullest extent permitted by law, by the Company, in respect of any such action, determination or interpretation.</w:t>
      </w:r>
    </w:p>
    <w:p>
      <w:pPr>
        <w:spacing w:after="0" w:line="17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SECTION 3</w:t>
      </w:r>
    </w:p>
    <w:p>
      <w:pPr>
        <w:spacing w:after="0" w:line="144" w:lineRule="exact"/>
        <w:rPr>
          <w:sz w:val="20"/>
          <w:szCs w:val="20"/>
          <w:color w:val="auto"/>
        </w:rPr>
      </w:pPr>
    </w:p>
    <w:p>
      <w:pPr>
        <w:ind w:left="4420"/>
        <w:spacing w:after="0"/>
        <w:rPr>
          <w:sz w:val="20"/>
          <w:szCs w:val="20"/>
          <w:color w:val="auto"/>
        </w:rPr>
      </w:pPr>
      <w:r>
        <w:rPr>
          <w:rFonts w:ascii="Arial" w:cs="Arial" w:eastAsia="Arial" w:hAnsi="Arial"/>
          <w:sz w:val="18"/>
          <w:szCs w:val="18"/>
          <w:b w:val="1"/>
          <w:bCs w:val="1"/>
          <w:u w:val="single" w:color="auto"/>
          <w:color w:val="auto"/>
        </w:rPr>
        <w:t>SHARES SUBJECT TO PLAN</w:t>
      </w:r>
    </w:p>
    <w:p>
      <w:pPr>
        <w:spacing w:after="0" w:line="202" w:lineRule="exact"/>
        <w:rPr>
          <w:sz w:val="20"/>
          <w:szCs w:val="20"/>
          <w:color w:val="auto"/>
        </w:rPr>
      </w:pPr>
    </w:p>
    <w:p>
      <w:pPr>
        <w:ind w:right="40" w:firstLine="1296"/>
        <w:spacing w:after="0" w:line="24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Number of and Source of Shares</w:t>
      </w:r>
      <w:r>
        <w:rPr>
          <w:rFonts w:ascii="Arial" w:cs="Arial" w:eastAsia="Arial" w:hAnsi="Arial"/>
          <w:sz w:val="16"/>
          <w:szCs w:val="16"/>
          <w:color w:val="auto"/>
        </w:rPr>
        <w:t>. The maximum number of Shares reserved and available for issuance under the Plan shall be 30,000,000, as increased on the date of any equity issuance by the Company during the term of the Plan by a number of Shares equal to 10% of (i) the number of Shares issued by the Company in such equity issuance or (ii) if such equity issuance relates to equity securities other than Shares, the number of</w:t>
      </w:r>
    </w:p>
    <w:p>
      <w:pPr>
        <w:spacing w:after="0" w:line="2" w:lineRule="exact"/>
        <w:rPr>
          <w:sz w:val="20"/>
          <w:szCs w:val="20"/>
          <w:color w:val="auto"/>
        </w:rPr>
      </w:pPr>
    </w:p>
    <w:p>
      <w:pPr>
        <w:jc w:val="both"/>
        <w:ind w:right="180"/>
        <w:spacing w:after="0" w:line="218" w:lineRule="auto"/>
        <w:rPr>
          <w:sz w:val="20"/>
          <w:szCs w:val="20"/>
          <w:color w:val="auto"/>
        </w:rPr>
      </w:pPr>
      <w:r>
        <w:rPr>
          <w:rFonts w:ascii="Arial" w:cs="Arial" w:eastAsia="Arial" w:hAnsi="Arial"/>
          <w:sz w:val="18"/>
          <w:szCs w:val="18"/>
          <w:color w:val="auto"/>
        </w:rPr>
        <w:t>Shares equal to the Equity Security Factor. The Shares which may be issued pursuant to an Award under the Plan may be treasury Shares, authorized but unissued Shares, or Shares acquired, subsequently or in anticipation of the transaction, in the open market to satisfy the requirements of the Plan. Awards may consist of any combination of such Shares, or, at the election of the Company, cash.</w:t>
      </w:r>
    </w:p>
    <w:p>
      <w:pPr>
        <w:spacing w:after="0" w:line="176" w:lineRule="exact"/>
        <w:rPr>
          <w:sz w:val="20"/>
          <w:szCs w:val="20"/>
          <w:color w:val="auto"/>
        </w:rPr>
      </w:pPr>
    </w:p>
    <w:p>
      <w:pPr>
        <w:ind w:right="40" w:firstLine="1296"/>
        <w:spacing w:after="0" w:line="24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Unrealized and Tandem Awards</w:t>
      </w:r>
      <w:r>
        <w:rPr>
          <w:rFonts w:ascii="Arial" w:cs="Arial" w:eastAsia="Arial" w:hAnsi="Arial"/>
          <w:sz w:val="16"/>
          <w:szCs w:val="16"/>
          <w:color w:val="auto"/>
        </w:rPr>
        <w:t>. If any Shares subject to an Award are forfeited, cancelled, exchanged or surrendered or if an Award otherwise terminates or expires without a distribution of shares to the Participant, the Shares with respect to such Award shall, to the extent of any such forfeiture, cancellation, exchange, surrender, termination or expiration, again be available for grants under the Plan. The grant of a Tandem Award (as</w:t>
      </w:r>
    </w:p>
    <w:p>
      <w:pPr>
        <w:spacing w:after="0" w:line="2" w:lineRule="exact"/>
        <w:rPr>
          <w:sz w:val="20"/>
          <w:szCs w:val="20"/>
          <w:color w:val="auto"/>
        </w:rPr>
      </w:pPr>
    </w:p>
    <w:p>
      <w:pPr>
        <w:ind w:right="300"/>
        <w:spacing w:after="0" w:line="242" w:lineRule="auto"/>
        <w:rPr>
          <w:sz w:val="20"/>
          <w:szCs w:val="20"/>
          <w:color w:val="auto"/>
        </w:rPr>
      </w:pPr>
      <w:r>
        <w:rPr>
          <w:rFonts w:ascii="Arial" w:cs="Arial" w:eastAsia="Arial" w:hAnsi="Arial"/>
          <w:sz w:val="16"/>
          <w:szCs w:val="16"/>
          <w:color w:val="auto"/>
        </w:rPr>
        <w:t>defined herein) shall not reduce the number of Shares reserved and available for issuance under the Plan. The Company reserves the right to cancel any Stock Option which has a per-share exercise price that is equal to or greater than the Fair Market Value of an underlying Share as of the date of such cancellation, and any Shares which were subject to such cancelled Stock Option shall again be available for the issuance of Stock Options, including issuance to the Person that held the cancelled Stock Option, irrespective of whether such issuance would be deemed a repricing of such Stock Option.</w:t>
      </w:r>
    </w:p>
    <w:p>
      <w:pPr>
        <w:spacing w:after="0" w:line="173" w:lineRule="exact"/>
        <w:rPr>
          <w:sz w:val="20"/>
          <w:szCs w:val="20"/>
          <w:color w:val="auto"/>
        </w:rPr>
      </w:pPr>
    </w:p>
    <w:p>
      <w:pPr>
        <w:ind w:right="720" w:firstLine="1296"/>
        <w:spacing w:after="0" w:line="24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Adjustment of Awards</w:t>
      </w:r>
      <w:r>
        <w:rPr>
          <w:rFonts w:ascii="Arial" w:cs="Arial" w:eastAsia="Arial" w:hAnsi="Arial"/>
          <w:sz w:val="16"/>
          <w:szCs w:val="16"/>
          <w:color w:val="auto"/>
        </w:rPr>
        <w:t>. Upon the occurrence of any event which affects the Shares in such a way that an adjustment of outstanding Awards is appropriate in order to prevent the dilution or enlargement of rights under the Awards (including, without limitation, any extraordinary dividend or other distribution (whether in cash or in kind), recapitalization, stock or share split, reverse split or share consolidation,</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reorganization, merger, consolidation, spin-off, combination, repurchase, or share exchange, or other similar corporate transaction or event), the Committee shall make appropriate equitable adjustments, which may include, without limitation, adjustments to any or all of the number and kind of Shares (or other securities) which may thereafter be issued in connection with such outstanding Awards and adjustments to any exercise price specified in the outstanding</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Awards and shall also make appropriate equitable adjustments to the number and kind of Shares (or other securities) authorized by or to be granted under the Plan. Such other substitutions or adjustments shall be made respecting Awards hereunder as may</w:t>
      </w:r>
    </w:p>
    <w:p>
      <w:pPr>
        <w:sectPr>
          <w:pgSz w:w="11900" w:h="16838" w:orient="portrait"/>
          <w:cols w:equalWidth="0" w:num="1">
            <w:col w:w="11200"/>
          </w:cols>
          <w:pgMar w:left="320" w:top="1440" w:right="379" w:bottom="1440" w:gutter="0" w:footer="0" w:header="0"/>
        </w:sectPr>
      </w:pPr>
    </w:p>
    <w:bookmarkStart w:id="123" w:name="page124"/>
    <w:bookmarkEnd w:id="123"/>
    <w:p>
      <w:pPr>
        <w:jc w:val="both"/>
        <w:ind w:right="600"/>
        <w:spacing w:after="0" w:line="248" w:lineRule="auto"/>
        <w:rPr>
          <w:sz w:val="20"/>
          <w:szCs w:val="20"/>
          <w:color w:val="auto"/>
        </w:rPr>
      </w:pPr>
      <w:r>
        <w:rPr>
          <w:rFonts w:ascii="Arial" w:cs="Arial" w:eastAsia="Arial" w:hAnsi="Arial"/>
          <w:sz w:val="16"/>
          <w:szCs w:val="16"/>
          <w:color w:val="auto"/>
        </w:rPr>
        <w:t>be determined by the Committee, in its sole discretion. In connection with any event described in this paragraph, the Committee may provide, in its discretion, for the cancellation of any outstanding Award and payment in cash or other property in exchange therefor, equal to the difference, if any,</w:t>
      </w:r>
    </w:p>
    <w:p>
      <w:pPr>
        <w:spacing w:after="0"/>
        <w:rPr>
          <w:sz w:val="20"/>
          <w:szCs w:val="20"/>
          <w:color w:val="auto"/>
        </w:rPr>
      </w:pPr>
      <w:r>
        <w:rPr>
          <w:rFonts w:ascii="Arial" w:cs="Arial" w:eastAsia="Arial" w:hAnsi="Arial"/>
          <w:sz w:val="18"/>
          <w:szCs w:val="18"/>
          <w:color w:val="auto"/>
        </w:rPr>
        <w:t>between the fair market value of the Shares or other property subject to the Award, and the exercise price, if any.</w:t>
      </w:r>
    </w:p>
    <w:p>
      <w:pPr>
        <w:spacing w:after="0" w:line="16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SECTION 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ELIGIBILITY</w:t>
      </w:r>
    </w:p>
    <w:p>
      <w:pPr>
        <w:spacing w:after="0" w:line="189" w:lineRule="exact"/>
        <w:rPr>
          <w:sz w:val="20"/>
          <w:szCs w:val="20"/>
          <w:color w:val="auto"/>
        </w:rPr>
      </w:pPr>
    </w:p>
    <w:p>
      <w:pPr>
        <w:ind w:right="160" w:firstLine="1296"/>
        <w:spacing w:after="0" w:line="289" w:lineRule="auto"/>
        <w:rPr>
          <w:sz w:val="20"/>
          <w:szCs w:val="20"/>
          <w:color w:val="auto"/>
        </w:rPr>
      </w:pPr>
      <w:r>
        <w:rPr>
          <w:rFonts w:ascii="Arial" w:cs="Arial" w:eastAsia="Arial" w:hAnsi="Arial"/>
          <w:sz w:val="16"/>
          <w:szCs w:val="16"/>
          <w:color w:val="auto"/>
        </w:rPr>
        <w:t>Each Participant shall be eligible to receive Awards under the Plan. Additional Participants under the Plan may be selected from time to time by the Committee, in its sole discretion, and the Committee shall determine, in its sole discretion, the number of shares covered by each Award.</w:t>
      </w:r>
    </w:p>
    <w:p>
      <w:pPr>
        <w:spacing w:after="0" w:line="1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SECTION 5</w:t>
      </w:r>
    </w:p>
    <w:p>
      <w:pPr>
        <w:spacing w:after="0" w:line="144"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AWARDS</w:t>
      </w:r>
    </w:p>
    <w:p>
      <w:pPr>
        <w:spacing w:after="0" w:line="202" w:lineRule="exact"/>
        <w:rPr>
          <w:sz w:val="20"/>
          <w:szCs w:val="20"/>
          <w:color w:val="auto"/>
        </w:rPr>
      </w:pPr>
    </w:p>
    <w:p>
      <w:pPr>
        <w:ind w:right="220" w:firstLine="1296"/>
        <w:spacing w:after="0" w:line="235" w:lineRule="auto"/>
        <w:rPr>
          <w:sz w:val="20"/>
          <w:szCs w:val="20"/>
          <w:color w:val="auto"/>
        </w:rPr>
      </w:pPr>
      <w:r>
        <w:rPr>
          <w:rFonts w:ascii="Arial" w:cs="Arial" w:eastAsia="Arial" w:hAnsi="Arial"/>
          <w:sz w:val="18"/>
          <w:szCs w:val="18"/>
          <w:color w:val="auto"/>
        </w:rPr>
        <w:t>Awards may include, but are not limited to, those described in this Section 5. The Committee may grant Awards singly, in tandem or in combination with other Awards, as the Committee may in its sole discretion determine.</w:t>
      </w:r>
    </w:p>
    <w:p>
      <w:pPr>
        <w:spacing w:after="0" w:line="162" w:lineRule="exact"/>
        <w:rPr>
          <w:sz w:val="20"/>
          <w:szCs w:val="20"/>
          <w:color w:val="auto"/>
        </w:rPr>
      </w:pPr>
    </w:p>
    <w:p>
      <w:pPr>
        <w:ind w:right="340" w:firstLine="1296"/>
        <w:spacing w:after="0" w:line="24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Stock Options</w:t>
      </w:r>
      <w:r>
        <w:rPr>
          <w:rFonts w:ascii="Arial" w:cs="Arial" w:eastAsia="Arial" w:hAnsi="Arial"/>
          <w:sz w:val="18"/>
          <w:szCs w:val="18"/>
          <w:color w:val="auto"/>
        </w:rPr>
        <w:t>. A Stock Option is a right to purchase a specified number of Shares, at a specified price during such specified time as the Committee shall determine.</w:t>
      </w:r>
    </w:p>
    <w:p>
      <w:pPr>
        <w:spacing w:after="0" w:line="156" w:lineRule="exact"/>
        <w:rPr>
          <w:sz w:val="20"/>
          <w:szCs w:val="20"/>
          <w:color w:val="auto"/>
        </w:rPr>
      </w:pPr>
    </w:p>
    <w:p>
      <w:pPr>
        <w:ind w:right="140" w:firstLine="1952"/>
        <w:spacing w:after="0" w:line="235" w:lineRule="auto"/>
        <w:tabs>
          <w:tab w:leader="none" w:pos="2589"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Stock Option may be exercised, in whole or in part, by giving written notice of exercise to the Company, specifying the number of Shares to be purchased.</w:t>
      </w:r>
    </w:p>
    <w:p>
      <w:pPr>
        <w:spacing w:after="0" w:line="175" w:lineRule="exact"/>
        <w:rPr>
          <w:rFonts w:ascii="Arial" w:cs="Arial" w:eastAsia="Arial" w:hAnsi="Arial"/>
          <w:sz w:val="18"/>
          <w:szCs w:val="18"/>
          <w:color w:val="auto"/>
        </w:rPr>
      </w:pPr>
    </w:p>
    <w:p>
      <w:pPr>
        <w:ind w:right="100" w:firstLine="1952"/>
        <w:spacing w:after="0" w:line="241" w:lineRule="auto"/>
        <w:tabs>
          <w:tab w:leader="none" w:pos="2586"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exercise price of the Stock Option may be paid in cash or its equivalent, as determined by the Committee. As determined by the Committee, in its sole discretion, or as otherwise set forth in Sections 5.5(b) and 5.5(c) below, payment in whole or in part may also be made (i) by means of any cashless exercise procedure approved by the Committee (including the withholding of Shares otherwise issuable on exercise), or</w:t>
      </w:r>
    </w:p>
    <w:p>
      <w:pPr>
        <w:spacing w:after="0" w:line="1" w:lineRule="exact"/>
        <w:rPr>
          <w:rFonts w:ascii="Arial" w:cs="Arial" w:eastAsia="Arial" w:hAnsi="Arial"/>
          <w:sz w:val="16"/>
          <w:szCs w:val="16"/>
          <w:color w:val="auto"/>
        </w:rPr>
      </w:pPr>
    </w:p>
    <w:p>
      <w:pPr>
        <w:ind w:firstLine="8"/>
        <w:spacing w:after="0" w:line="226" w:lineRule="auto"/>
        <w:tabs>
          <w:tab w:leader="none" w:pos="2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form of unrestricted Shares already owned by the Participant which has a Fair Market Value on the date of surrender equal to the aggregate option price of the Shares as to which such Stock Option shall be exercised. No fractional Shares will be issued or accepted.</w:t>
      </w:r>
    </w:p>
    <w:p>
      <w:pPr>
        <w:spacing w:after="0" w:line="161" w:lineRule="exact"/>
        <w:rPr>
          <w:sz w:val="20"/>
          <w:szCs w:val="20"/>
          <w:color w:val="auto"/>
        </w:rPr>
      </w:pPr>
    </w:p>
    <w:p>
      <w:pPr>
        <w:ind w:right="200" w:firstLine="1296"/>
        <w:spacing w:after="0" w:line="24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A Stock Appreciation Right is a right to receive, upon surrender of the right, an amount payable in cash and/or Shares under such terms and conditions as the Committee shall determine.</w:t>
      </w:r>
    </w:p>
    <w:p>
      <w:pPr>
        <w:spacing w:after="0" w:line="156" w:lineRule="exact"/>
        <w:rPr>
          <w:sz w:val="20"/>
          <w:szCs w:val="20"/>
          <w:color w:val="auto"/>
        </w:rPr>
      </w:pPr>
    </w:p>
    <w:p>
      <w:pPr>
        <w:ind w:right="140" w:firstLine="1952"/>
        <w:spacing w:after="0" w:line="229" w:lineRule="auto"/>
        <w:tabs>
          <w:tab w:leader="none" w:pos="25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Stock Appreciation Right may be granted in tandem with part or all of (or in addition to, or completely independent of) a Stock Option or any other Award under this Plan. A Stock Appreciation Right issued in tandem with a Stock Option may be granted at the time of grant of the related Stock Option or at any time thereafter during the term of the Stock Option.</w:t>
      </w:r>
    </w:p>
    <w:p>
      <w:pPr>
        <w:spacing w:after="0" w:line="163" w:lineRule="exact"/>
        <w:rPr>
          <w:rFonts w:ascii="Arial" w:cs="Arial" w:eastAsia="Arial" w:hAnsi="Arial"/>
          <w:sz w:val="18"/>
          <w:szCs w:val="18"/>
          <w:color w:val="auto"/>
        </w:rPr>
      </w:pPr>
    </w:p>
    <w:p>
      <w:pPr>
        <w:ind w:right="160" w:firstLine="1952"/>
        <w:spacing w:after="0" w:line="232" w:lineRule="auto"/>
        <w:tabs>
          <w:tab w:leader="none" w:pos="2586"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amount payable in cash and/or Shares with respect to each right shall be equal in value to a percentage (including up to 100%) of the amount by which the Fair Market Value per Share on the exercise date exceeds the Fair Market Value per Share on the date of grant of the Stock Appreciation Right. The applicable percentage shall be established by the Committee. The Award Agreement may state whether the amount payable is to be paid wholly in cash, wholly in Shares, or in any combination of the foregoing; if the Award Agreement does not so state the manner of payment, the Committee shall determine such manner of payment at the time of payment. The amount payable in Shares, if any, is determined with reference to the Fair Market Value per Share on the date of exercise.</w:t>
      </w:r>
    </w:p>
    <w:p>
      <w:pPr>
        <w:spacing w:after="0" w:line="162" w:lineRule="exact"/>
        <w:rPr>
          <w:rFonts w:ascii="Arial" w:cs="Arial" w:eastAsia="Arial" w:hAnsi="Arial"/>
          <w:sz w:val="17"/>
          <w:szCs w:val="17"/>
          <w:color w:val="auto"/>
        </w:rPr>
      </w:pPr>
    </w:p>
    <w:p>
      <w:pPr>
        <w:jc w:val="both"/>
        <w:ind w:right="260" w:firstLine="1952"/>
        <w:spacing w:after="0" w:line="223" w:lineRule="auto"/>
        <w:tabs>
          <w:tab w:leader="none" w:pos="25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Stock Appreciation Rights issued in tandem with Stock Options shall be exercisable only to the extent that the Stock Options to which they relate are exercisable. Upon exercise of the tandem Stock Appreciation Right, and to the extent of such exercise, the Participant’s underlying Stock Option shall automatically terminate. Similarly, upon the exercise of the tandem Stock Option, and to the extent of such exercise, the Participant’s related Stock Appreciation Right shall automatically terminate.</w:t>
      </w:r>
    </w:p>
    <w:p>
      <w:pPr>
        <w:spacing w:after="0" w:line="162" w:lineRule="exact"/>
        <w:rPr>
          <w:sz w:val="20"/>
          <w:szCs w:val="20"/>
          <w:color w:val="auto"/>
        </w:rPr>
      </w:pPr>
    </w:p>
    <w:p>
      <w:pPr>
        <w:ind w:right="660" w:firstLine="1296"/>
        <w:spacing w:after="0" w:line="24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Restricted Stock</w:t>
      </w:r>
      <w:r>
        <w:rPr>
          <w:rFonts w:ascii="Arial" w:cs="Arial" w:eastAsia="Arial" w:hAnsi="Arial"/>
          <w:sz w:val="16"/>
          <w:szCs w:val="16"/>
          <w:color w:val="auto"/>
        </w:rPr>
        <w:t>. Restricted Stock are Shares that are issued to a Participant and is subject to such terms, conditions and restrictions as the Committee deems appropriate, which may include, but are not limited to, restrictions upon the sale, assignment, transfer or other</w:t>
      </w:r>
    </w:p>
    <w:p>
      <w:pPr>
        <w:spacing w:after="0"/>
        <w:rPr>
          <w:sz w:val="20"/>
          <w:szCs w:val="20"/>
          <w:color w:val="auto"/>
        </w:rPr>
      </w:pPr>
      <w:r>
        <w:rPr>
          <w:rFonts w:ascii="Arial" w:cs="Arial" w:eastAsia="Arial" w:hAnsi="Arial"/>
          <w:sz w:val="18"/>
          <w:szCs w:val="18"/>
          <w:color w:val="auto"/>
        </w:rPr>
        <w:t>disposition of the Restricted Stock and the</w:t>
      </w:r>
    </w:p>
    <w:p>
      <w:pPr>
        <w:sectPr>
          <w:pgSz w:w="11900" w:h="16838" w:orient="portrait"/>
          <w:cols w:equalWidth="0" w:num="1">
            <w:col w:w="11240"/>
          </w:cols>
          <w:pgMar w:left="320" w:top="1408" w:right="339" w:bottom="1440" w:gutter="0" w:footer="0" w:header="0"/>
        </w:sectPr>
      </w:pPr>
    </w:p>
    <w:bookmarkStart w:id="124" w:name="page125"/>
    <w:bookmarkEnd w:id="124"/>
    <w:p>
      <w:pPr>
        <w:ind w:right="100"/>
        <w:spacing w:after="0" w:line="248" w:lineRule="auto"/>
        <w:rPr>
          <w:sz w:val="20"/>
          <w:szCs w:val="20"/>
          <w:color w:val="auto"/>
        </w:rPr>
      </w:pPr>
      <w:r>
        <w:rPr>
          <w:rFonts w:ascii="Arial" w:cs="Arial" w:eastAsia="Arial" w:hAnsi="Arial"/>
          <w:sz w:val="16"/>
          <w:szCs w:val="16"/>
          <w:color w:val="auto"/>
        </w:rPr>
        <w:t>requirement of surrender or forfeiture of the Restricted Stock upon termination of employment or service under certain specified conditions. The Committee may provide for the lapse of any such term or condition or waive any term or condition based on such factors or criteria as the Committee may</w:t>
      </w:r>
    </w:p>
    <w:p>
      <w:pPr>
        <w:jc w:val="both"/>
        <w:spacing w:after="0" w:line="234" w:lineRule="auto"/>
        <w:rPr>
          <w:sz w:val="20"/>
          <w:szCs w:val="20"/>
          <w:color w:val="auto"/>
        </w:rPr>
      </w:pPr>
      <w:r>
        <w:rPr>
          <w:rFonts w:ascii="Arial" w:cs="Arial" w:eastAsia="Arial" w:hAnsi="Arial"/>
          <w:sz w:val="16"/>
          <w:szCs w:val="16"/>
          <w:color w:val="auto"/>
        </w:rPr>
        <w:t>determine. Subject to the restrictions stated in this Section 5.3 and in the applicable Award Agreement, the Participant shall have, with respect to Awards of Restricted Stock, all of the rights of a shareholder of the Company, including the right to vote the Restricted Stock and the right to receive any cash or share dividends on such Shares. The Company may require that the certificates evidencing Restricted Stock granted hereunder be held in the custody of the</w:t>
      </w:r>
    </w:p>
    <w:p>
      <w:pPr>
        <w:spacing w:after="0" w:line="2"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Company until the restrictions thereon shall have lapsed, and that, as a condition of any award of Restricted Stock, the Participant shall have delivered a blank duly executed share transfer form, relating to the Shares covered by such award.</w:t>
      </w:r>
    </w:p>
    <w:p>
      <w:pPr>
        <w:spacing w:after="0" w:line="15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Performance Awards</w:t>
      </w:r>
      <w:r>
        <w:rPr>
          <w:rFonts w:ascii="Arial" w:cs="Arial" w:eastAsia="Arial" w:hAnsi="Arial"/>
          <w:sz w:val="16"/>
          <w:szCs w:val="16"/>
          <w:color w:val="auto"/>
        </w:rPr>
        <w:t>. Performance Awards may be granted under this Plan from time to time based on such terms and</w:t>
      </w:r>
    </w:p>
    <w:p>
      <w:pPr>
        <w:jc w:val="both"/>
        <w:ind w:right="60"/>
        <w:spacing w:after="0" w:line="234" w:lineRule="auto"/>
        <w:rPr>
          <w:sz w:val="20"/>
          <w:szCs w:val="20"/>
          <w:color w:val="auto"/>
        </w:rPr>
      </w:pPr>
      <w:r>
        <w:rPr>
          <w:rFonts w:ascii="Arial" w:cs="Arial" w:eastAsia="Arial" w:hAnsi="Arial"/>
          <w:sz w:val="16"/>
          <w:szCs w:val="16"/>
          <w:color w:val="auto"/>
        </w:rPr>
        <w:t>conditions as the Committee deems appropriate provided that such Awards shall not be inconsistent with the terms and purposes of this Plan. Performance Awards are Awards which are contingent upon the performance of all or a portion of the Company and/or its subsidiaries and/or which are contingent upon the individual performance of a Participant. Performance Awards may be in the form of performance units, performance shares and such other forms of</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Performance Awards as the Committee shall determine. The Committee shall determine the performance measurements and criteria for such Performance Awards. The Company may require that the certificates evidencing Performance Awards granted hereunder be held in the custody of the Company until the restrictions thereon shall have lapsed, and that, as a condition of any award of Performance Awards, the Participant shall have delivered a blank duly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executed share transfer form, relating to the Shares covered by such award.</w:t>
      </w:r>
    </w:p>
    <w:p>
      <w:pPr>
        <w:spacing w:after="0" w:line="1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Manager Awards and Tandem Awards</w:t>
      </w:r>
      <w:r>
        <w:rPr>
          <w:rFonts w:ascii="Arial" w:cs="Arial" w:eastAsia="Arial" w:hAnsi="Arial"/>
          <w:sz w:val="16"/>
          <w:szCs w:val="16"/>
          <w:color w:val="auto"/>
        </w:rPr>
        <w:t>.</w:t>
      </w:r>
    </w:p>
    <w:p>
      <w:pPr>
        <w:spacing w:after="0" w:line="185" w:lineRule="exact"/>
        <w:rPr>
          <w:sz w:val="20"/>
          <w:szCs w:val="20"/>
          <w:color w:val="auto"/>
        </w:rPr>
      </w:pPr>
    </w:p>
    <w:p>
      <w:pPr>
        <w:jc w:val="both"/>
        <w:ind w:right="40" w:firstLine="1952"/>
        <w:spacing w:after="0" w:line="236" w:lineRule="auto"/>
        <w:tabs>
          <w:tab w:leader="none" w:pos="2589"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Grant of Compensatory Stock Options</w:t>
      </w:r>
      <w:r>
        <w:rPr>
          <w:rFonts w:ascii="Arial" w:cs="Arial" w:eastAsia="Arial" w:hAnsi="Arial"/>
          <w:sz w:val="17"/>
          <w:szCs w:val="17"/>
          <w:color w:val="auto"/>
        </w:rPr>
        <w:t>. As consideration for the Manager’s role in raising capital for the Company, the Manager may be awarded Stock Options in connection with any equity issuance by the Company, to acquire that number of Shares up to ten percent (10%) of (i) the number of Shares issued by the Company in such equity issuance or (ii) if such equity issuance relates to equity securities other than Shares, a number of Shares equal to the Equity Security Factor, in each case subject to the proviso contained in Section 5.5(f) hereof.</w:t>
      </w:r>
    </w:p>
    <w:p>
      <w:pPr>
        <w:spacing w:after="0" w:line="176" w:lineRule="exact"/>
        <w:rPr>
          <w:rFonts w:ascii="Arial" w:cs="Arial" w:eastAsia="Arial" w:hAnsi="Arial"/>
          <w:sz w:val="17"/>
          <w:szCs w:val="17"/>
          <w:color w:val="auto"/>
        </w:rPr>
      </w:pPr>
    </w:p>
    <w:p>
      <w:pPr>
        <w:ind w:right="40" w:firstLine="1952"/>
        <w:spacing w:after="0" w:line="239" w:lineRule="auto"/>
        <w:tabs>
          <w:tab w:leader="none" w:pos="2586"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Terms of Manager Awards</w:t>
      </w:r>
      <w:r>
        <w:rPr>
          <w:rFonts w:ascii="Arial" w:cs="Arial" w:eastAsia="Arial" w:hAnsi="Arial"/>
          <w:sz w:val="16"/>
          <w:szCs w:val="16"/>
          <w:color w:val="auto"/>
        </w:rPr>
        <w:t>. The Stock Options referred to in clause (a) above shall be 100% vested as of the date of grant and become exercisable as to 1/30th of the Shares subject to the Stock Options on the first day of each of the following 30 calendar months following the date of grant. Such Stock Options shall expire on the tenth anniversary of the date of grant. Such Stock Options shall have a per share price equal to the offering price of the equity issuance in connection with which such Stock Options are awarded (as determined by the Committee), or in the event that such equity issuance relates to equity securities other than Shares, the Fair Market Value of a Share as of the date of the equity issuance, in each case subject to adjustment as set forth in Section 3.3 hereof. The exercise price of such Stock Options may be paid in cash or its equivalent, as determined by the Committee. Payment in whole or in part may also be made by the following cashless exercise procedures: (i) by withholding from Shares otherwise issuable upon exercise of such Stock Option, (ii) in the form of unrestricted Shares already owned by the Manager which has a Fair Market Value on the date of surrender equal to the aggregate option price of the Shares as to which such Stock Option shall be exercised or (iii) by means of any other cashless exercise procedure approved by the Committee. No fractional Shares will be issued or accepted. The Award Agreement with respect to such Stock Options shall also set forth the vesting and exercise schedule of such Stock Options and such other terms and conditions with respect to such Stock Options and the delivery of Shares subject to such Stock Options as the Committee may determine.</w:t>
      </w:r>
    </w:p>
    <w:p>
      <w:pPr>
        <w:spacing w:after="0" w:line="177" w:lineRule="exact"/>
        <w:rPr>
          <w:rFonts w:ascii="Arial" w:cs="Arial" w:eastAsia="Arial" w:hAnsi="Arial"/>
          <w:sz w:val="16"/>
          <w:szCs w:val="16"/>
          <w:color w:val="auto"/>
        </w:rPr>
      </w:pPr>
    </w:p>
    <w:p>
      <w:pPr>
        <w:ind w:firstLine="1952"/>
        <w:spacing w:after="0" w:line="225" w:lineRule="auto"/>
        <w:tabs>
          <w:tab w:leader="none" w:pos="2589"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of the Committee and/or the Manager shall have the authority to direct awards of Stock Options to such employees of the Manager who act as officers of or perform other services for the Company, which options shall be tandem to the Stock Options that are the subject of outstanding Manager Awards designated by the Manager—</w:t>
      </w:r>
      <w:r>
        <w:rPr>
          <w:rFonts w:ascii="Arial" w:cs="Arial" w:eastAsia="Arial" w:hAnsi="Arial"/>
          <w:sz w:val="17"/>
          <w:szCs w:val="17"/>
          <w:u w:val="single" w:color="auto"/>
          <w:color w:val="auto"/>
        </w:rPr>
        <w:t>i.e</w:t>
      </w:r>
      <w:r>
        <w:rPr>
          <w:rFonts w:ascii="Arial" w:cs="Arial" w:eastAsia="Arial" w:hAnsi="Arial"/>
          <w:sz w:val="17"/>
          <w:szCs w:val="17"/>
          <w:color w:val="auto"/>
        </w:rPr>
        <w:t>., Shares issuable pursuant to the exercise of the Stock Options that are subject to certain designated Manager Awards would alternatively be issuable pursuant to the exercise of Stock Options that are the subject of the tandem awards granted to Persons who perform services for or on behalf of the Company, provided that such Shares may be issued pursuant to the exercise of either the designated Manager Awards or the tandem awards but not both (the “</w:t>
      </w:r>
      <w:r>
        <w:rPr>
          <w:rFonts w:ascii="Arial" w:cs="Arial" w:eastAsia="Arial" w:hAnsi="Arial"/>
          <w:sz w:val="17"/>
          <w:szCs w:val="17"/>
          <w:u w:val="single" w:color="auto"/>
          <w:color w:val="auto"/>
        </w:rPr>
        <w:t>Tandem Awards</w:t>
      </w:r>
      <w:r>
        <w:rPr>
          <w:rFonts w:ascii="Arial" w:cs="Arial" w:eastAsia="Arial" w:hAnsi="Arial"/>
          <w:sz w:val="17"/>
          <w:szCs w:val="17"/>
          <w:color w:val="auto"/>
        </w:rPr>
        <w:t>”). As determined by the Manager, in its sole discretion, payment of the exercise price of such Tandem Award in whole or in part may be made by the following cashless exercise procedures: (i) by withholding from Shares otherwise issuable upon exercise of such Tandem Award, (ii) in the form of unrestricted Shares already owned by the holder of such Tandem Award which has a Fair Market Value on the date of surrender equal to the aggregate option price of the Shares as to which such Tandem Award shall be exercised or (iii) by means of any other cashless exercise procedure approved by the Committee.</w:t>
      </w:r>
    </w:p>
    <w:p>
      <w:pPr>
        <w:sectPr>
          <w:pgSz w:w="11900" w:h="16838" w:orient="portrait"/>
          <w:cols w:equalWidth="0" w:num="1">
            <w:col w:w="11220"/>
          </w:cols>
          <w:pgMar w:left="320" w:top="1408" w:right="359" w:bottom="1440" w:gutter="0" w:footer="0" w:header="0"/>
        </w:sectPr>
      </w:pPr>
    </w:p>
    <w:bookmarkStart w:id="125" w:name="page126"/>
    <w:bookmarkEnd w:id="125"/>
    <w:p>
      <w:pPr>
        <w:spacing w:after="0" w:line="184" w:lineRule="exact"/>
        <w:rPr>
          <w:sz w:val="20"/>
          <w:szCs w:val="20"/>
          <w:color w:val="auto"/>
        </w:rPr>
      </w:pPr>
    </w:p>
    <w:p>
      <w:pPr>
        <w:ind w:left="-1120" w:right="360" w:firstLine="1952"/>
        <w:spacing w:after="0" w:line="232" w:lineRule="auto"/>
        <w:tabs>
          <w:tab w:leader="none" w:pos="1466" w:val="left"/>
        </w:tabs>
        <w:numPr>
          <w:ilvl w:val="0"/>
          <w:numId w:val="63"/>
        </w:numPr>
        <w:rPr>
          <w:rFonts w:ascii="Arial" w:cs="Arial" w:eastAsia="Arial" w:hAnsi="Arial"/>
          <w:sz w:val="17"/>
          <w:szCs w:val="17"/>
          <w:color w:val="auto"/>
        </w:rPr>
      </w:pPr>
      <w:r>
        <w:rPr>
          <w:rFonts w:ascii="Arial" w:cs="Arial" w:eastAsia="Arial" w:hAnsi="Arial"/>
          <w:sz w:val="17"/>
          <w:szCs w:val="17"/>
          <w:color w:val="auto"/>
        </w:rPr>
        <w:t>As a condition to the grant of Tandem Awards, the Manager shall be required to agree that so long as such Tandem Awards remain outstanding, it will not exercise any Stock Options under any designated Manager Award that are related to the options under such outstanding Tandem Awards. If Stock Options under a Tandem Award are forfeited, expire or are cancelled without being exercised, the related Stock Options under the designated Manager Award shall again become exercisable in accordance with its terms. Upon the exercise of Stock Options under a Tandem Award, the related Stock Options under the designated Manager Award shall terminate.</w:t>
      </w:r>
    </w:p>
    <w:p>
      <w:pPr>
        <w:spacing w:after="0" w:line="175" w:lineRule="exact"/>
        <w:rPr>
          <w:rFonts w:ascii="Arial" w:cs="Arial" w:eastAsia="Arial" w:hAnsi="Arial"/>
          <w:sz w:val="17"/>
          <w:szCs w:val="17"/>
          <w:color w:val="auto"/>
        </w:rPr>
      </w:pPr>
    </w:p>
    <w:p>
      <w:pPr>
        <w:ind w:left="-1120" w:right="80" w:firstLine="1952"/>
        <w:spacing w:after="0" w:line="237" w:lineRule="auto"/>
        <w:tabs>
          <w:tab w:leader="none" w:pos="1469"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terms and conditions of each such Tandem Awards (</w:t>
      </w:r>
      <w:r>
        <w:rPr>
          <w:rFonts w:ascii="Arial" w:cs="Arial" w:eastAsia="Arial" w:hAnsi="Arial"/>
          <w:sz w:val="17"/>
          <w:szCs w:val="17"/>
          <w:u w:val="single" w:color="auto"/>
          <w:color w:val="auto"/>
        </w:rPr>
        <w:t>e.g</w:t>
      </w:r>
      <w:r>
        <w:rPr>
          <w:rFonts w:ascii="Arial" w:cs="Arial" w:eastAsia="Arial" w:hAnsi="Arial"/>
          <w:sz w:val="17"/>
          <w:szCs w:val="17"/>
          <w:color w:val="auto"/>
        </w:rPr>
        <w:t xml:space="preserve">., the per share exercise price, the schedule of vesting, exercisability and delivery, etc.) shall be determined by the Committee or the Manager, as the case may be, in its sole discretion and shall be included in an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the term of such award may not be greater than the term of its related Manager Award.</w:t>
      </w:r>
    </w:p>
    <w:p>
      <w:pPr>
        <w:spacing w:after="0" w:line="176" w:lineRule="exact"/>
        <w:rPr>
          <w:rFonts w:ascii="Arial" w:cs="Arial" w:eastAsia="Arial" w:hAnsi="Arial"/>
          <w:sz w:val="17"/>
          <w:szCs w:val="17"/>
          <w:color w:val="auto"/>
        </w:rPr>
      </w:pPr>
    </w:p>
    <w:p>
      <w:pPr>
        <w:ind w:left="-1120" w:right="40" w:firstLine="1952"/>
        <w:spacing w:after="0" w:line="248" w:lineRule="auto"/>
        <w:tabs>
          <w:tab w:leader="none" w:pos="1463"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Other Awards</w:t>
      </w:r>
      <w:r>
        <w:rPr>
          <w:rFonts w:ascii="Arial" w:cs="Arial" w:eastAsia="Arial" w:hAnsi="Arial"/>
          <w:sz w:val="16"/>
          <w:szCs w:val="16"/>
          <w:color w:val="auto"/>
        </w:rPr>
        <w:t xml:space="preserve">. The Committee may, from time to time, grant such Awards to the Manager as the Committee deems advisable in order to provide additional incentive to the Manager to enhance the value of the Company’s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Award shall be awarded to the Manager (or its designee) in connection with any equity issuance by the Company which provides for the acquisition of a number of Shares in excess of ten percent (10%) of (i) the maximum number of Shares being proposed to be issued by the Company in such equity issuance or (ii) if such equity issuance relates to equity securities other than Shares, the maximum number of Shares determined in accordance with the Equity Security Factor.</w:t>
      </w:r>
    </w:p>
    <w:p>
      <w:pPr>
        <w:spacing w:after="0" w:line="156" w:lineRule="exact"/>
        <w:rPr>
          <w:rFonts w:ascii="Arial" w:cs="Arial" w:eastAsia="Arial" w:hAnsi="Arial"/>
          <w:sz w:val="16"/>
          <w:szCs w:val="16"/>
          <w:color w:val="auto"/>
        </w:rPr>
      </w:pPr>
    </w:p>
    <w:p>
      <w:pPr>
        <w:ind w:left="-1120" w:right="20" w:firstLine="1952"/>
        <w:spacing w:after="0" w:line="223" w:lineRule="auto"/>
        <w:tabs>
          <w:tab w:leader="none" w:pos="146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Change in Control and Termination Provisions</w:t>
      </w:r>
      <w:r>
        <w:rPr>
          <w:rFonts w:ascii="Arial" w:cs="Arial" w:eastAsia="Arial" w:hAnsi="Arial"/>
          <w:sz w:val="18"/>
          <w:szCs w:val="18"/>
          <w:color w:val="auto"/>
        </w:rPr>
        <w:t>. Notwithstanding anything herein, unless otherwise provided in any Award Agreement to the contrary, upon a Change in Control or a termination of the Manager’s services to the Company for any reason, all Awards granted to the Manager pursuant to this Plan shall become immediately and fully exercisable, and all Tandem Awards shall be governed by the terms and conditions of the applicable Award Agreements.</w:t>
      </w:r>
    </w:p>
    <w:p>
      <w:pPr>
        <w:spacing w:after="0" w:line="175" w:lineRule="exact"/>
        <w:rPr>
          <w:rFonts w:ascii="Arial" w:cs="Arial" w:eastAsia="Arial" w:hAnsi="Arial"/>
          <w:sz w:val="18"/>
          <w:szCs w:val="18"/>
          <w:color w:val="auto"/>
        </w:rPr>
      </w:pPr>
    </w:p>
    <w:p>
      <w:pPr>
        <w:ind w:left="-1120" w:right="160" w:firstLine="1952"/>
        <w:spacing w:after="0" w:line="223" w:lineRule="auto"/>
        <w:tabs>
          <w:tab w:leader="none" w:pos="146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Company shall, upon the Manager’s reasonable request, (i) use commercially reasonable efforts to register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that may be issued and sold under the Plan or the resale of such securities issued and sold pursuant to the Plan or (ii) enter into a registration rights agreement with the Manager on terms to be mutually agreed upon between the parties.</w:t>
      </w:r>
    </w:p>
    <w:p>
      <w:pPr>
        <w:spacing w:after="0" w:line="162"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u w:val="single" w:color="auto"/>
          <w:color w:val="auto"/>
        </w:rPr>
        <w:t>Automatic Non-Officer Director Awards</w:t>
      </w:r>
      <w:r>
        <w:rPr>
          <w:rFonts w:ascii="Arial" w:cs="Arial" w:eastAsia="Arial" w:hAnsi="Arial"/>
          <w:sz w:val="17"/>
          <w:szCs w:val="17"/>
          <w:color w:val="auto"/>
        </w:rPr>
        <w:t>.</w:t>
      </w:r>
    </w:p>
    <w:p>
      <w:pPr>
        <w:spacing w:after="0" w:line="185" w:lineRule="exact"/>
        <w:rPr>
          <w:sz w:val="20"/>
          <w:szCs w:val="20"/>
          <w:color w:val="auto"/>
        </w:rPr>
      </w:pPr>
    </w:p>
    <w:p>
      <w:pPr>
        <w:ind w:left="-1120" w:right="60" w:firstLine="1952"/>
        <w:spacing w:after="0" w:line="236" w:lineRule="auto"/>
        <w:tabs>
          <w:tab w:leader="none" w:pos="1469"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Initial Grant of Non-Officer Director Stock Options</w:t>
      </w:r>
      <w:r>
        <w:rPr>
          <w:rFonts w:ascii="Arial" w:cs="Arial" w:eastAsia="Arial" w:hAnsi="Arial"/>
          <w:sz w:val="17"/>
          <w:szCs w:val="17"/>
          <w:color w:val="auto"/>
        </w:rPr>
        <w:t>. Each Non-Officer Director shall be granted a Stock Option, which shall be fully vested as of the date of the grant, relating to 5,000 Shares (each, a “</w:t>
      </w:r>
      <w:r>
        <w:rPr>
          <w:rFonts w:ascii="Arial" w:cs="Arial" w:eastAsia="Arial" w:hAnsi="Arial"/>
          <w:sz w:val="17"/>
          <w:szCs w:val="17"/>
          <w:u w:val="single" w:color="auto"/>
          <w:color w:val="auto"/>
        </w:rPr>
        <w:t>Non-Officer Director Stock Option</w:t>
      </w:r>
      <w:r>
        <w:rPr>
          <w:rFonts w:ascii="Arial" w:cs="Arial" w:eastAsia="Arial" w:hAnsi="Arial"/>
          <w:sz w:val="17"/>
          <w:szCs w:val="17"/>
          <w:color w:val="auto"/>
        </w:rPr>
        <w:t>”), upon the date of the first Board of Director’s meeting attended by such Non-Officer Director after effectiveness of the Plan. The option price per Share under the Non-Officer Director Stock Option shall be one hundred percent (100%) of the Fair Market Value of the Shares on the date of grant.</w:t>
      </w:r>
    </w:p>
    <w:p>
      <w:pPr>
        <w:spacing w:after="0" w:line="176" w:lineRule="exact"/>
        <w:rPr>
          <w:rFonts w:ascii="Arial" w:cs="Arial" w:eastAsia="Arial" w:hAnsi="Arial"/>
          <w:sz w:val="17"/>
          <w:szCs w:val="17"/>
          <w:color w:val="auto"/>
        </w:rPr>
      </w:pPr>
    </w:p>
    <w:p>
      <w:pPr>
        <w:ind w:left="-1120" w:right="200" w:firstLine="1952"/>
        <w:spacing w:after="0" w:line="232" w:lineRule="auto"/>
        <w:tabs>
          <w:tab w:leader="none" w:pos="1466"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Share Availability</w:t>
      </w:r>
      <w:r>
        <w:rPr>
          <w:rFonts w:ascii="Arial" w:cs="Arial" w:eastAsia="Arial" w:hAnsi="Arial"/>
          <w:sz w:val="17"/>
          <w:szCs w:val="17"/>
          <w:color w:val="auto"/>
        </w:rPr>
        <w:t>. In the event that the number of Shares available for grant under the Plan is not sufficient to accommodate the Awards of Non-Officer Director Stock Options, then the remaining Shares available for such automatic awards shall be granted to each Non-Officer Director who is to receive such an award on a pro-rata basis. No further grants shall be made until such time, if any, as additional Shares become available for grant under the Plan through action of the Board or the shareholders of the Company to increase the number of Shares that may be issued under the Plan or through cancellation or expiration of Awards previously granted hereunder.</w:t>
      </w:r>
    </w:p>
    <w:p>
      <w:pPr>
        <w:spacing w:after="0" w:line="162" w:lineRule="exact"/>
        <w:rPr>
          <w:rFonts w:ascii="Arial" w:cs="Arial" w:eastAsia="Arial" w:hAnsi="Arial"/>
          <w:sz w:val="17"/>
          <w:szCs w:val="17"/>
          <w:color w:val="auto"/>
        </w:rPr>
      </w:pPr>
    </w:p>
    <w:p>
      <w:pPr>
        <w:ind w:left="-1120" w:firstLine="1952"/>
        <w:spacing w:after="0" w:line="248" w:lineRule="auto"/>
        <w:tabs>
          <w:tab w:leader="none" w:pos="1469"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Term; Method of Exercise of Non-Officer Director Stock Option</w:t>
      </w:r>
      <w:r>
        <w:rPr>
          <w:rFonts w:ascii="Arial" w:cs="Arial" w:eastAsia="Arial" w:hAnsi="Arial"/>
          <w:sz w:val="16"/>
          <w:szCs w:val="16"/>
          <w:color w:val="auto"/>
        </w:rPr>
        <w:t>. Each Non-Officer Director Stock Option shall cease to be exercisable no later than the date that is ten (10) years following the date of grant. If settled in Shares, the exercise price of such Stock Options may be paid in cash or its equivalent, as determined by the Committee. As determined by the Committee, in its sole discretion, payment in whole or in part may also be made (i) by means of any cashless exercise procedure approved by the Committee (including the withholding of Shares otherwise issuable on exercise), or (ii) in the form of unrestricted Shares already owned by the Non-Officer Director which has a Fair Market Value on the date of surrender equal to the aggregate option price of the Shares as to which such Stock Option shall be exercised. No fractional Shares will be issued or accepted.</w:t>
      </w:r>
    </w:p>
    <w:p>
      <w:pPr>
        <w:spacing w:after="0" w:line="155" w:lineRule="exact"/>
        <w:rPr>
          <w:rFonts w:ascii="Arial" w:cs="Arial" w:eastAsia="Arial" w:hAnsi="Arial"/>
          <w:sz w:val="16"/>
          <w:szCs w:val="16"/>
          <w:color w:val="auto"/>
        </w:rPr>
      </w:pPr>
    </w:p>
    <w:p>
      <w:pPr>
        <w:ind w:left="-1120" w:right="180" w:firstLine="1952"/>
        <w:spacing w:after="0" w:line="267" w:lineRule="auto"/>
        <w:tabs>
          <w:tab w:leader="none" w:pos="1466"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Award Agreements</w:t>
      </w:r>
      <w:r>
        <w:rPr>
          <w:rFonts w:ascii="Arial" w:cs="Arial" w:eastAsia="Arial" w:hAnsi="Arial"/>
          <w:sz w:val="16"/>
          <w:szCs w:val="16"/>
          <w:color w:val="auto"/>
        </w:rPr>
        <w:t>. Each recipient of a Non-Officer Director Stock Option shall enter into an Award Agreement with the Company, which agreement shall set forth, among other things, the exercise price, the term and provisions regarding exercisability and form of settlement of the Non-Officer Director Stock Option, which provisions shall not be inconsistent with the terms of this Section 5.6 and Section 6.1 hereof.</w:t>
      </w:r>
    </w:p>
    <w:p>
      <w:pPr>
        <w:sectPr>
          <w:pgSz w:w="11900" w:h="16838" w:orient="portrait"/>
          <w:cols w:equalWidth="0" w:num="1">
            <w:col w:w="10120"/>
          </w:cols>
          <w:pgMar w:left="1440" w:top="1440" w:right="339" w:bottom="1440" w:gutter="0" w:footer="0" w:header="0"/>
        </w:sectPr>
      </w:pPr>
    </w:p>
    <w:bookmarkStart w:id="126" w:name="page127"/>
    <w:bookmarkEnd w:id="126"/>
    <w:p>
      <w:pPr>
        <w:spacing w:after="0" w:line="184"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Award Agreement with respect to such Non-Officer Director Stock Option shall also set forth such other terms and conditions with respect to Awards to the Non-Officer Director as the Committee may determine.</w:t>
      </w:r>
    </w:p>
    <w:p>
      <w:pPr>
        <w:spacing w:after="0" w:line="17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u w:val="single" w:color="auto"/>
          <w:color w:val="auto"/>
        </w:rPr>
        <w:t>Other Awards</w:t>
      </w:r>
      <w:r>
        <w:rPr>
          <w:rFonts w:ascii="Arial" w:cs="Arial" w:eastAsia="Arial" w:hAnsi="Arial"/>
          <w:sz w:val="16"/>
          <w:szCs w:val="16"/>
          <w:color w:val="auto"/>
        </w:rPr>
        <w:t>.</w:t>
      </w:r>
    </w:p>
    <w:p>
      <w:pPr>
        <w:spacing w:after="0" w:line="185" w:lineRule="exact"/>
        <w:rPr>
          <w:sz w:val="20"/>
          <w:szCs w:val="20"/>
          <w:color w:val="auto"/>
        </w:rPr>
      </w:pPr>
    </w:p>
    <w:p>
      <w:pPr>
        <w:ind w:right="240" w:firstLine="1296"/>
        <w:spacing w:after="0" w:line="248" w:lineRule="auto"/>
        <w:rPr>
          <w:sz w:val="20"/>
          <w:szCs w:val="20"/>
          <w:color w:val="auto"/>
        </w:rPr>
      </w:pPr>
      <w:r>
        <w:rPr>
          <w:rFonts w:ascii="Arial" w:cs="Arial" w:eastAsia="Arial" w:hAnsi="Arial"/>
          <w:sz w:val="16"/>
          <w:szCs w:val="16"/>
          <w:color w:val="auto"/>
        </w:rPr>
        <w:t>The Committee may from time to time grant to its Non-Officer Directors, or any other Participant, Shares, other Share-based and non-Share-based Awards under the Plan, including without limitation those Awards pursuant to which Shares are or may in the future be acquired, Awards</w:t>
      </w:r>
    </w:p>
    <w:p>
      <w:pPr>
        <w:jc w:val="both"/>
        <w:spacing w:after="0" w:line="218" w:lineRule="auto"/>
        <w:rPr>
          <w:sz w:val="20"/>
          <w:szCs w:val="20"/>
          <w:color w:val="auto"/>
        </w:rPr>
      </w:pPr>
      <w:r>
        <w:rPr>
          <w:rFonts w:ascii="Arial" w:cs="Arial" w:eastAsia="Arial" w:hAnsi="Arial"/>
          <w:sz w:val="18"/>
          <w:szCs w:val="18"/>
          <w:color w:val="auto"/>
        </w:rPr>
        <w:t>denominated in Shares, securities convertible into Shares, phantom securities, dividend equivalents and cash. The Committee shall determine the terms and conditions of such other Shares, Share-based and non-Share-based Awards provided that such Awards shall not be inconsistent with the terms and purposes of this Plan.</w:t>
      </w:r>
    </w:p>
    <w:p>
      <w:pPr>
        <w:spacing w:after="0" w:line="17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SECTION 6</w:t>
      </w:r>
    </w:p>
    <w:p>
      <w:pPr>
        <w:spacing w:after="0" w:line="144" w:lineRule="exact"/>
        <w:rPr>
          <w:sz w:val="20"/>
          <w:szCs w:val="20"/>
          <w:color w:val="auto"/>
        </w:rPr>
      </w:pPr>
    </w:p>
    <w:p>
      <w:pPr>
        <w:ind w:left="4640"/>
        <w:spacing w:after="0"/>
        <w:rPr>
          <w:sz w:val="20"/>
          <w:szCs w:val="20"/>
          <w:color w:val="auto"/>
        </w:rPr>
      </w:pPr>
      <w:r>
        <w:rPr>
          <w:rFonts w:ascii="Arial" w:cs="Arial" w:eastAsia="Arial" w:hAnsi="Arial"/>
          <w:sz w:val="18"/>
          <w:szCs w:val="18"/>
          <w:b w:val="1"/>
          <w:bCs w:val="1"/>
          <w:u w:val="single" w:color="auto"/>
          <w:color w:val="auto"/>
        </w:rPr>
        <w:t>AWARD AGREEMENTS</w:t>
      </w:r>
    </w:p>
    <w:p>
      <w:pPr>
        <w:spacing w:after="0" w:line="202" w:lineRule="exact"/>
        <w:rPr>
          <w:sz w:val="20"/>
          <w:szCs w:val="20"/>
          <w:color w:val="auto"/>
        </w:rPr>
      </w:pPr>
    </w:p>
    <w:p>
      <w:pPr>
        <w:ind w:right="160" w:firstLine="1296"/>
        <w:spacing w:after="0" w:line="258" w:lineRule="auto"/>
        <w:rPr>
          <w:sz w:val="20"/>
          <w:szCs w:val="20"/>
          <w:color w:val="auto"/>
        </w:rPr>
      </w:pPr>
      <w:r>
        <w:rPr>
          <w:rFonts w:ascii="Arial" w:cs="Arial" w:eastAsia="Arial" w:hAnsi="Arial"/>
          <w:sz w:val="17"/>
          <w:szCs w:val="17"/>
          <w:color w:val="auto"/>
        </w:rPr>
        <w:t>Each Award under this Plan shall be evidenced by an Award Agreement setting forth the number of Shares or other securities, and such other terms and conditions applicable to the Award (and not inconsistent with this Plan) as are determined by the Committee.</w:t>
      </w:r>
    </w:p>
    <w:p>
      <w:pPr>
        <w:spacing w:after="0" w:line="14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Terms of Award Agreements</w:t>
      </w:r>
      <w:r>
        <w:rPr>
          <w:rFonts w:ascii="Arial" w:cs="Arial" w:eastAsia="Arial" w:hAnsi="Arial"/>
          <w:sz w:val="16"/>
          <w:szCs w:val="16"/>
          <w:color w:val="auto"/>
        </w:rPr>
        <w:t>. Award Agreements may include the following terms:</w:t>
      </w:r>
    </w:p>
    <w:p>
      <w:pPr>
        <w:spacing w:after="0" w:line="198" w:lineRule="exact"/>
        <w:rPr>
          <w:sz w:val="20"/>
          <w:szCs w:val="20"/>
          <w:color w:val="auto"/>
        </w:rPr>
      </w:pPr>
    </w:p>
    <w:p>
      <w:pPr>
        <w:ind w:right="340" w:firstLine="1952"/>
        <w:spacing w:after="0" w:line="235" w:lineRule="auto"/>
        <w:tabs>
          <w:tab w:leader="none" w:pos="258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each Award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Award with an exercise period shall be exercisable more than ten years after the date such Award is granted.</w:t>
      </w:r>
    </w:p>
    <w:p>
      <w:pPr>
        <w:spacing w:after="0" w:line="161" w:lineRule="exact"/>
        <w:rPr>
          <w:rFonts w:ascii="Arial" w:cs="Arial" w:eastAsia="Arial" w:hAnsi="Arial"/>
          <w:sz w:val="18"/>
          <w:szCs w:val="18"/>
          <w:color w:val="auto"/>
        </w:rPr>
      </w:pPr>
    </w:p>
    <w:p>
      <w:pPr>
        <w:ind w:right="160" w:firstLine="1952"/>
        <w:spacing w:after="0" w:line="223" w:lineRule="auto"/>
        <w:tabs>
          <w:tab w:leader="none" w:pos="258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purchasable under an Award (as determined by the Committee in its sole discretion at the time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exercise price shall not be less than the par value of the Shares and, for Awards intended to be exempt from application of Sections 409A and 457A of the Code under Section 1.409A-1(b)(5)(A), shall not be less than 100% of the Fair Market Value of the Shares on such date.</w:t>
      </w:r>
    </w:p>
    <w:p>
      <w:pPr>
        <w:spacing w:after="0" w:line="175" w:lineRule="exact"/>
        <w:rPr>
          <w:rFonts w:ascii="Arial" w:cs="Arial" w:eastAsia="Arial" w:hAnsi="Arial"/>
          <w:sz w:val="18"/>
          <w:szCs w:val="18"/>
          <w:color w:val="auto"/>
        </w:rPr>
      </w:pPr>
    </w:p>
    <w:p>
      <w:pPr>
        <w:ind w:right="120" w:firstLine="1952"/>
        <w:spacing w:after="0" w:line="235" w:lineRule="auto"/>
        <w:tabs>
          <w:tab w:leader="none" w:pos="258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Provisions regarding the exercisability of Awards (which shall be exercisable at such time or times and subject to such terms and conditions as shall be determined by the Committee at or after grant).</w:t>
      </w:r>
    </w:p>
    <w:p>
      <w:pPr>
        <w:spacing w:after="0" w:line="161" w:lineRule="exact"/>
        <w:rPr>
          <w:rFonts w:ascii="Arial" w:cs="Arial" w:eastAsia="Arial" w:hAnsi="Arial"/>
          <w:sz w:val="18"/>
          <w:szCs w:val="18"/>
          <w:color w:val="auto"/>
        </w:rPr>
      </w:pPr>
    </w:p>
    <w:p>
      <w:pPr>
        <w:ind w:left="2600" w:hanging="648"/>
        <w:spacing w:after="0"/>
        <w:tabs>
          <w:tab w:leader="none" w:pos="26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Provisions describing the method of exercising Awards.</w:t>
      </w:r>
    </w:p>
    <w:p>
      <w:pPr>
        <w:spacing w:after="0" w:line="198" w:lineRule="exact"/>
        <w:rPr>
          <w:rFonts w:ascii="Arial" w:cs="Arial" w:eastAsia="Arial" w:hAnsi="Arial"/>
          <w:sz w:val="18"/>
          <w:szCs w:val="18"/>
          <w:color w:val="auto"/>
        </w:rPr>
      </w:pPr>
    </w:p>
    <w:p>
      <w:pPr>
        <w:ind w:right="320" w:firstLine="1952"/>
        <w:spacing w:after="0" w:line="258" w:lineRule="auto"/>
        <w:tabs>
          <w:tab w:leader="none" w:pos="2589"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Provisions regarding the timing of the delivery of Shares subject to Awards. The Award Agreements may provide that such delivery will be delayed to the extent required to avoid the imposition of a tax under Section 409A of the Code.</w:t>
      </w:r>
    </w:p>
    <w:p>
      <w:pPr>
        <w:spacing w:after="0" w:line="146" w:lineRule="exact"/>
        <w:rPr>
          <w:rFonts w:ascii="Arial" w:cs="Arial" w:eastAsia="Arial" w:hAnsi="Arial"/>
          <w:sz w:val="17"/>
          <w:szCs w:val="17"/>
          <w:color w:val="auto"/>
        </w:rPr>
      </w:pPr>
    </w:p>
    <w:p>
      <w:pPr>
        <w:ind w:right="180" w:firstLine="1952"/>
        <w:spacing w:after="0" w:line="229" w:lineRule="auto"/>
        <w:tabs>
          <w:tab w:leader="none" w:pos="258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Provisions describing the treatment of an Award in the event of Disability, death or other termination of a Participant’s employment or service with the Company, including but not limited to, terms relating to the vesting, time for exercise, forfeiture and cancellation of an Award in such circumstances.</w:t>
      </w:r>
    </w:p>
    <w:p>
      <w:pPr>
        <w:spacing w:after="0" w:line="163" w:lineRule="exact"/>
        <w:rPr>
          <w:rFonts w:ascii="Arial" w:cs="Arial" w:eastAsia="Arial" w:hAnsi="Arial"/>
          <w:sz w:val="18"/>
          <w:szCs w:val="18"/>
          <w:color w:val="auto"/>
        </w:rPr>
      </w:pPr>
    </w:p>
    <w:p>
      <w:pPr>
        <w:jc w:val="both"/>
        <w:ind w:right="20" w:firstLine="1952"/>
        <w:spacing w:after="0" w:line="223" w:lineRule="auto"/>
        <w:tabs>
          <w:tab w:leader="none" w:pos="258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A provision that a Participant shall have no rights as a shareholder with respect to any securities covered by an Award until the date the Participant becomes the holder of record. Except as provided in Section 3.3 hereof, no adjustment shall be made for dividends or other rights, unless the Award Agreement specifically requires such adjustment, in which case, grants of dividend equivalents or similar rights shall not be considered to be a grant of any other shareholder right.</w:t>
      </w:r>
    </w:p>
    <w:p>
      <w:pPr>
        <w:spacing w:after="0" w:line="175" w:lineRule="exact"/>
        <w:rPr>
          <w:rFonts w:ascii="Arial" w:cs="Arial" w:eastAsia="Arial" w:hAnsi="Arial"/>
          <w:sz w:val="18"/>
          <w:szCs w:val="18"/>
          <w:color w:val="auto"/>
        </w:rPr>
      </w:pPr>
    </w:p>
    <w:p>
      <w:pPr>
        <w:ind w:right="20" w:firstLine="1952"/>
        <w:spacing w:after="0" w:line="219" w:lineRule="auto"/>
        <w:tabs>
          <w:tab w:leader="none" w:pos="258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xml:space="preserve">. A provision that except under the laws of descent and distribution or as otherwise permitted by the Committee, in its sole discretion, or, in respect of Manager Awards, grants of Tandem Awards, the Participant shall not be permitted to sell, transfer, pledge or assign any Award, and all Awards shall be exercisable, during the Participant’s lifetime, only by the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Participant shall be permitted to transfer one or more Stock Options to a trust controlled by the Participant during the Participant’s lifetime for estate planning purposes.</w:t>
      </w:r>
    </w:p>
    <w:p>
      <w:pPr>
        <w:spacing w:after="0" w:line="162" w:lineRule="exact"/>
        <w:rPr>
          <w:rFonts w:ascii="Arial" w:cs="Arial" w:eastAsia="Arial" w:hAnsi="Arial"/>
          <w:sz w:val="18"/>
          <w:szCs w:val="18"/>
          <w:color w:val="auto"/>
        </w:rPr>
      </w:pPr>
    </w:p>
    <w:p>
      <w:pPr>
        <w:ind w:right="40" w:firstLine="1952"/>
        <w:spacing w:after="0" w:line="229" w:lineRule="auto"/>
        <w:tabs>
          <w:tab w:leader="none" w:pos="258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Other Terms</w:t>
      </w:r>
      <w:r>
        <w:rPr>
          <w:rFonts w:ascii="Arial" w:cs="Arial" w:eastAsia="Arial" w:hAnsi="Arial"/>
          <w:sz w:val="18"/>
          <w:szCs w:val="18"/>
          <w:color w:val="auto"/>
        </w:rPr>
        <w:t>. Such other terms as are necessary and appropriate to effectuate an Award to the Participant, including but not limited to, (1) vesting provisions, (2) deferral elections, (3) any requirements for continued employment or service with the Company, (4) any requirement to execute a general</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184" w:lineRule="exact"/>
        <w:rPr>
          <w:sz w:val="20"/>
          <w:szCs w:val="20"/>
          <w:color w:val="auto"/>
        </w:rPr>
      </w:pPr>
    </w:p>
    <w:p>
      <w:pPr>
        <w:jc w:val="both"/>
        <w:ind w:right="80"/>
        <w:spacing w:after="0" w:line="248" w:lineRule="auto"/>
        <w:rPr>
          <w:sz w:val="20"/>
          <w:szCs w:val="20"/>
          <w:color w:val="auto"/>
        </w:rPr>
      </w:pPr>
      <w:r>
        <w:rPr>
          <w:rFonts w:ascii="Arial" w:cs="Arial" w:eastAsia="Arial" w:hAnsi="Arial"/>
          <w:sz w:val="16"/>
          <w:szCs w:val="16"/>
          <w:color w:val="auto"/>
        </w:rPr>
        <w:t>release of claims in a form acceptable to the Company prior to the lapse of any restrictions or conditions on such Award or such Award becoming exercisable, (5) any other restrictions or conditions (including performance requirements) on the Award and the method by which restrictions or conditions</w:t>
      </w:r>
    </w:p>
    <w:p>
      <w:pPr>
        <w:jc w:val="both"/>
        <w:ind w:right="80"/>
        <w:spacing w:after="0" w:line="234" w:lineRule="auto"/>
        <w:rPr>
          <w:sz w:val="20"/>
          <w:szCs w:val="20"/>
          <w:color w:val="auto"/>
        </w:rPr>
      </w:pPr>
      <w:r>
        <w:rPr>
          <w:rFonts w:ascii="Arial" w:cs="Arial" w:eastAsia="Arial" w:hAnsi="Arial"/>
          <w:sz w:val="16"/>
          <w:szCs w:val="16"/>
          <w:color w:val="auto"/>
        </w:rPr>
        <w:t>lapse, (6) effect on the Award of a Change in Control, (7) the right of the Company and such other Persons as the Committee shall designate (“</w:t>
      </w:r>
      <w:r>
        <w:rPr>
          <w:rFonts w:ascii="Arial" w:cs="Arial" w:eastAsia="Arial" w:hAnsi="Arial"/>
          <w:sz w:val="16"/>
          <w:szCs w:val="16"/>
          <w:u w:val="single" w:color="auto"/>
          <w:color w:val="auto"/>
        </w:rPr>
        <w:t>Designees</w:t>
      </w:r>
      <w:r>
        <w:rPr>
          <w:rFonts w:ascii="Arial" w:cs="Arial" w:eastAsia="Arial" w:hAnsi="Arial"/>
          <w:sz w:val="16"/>
          <w:szCs w:val="16"/>
          <w:color w:val="auto"/>
        </w:rPr>
        <w:t>”) to repurchase from a Participant, and such Participant’s permitted transferees, all Shares issued or issuable to such Participant in connection with an Award in the event of such Participant’s termination of employment or service, (8) rights of first refusal granted to the Company and its Designees, if any, (9)</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holdback and other registration right restrictions in the event of a public registration of any equity securities of the Company and (10) any other terms and conditions which the Committee shall deem necessary and desirable.</w:t>
      </w:r>
    </w:p>
    <w:p>
      <w:pPr>
        <w:spacing w:after="0" w:line="157" w:lineRule="exact"/>
        <w:rPr>
          <w:sz w:val="20"/>
          <w:szCs w:val="20"/>
          <w:color w:val="auto"/>
        </w:rPr>
      </w:pPr>
    </w:p>
    <w:p>
      <w:pPr>
        <w:jc w:val="right"/>
        <w:ind w:right="5320"/>
        <w:spacing w:after="0"/>
        <w:rPr>
          <w:sz w:val="20"/>
          <w:szCs w:val="20"/>
          <w:color w:val="auto"/>
        </w:rPr>
      </w:pPr>
      <w:r>
        <w:rPr>
          <w:rFonts w:ascii="Arial" w:cs="Arial" w:eastAsia="Arial" w:hAnsi="Arial"/>
          <w:sz w:val="18"/>
          <w:szCs w:val="18"/>
          <w:b w:val="1"/>
          <w:bCs w:val="1"/>
          <w:color w:val="auto"/>
        </w:rPr>
        <w:t>SECTION 7</w:t>
      </w:r>
    </w:p>
    <w:p>
      <w:pPr>
        <w:spacing w:after="0" w:line="158" w:lineRule="exact"/>
        <w:rPr>
          <w:sz w:val="20"/>
          <w:szCs w:val="20"/>
          <w:color w:val="auto"/>
        </w:rPr>
      </w:pPr>
    </w:p>
    <w:p>
      <w:pPr>
        <w:jc w:val="right"/>
        <w:ind w:right="5300"/>
        <w:spacing w:after="0"/>
        <w:rPr>
          <w:sz w:val="20"/>
          <w:szCs w:val="20"/>
          <w:color w:val="auto"/>
        </w:rPr>
      </w:pPr>
      <w:r>
        <w:rPr>
          <w:rFonts w:ascii="Arial" w:cs="Arial" w:eastAsia="Arial" w:hAnsi="Arial"/>
          <w:sz w:val="18"/>
          <w:szCs w:val="18"/>
          <w:b w:val="1"/>
          <w:bCs w:val="1"/>
          <w:u w:val="single" w:color="auto"/>
          <w:color w:val="auto"/>
        </w:rPr>
        <w:t>LOANS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extent permitted by applicable law, including the Sarbanes-Oxley Act of 2002, the Company or any parent or subsidiary of the</w:t>
      </w:r>
    </w:p>
    <w:p>
      <w:pPr>
        <w:spacing w:after="0" w:line="21"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Company may make loans available to Stock Option holders in connection with the exercise of outstanding Stock Options granted under the Plan, as the Committee, in its discretion, may determine. Such loans shall (i) be evidenced by promissory notes entered into by the Stock Option holders in favor of the Company or any parent or subsidiary of the Company, (ii) be subject to the terms and conditions set forth in this Section 7 and such other terms and</w:t>
      </w:r>
    </w:p>
    <w:p>
      <w:pPr>
        <w:spacing w:after="0" w:line="231" w:lineRule="auto"/>
        <w:rPr>
          <w:sz w:val="20"/>
          <w:szCs w:val="20"/>
          <w:color w:val="auto"/>
        </w:rPr>
      </w:pPr>
      <w:r>
        <w:rPr>
          <w:rFonts w:ascii="Arial" w:cs="Arial" w:eastAsia="Arial" w:hAnsi="Arial"/>
          <w:sz w:val="16"/>
          <w:szCs w:val="16"/>
          <w:color w:val="auto"/>
        </w:rPr>
        <w:t>conditions, not inconsistent with the Plan, as the Committee shall determine, (iii) bear interest, if any, at such rate as the Committee shall determine, and</w:t>
      </w:r>
    </w:p>
    <w:p>
      <w:pPr>
        <w:ind w:right="60" w:firstLine="8"/>
        <w:spacing w:after="0" w:line="225" w:lineRule="auto"/>
        <w:tabs>
          <w:tab w:leader="none" w:pos="305"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be subject to Board approval (or to approval by the Committee to the extent the Board may delegate such authority). In no event may the principal amount of any such loan exceed the sum of (x) the exercise price less the par value of the Shares covered by the Stock Option, or portion thereof, exercised by the holder, and (y) any federal, state, and local income tax attributable to such exercise. The initial term of the loan, the schedule of payments of principal and interest under the loan, the extent to which the loan is to be with or without recourse against the holder with respect to principal or interest and the conditions upon which the loan will become payable in the event of the holder’s termination of employment or service shall be determined by the Committee. Unless the Committee determines otherwise, when a loan is made, Shares having a Fair Market Value at least equal to the principal amount of the loan shall be pledged by the holder to the Company as security for payment of the unpaid balance of the loan, and such pledge shall be evidenced by a pledge agreement, the terms of which shall be determined by the Committee, in its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loan shall comply with all applicable laws, and all regulations and rules of the Board of Governors of the Federal Reserve System and of the U.S. Securities and Exchange Commission and any other governmental agency having jurisdiction.</w:t>
      </w:r>
    </w:p>
    <w:p>
      <w:pPr>
        <w:spacing w:after="0" w:line="15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SECTION 8</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b w:val="1"/>
          <w:bCs w:val="1"/>
          <w:u w:val="single" w:color="auto"/>
          <w:color w:val="auto"/>
        </w:rPr>
        <w:t>AMENDMENT AND TERMINATION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The Board may at any time and from time-to-time alter, amend, suspend, or terminate the Plan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w:t>
      </w:r>
    </w:p>
    <w:p>
      <w:pPr>
        <w:spacing w:after="0" w:line="10" w:lineRule="exact"/>
        <w:rPr>
          <w:sz w:val="20"/>
          <w:szCs w:val="20"/>
          <w:color w:val="auto"/>
        </w:rPr>
      </w:pPr>
    </w:p>
    <w:p>
      <w:pPr>
        <w:ind w:right="300"/>
        <w:spacing w:after="0" w:line="234" w:lineRule="auto"/>
        <w:rPr>
          <w:sz w:val="20"/>
          <w:szCs w:val="20"/>
          <w:color w:val="auto"/>
        </w:rPr>
      </w:pPr>
      <w:r>
        <w:rPr>
          <w:rFonts w:ascii="Arial" w:cs="Arial" w:eastAsia="Arial" w:hAnsi="Arial"/>
          <w:sz w:val="16"/>
          <w:szCs w:val="16"/>
          <w:color w:val="auto"/>
        </w:rPr>
        <w:t>amendment which requires shareholder approval in order for the Plan to comply with a rule or regulation deemed applicable by the Committee, shall be effective unless the same shall be approved by the requisite vote of the shareholders of the Company entitled to vote thereon. Notwithstanding the foregoing, no amendment shall affect adversely any of the rights of any Participant, without such Participant’s consent, under any Award or Loan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theretofore granted under the Plan.</w:t>
      </w:r>
    </w:p>
    <w:p>
      <w:pPr>
        <w:spacing w:after="0" w:line="16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SECTION 9</w:t>
      </w:r>
    </w:p>
    <w:p>
      <w:pPr>
        <w:spacing w:after="0" w:line="144"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UNFUNDED STATUS OF PLAN</w:t>
      </w:r>
    </w:p>
    <w:p>
      <w:pPr>
        <w:spacing w:after="0" w:line="202" w:lineRule="exact"/>
        <w:rPr>
          <w:sz w:val="20"/>
          <w:szCs w:val="20"/>
          <w:color w:val="auto"/>
        </w:rPr>
      </w:pPr>
    </w:p>
    <w:p>
      <w:pPr>
        <w:jc w:val="both"/>
        <w:ind w:right="480" w:firstLine="1296"/>
        <w:spacing w:after="0" w:line="224" w:lineRule="auto"/>
        <w:rPr>
          <w:sz w:val="20"/>
          <w:szCs w:val="20"/>
          <w:color w:val="auto"/>
        </w:rPr>
      </w:pPr>
      <w:r>
        <w:rPr>
          <w:rFonts w:ascii="Arial" w:cs="Arial" w:eastAsia="Arial" w:hAnsi="Arial"/>
          <w:sz w:val="18"/>
          <w:szCs w:val="18"/>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17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SECTION 10</w:t>
      </w:r>
    </w:p>
    <w:p>
      <w:pPr>
        <w:spacing w:after="0" w:line="144" w:lineRule="exact"/>
        <w:rPr>
          <w:sz w:val="20"/>
          <w:szCs w:val="20"/>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02" w:lineRule="exact"/>
        <w:rPr>
          <w:sz w:val="20"/>
          <w:szCs w:val="20"/>
          <w:color w:val="auto"/>
        </w:rPr>
      </w:pPr>
    </w:p>
    <w:p>
      <w:pPr>
        <w:ind w:firstLine="1296"/>
        <w:spacing w:after="0" w:line="24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Securities Laws Compliance</w:t>
      </w:r>
      <w:r>
        <w:rPr>
          <w:rFonts w:ascii="Arial" w:cs="Arial" w:eastAsia="Arial" w:hAnsi="Arial"/>
          <w:sz w:val="16"/>
          <w:szCs w:val="16"/>
          <w:color w:val="auto"/>
        </w:rPr>
        <w:t>. Shares shall not be issued pursuant to the exercise or settlement of any Award granted hereunder unless the exercise of such Award and the issuance and delivery of such Shares pursuant thereto shall comply with all relevant provisions of law, including, without limitation, the Securities Act, the Exchange Act and the requirements of any stock exchange upon which the Shares may then be listed, and shall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further subject to the approval of counsel for the Company with respect to such compliance.</w:t>
      </w:r>
    </w:p>
    <w:p>
      <w:pPr>
        <w:sectPr>
          <w:pgSz w:w="11900" w:h="16838" w:orient="portrait"/>
          <w:cols w:equalWidth="0" w:num="1">
            <w:col w:w="11240"/>
          </w:cols>
          <w:pgMar w:left="320" w:top="1440" w:right="339" w:bottom="1440" w:gutter="0" w:footer="0" w:header="0"/>
        </w:sectPr>
      </w:pPr>
    </w:p>
    <w:bookmarkStart w:id="128" w:name="page129"/>
    <w:bookmarkEnd w:id="128"/>
    <w:p>
      <w:pPr>
        <w:ind w:right="140" w:firstLine="1296"/>
        <w:spacing w:after="0" w:line="248"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Certificate Legends</w:t>
      </w:r>
      <w:r>
        <w:rPr>
          <w:rFonts w:ascii="Arial" w:cs="Arial" w:eastAsia="Arial" w:hAnsi="Arial"/>
          <w:sz w:val="16"/>
          <w:szCs w:val="16"/>
          <w:color w:val="auto"/>
        </w:rPr>
        <w:t>. The Committee may require each Person purchasing Shares pursuant to a Stock Option to represent to and agree with the Company in writing that such Person is acquiring the Shares subject thereto without a view to distribution thereof. The certificates for such</w:t>
      </w:r>
    </w:p>
    <w:p>
      <w:pPr>
        <w:spacing w:after="0"/>
        <w:rPr>
          <w:sz w:val="20"/>
          <w:szCs w:val="20"/>
          <w:color w:val="auto"/>
        </w:rPr>
      </w:pPr>
      <w:r>
        <w:rPr>
          <w:rFonts w:ascii="Arial" w:cs="Arial" w:eastAsia="Arial" w:hAnsi="Arial"/>
          <w:sz w:val="18"/>
          <w:szCs w:val="18"/>
          <w:color w:val="auto"/>
        </w:rPr>
        <w:t>Shares may include any legend which the Committee deems appropriate to reflect any restrictions on transfer.</w:t>
      </w:r>
    </w:p>
    <w:p>
      <w:pPr>
        <w:spacing w:after="0" w:line="169" w:lineRule="exact"/>
        <w:rPr>
          <w:sz w:val="20"/>
          <w:szCs w:val="20"/>
          <w:color w:val="auto"/>
        </w:rPr>
      </w:pPr>
    </w:p>
    <w:p>
      <w:pPr>
        <w:ind w:right="120" w:firstLine="1296"/>
        <w:spacing w:after="0" w:line="24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Transfer Restrictions</w:t>
      </w:r>
      <w:r>
        <w:rPr>
          <w:rFonts w:ascii="Arial" w:cs="Arial" w:eastAsia="Arial" w:hAnsi="Arial"/>
          <w:sz w:val="16"/>
          <w:szCs w:val="16"/>
          <w:color w:val="auto"/>
        </w:rPr>
        <w:t>. All Shares issued under the Plan and certificates issued with respect thereto shall be subject to such share or stock-transfer orders and other restrictions as the Committee may deem advisable under the rules, regulations, and other requirements of the</w:t>
      </w:r>
    </w:p>
    <w:p>
      <w:pPr>
        <w:ind w:right="140"/>
        <w:spacing w:after="0" w:line="226" w:lineRule="auto"/>
        <w:rPr>
          <w:sz w:val="20"/>
          <w:szCs w:val="20"/>
          <w:color w:val="auto"/>
        </w:rPr>
      </w:pPr>
      <w:r>
        <w:rPr>
          <w:rFonts w:ascii="Arial" w:cs="Arial" w:eastAsia="Arial" w:hAnsi="Arial"/>
          <w:sz w:val="18"/>
          <w:szCs w:val="18"/>
          <w:color w:val="auto"/>
        </w:rPr>
        <w:t>Commission, any stock exchange upon which the Shares are then listed, and any applicable federal or state securities law, and the Committee may cause a legend or legends to be placed on any such certificates to make appropriate reference to such restrictions.</w:t>
      </w:r>
    </w:p>
    <w:p>
      <w:pPr>
        <w:spacing w:after="0" w:line="15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Company Actions; No Right to Employment or Service</w:t>
      </w:r>
      <w:r>
        <w:rPr>
          <w:rFonts w:ascii="Arial" w:cs="Arial" w:eastAsia="Arial" w:hAnsi="Arial"/>
          <w:sz w:val="16"/>
          <w:szCs w:val="16"/>
          <w:color w:val="auto"/>
        </w:rPr>
        <w:t>. Nothing contained in the Plan shall prevent the Board from adopting</w:t>
      </w:r>
    </w:p>
    <w:p>
      <w:pPr>
        <w:spacing w:after="0" w:line="234" w:lineRule="auto"/>
        <w:rPr>
          <w:sz w:val="20"/>
          <w:szCs w:val="20"/>
          <w:color w:val="auto"/>
        </w:rPr>
      </w:pPr>
      <w:r>
        <w:rPr>
          <w:rFonts w:ascii="Arial" w:cs="Arial" w:eastAsia="Arial" w:hAnsi="Arial"/>
          <w:sz w:val="16"/>
          <w:szCs w:val="16"/>
          <w:color w:val="auto"/>
        </w:rPr>
        <w:t>other or additional compensation arrangements, subject to shareholder approval if such approval is necessary and desirable; and such arrangements may be either generally applicable or applicable only in specific cases. The adoption of the Plan shall not confer upon any employee, consultant, service provider or advisor of the Company any right to continued employment or service with the Company, as the case may be, nor shall it interfere in any way with the right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to terminate the employment or service of any of its employees, consultants or advisors at any time.</w:t>
      </w:r>
    </w:p>
    <w:p>
      <w:pPr>
        <w:spacing w:after="0" w:line="169" w:lineRule="exact"/>
        <w:rPr>
          <w:sz w:val="20"/>
          <w:szCs w:val="20"/>
          <w:color w:val="auto"/>
        </w:rPr>
      </w:pPr>
    </w:p>
    <w:p>
      <w:pPr>
        <w:ind w:right="160" w:firstLine="1296"/>
        <w:spacing w:after="0" w:line="248"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Sections 409A and 457A of the Code</w:t>
      </w:r>
      <w:r>
        <w:rPr>
          <w:rFonts w:ascii="Arial" w:cs="Arial" w:eastAsia="Arial" w:hAnsi="Arial"/>
          <w:sz w:val="16"/>
          <w:szCs w:val="16"/>
          <w:color w:val="auto"/>
        </w:rPr>
        <w:t>. The intent of the parties is that payments and benefits under the Plan be exempt from, or comply with Sections 409A and 457A of the Code to the extent subject thereto, and, accordingly, to the maximum extent permitted, the Plan shall be</w:t>
      </w:r>
    </w:p>
    <w:p>
      <w:pPr>
        <w:jc w:val="both"/>
        <w:ind w:right="180"/>
        <w:spacing w:after="0" w:line="234" w:lineRule="auto"/>
        <w:rPr>
          <w:sz w:val="20"/>
          <w:szCs w:val="20"/>
          <w:color w:val="auto"/>
        </w:rPr>
      </w:pPr>
      <w:r>
        <w:rPr>
          <w:rFonts w:ascii="Arial" w:cs="Arial" w:eastAsia="Arial" w:hAnsi="Arial"/>
          <w:sz w:val="16"/>
          <w:szCs w:val="16"/>
          <w:color w:val="auto"/>
        </w:rPr>
        <w:t>interpreted and be administered to be in compliance therewith. Any payments described in the Plan that are due within the “short-term deferral period” as defined in Sections 409A and 457A of the Code shall not be treated as deferred compensation unless applicable law requires otherwise. Notwithstanding anything to the contrary in the Plan, to the extent required in order to avoid accelerated taxation and/or tax penalties under Section 409A of the Code,</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amounts that would otherwise be payable and benefits that would otherwise be provided pursuant to the Plan during the six (6) month period immediately following the Participant’s termination of employment shall instead be paid on the first business day after the date that is six (6) months following the Participant’s separation from service (or upon the Participant’s death, if earlier). In addition, for purposes of the Plan, each amount to be paid or benefit to</w:t>
      </w:r>
    </w:p>
    <w:p>
      <w:pPr>
        <w:spacing w:after="0" w:line="2" w:lineRule="exact"/>
        <w:rPr>
          <w:sz w:val="20"/>
          <w:szCs w:val="20"/>
          <w:color w:val="auto"/>
        </w:rPr>
      </w:pPr>
    </w:p>
    <w:p>
      <w:pPr>
        <w:ind w:right="720"/>
        <w:spacing w:after="0" w:line="226" w:lineRule="auto"/>
        <w:rPr>
          <w:sz w:val="20"/>
          <w:szCs w:val="20"/>
          <w:color w:val="auto"/>
        </w:rPr>
      </w:pPr>
      <w:r>
        <w:rPr>
          <w:rFonts w:ascii="Arial" w:cs="Arial" w:eastAsia="Arial" w:hAnsi="Arial"/>
          <w:sz w:val="18"/>
          <w:szCs w:val="18"/>
          <w:color w:val="auto"/>
        </w:rPr>
        <w:t>be provided to the Participant pursuant to the Plan, which constitute deferred compensation subject to Section 409A of 457A of the Code, shall be construed as a separate identified payment for purposes of Section 409A or 457A of the Code, as applicable.</w:t>
      </w:r>
    </w:p>
    <w:p>
      <w:pPr>
        <w:spacing w:after="0" w:line="15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Payment of Taxes</w:t>
      </w:r>
      <w:r>
        <w:rPr>
          <w:rFonts w:ascii="Arial" w:cs="Arial" w:eastAsia="Arial" w:hAnsi="Arial"/>
          <w:sz w:val="16"/>
          <w:szCs w:val="16"/>
          <w:color w:val="auto"/>
        </w:rPr>
        <w:t>. Each Participant shall, no later than the date as of which the value of an Award first becomes includible in the</w:t>
      </w:r>
    </w:p>
    <w:p>
      <w:pPr>
        <w:ind w:right="180"/>
        <w:spacing w:after="0" w:line="234" w:lineRule="auto"/>
        <w:rPr>
          <w:sz w:val="20"/>
          <w:szCs w:val="20"/>
          <w:color w:val="auto"/>
        </w:rPr>
      </w:pPr>
      <w:r>
        <w:rPr>
          <w:rFonts w:ascii="Arial" w:cs="Arial" w:eastAsia="Arial" w:hAnsi="Arial"/>
          <w:sz w:val="16"/>
          <w:szCs w:val="16"/>
          <w:color w:val="auto"/>
        </w:rPr>
        <w:t>gross income of the Participant for federal income tax purposes, pay to the Company, or make arrangements satisfactory to the Committee regarding payment of, any federal, state, or local taxes of any kind required by law to be withheld with respect to the Award. The obligations of the Company under the Plan shall be conditional on the making of such payments or arrangements, and the Company shall, to the extent permitted by law, have the right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deduct any such taxes from any payment of any kind otherwise due to the Participant.</w:t>
      </w:r>
    </w:p>
    <w:p>
      <w:pPr>
        <w:spacing w:after="0" w:line="169" w:lineRule="exact"/>
        <w:rPr>
          <w:sz w:val="20"/>
          <w:szCs w:val="20"/>
          <w:color w:val="auto"/>
        </w:rPr>
      </w:pPr>
    </w:p>
    <w:p>
      <w:pPr>
        <w:ind w:right="100" w:firstLine="1296"/>
        <w:spacing w:after="0" w:line="235"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the and construed in accordance with the laws of the State of Delaware, without giving effect to principles of conflicts of law of such state.</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SECTION 11</w:t>
      </w:r>
    </w:p>
    <w:p>
      <w:pPr>
        <w:spacing w:after="0" w:line="144" w:lineRule="exact"/>
        <w:rPr>
          <w:sz w:val="20"/>
          <w:szCs w:val="20"/>
          <w:color w:val="auto"/>
        </w:rPr>
      </w:pPr>
    </w:p>
    <w:p>
      <w:pPr>
        <w:ind w:left="4420"/>
        <w:spacing w:after="0"/>
        <w:rPr>
          <w:sz w:val="20"/>
          <w:szCs w:val="20"/>
          <w:color w:val="auto"/>
        </w:rPr>
      </w:pPr>
      <w:r>
        <w:rPr>
          <w:rFonts w:ascii="Arial" w:cs="Arial" w:eastAsia="Arial" w:hAnsi="Arial"/>
          <w:sz w:val="18"/>
          <w:szCs w:val="18"/>
          <w:b w:val="1"/>
          <w:bCs w:val="1"/>
          <w:u w:val="single" w:color="auto"/>
          <w:color w:val="auto"/>
        </w:rPr>
        <w:t>EFFECTIVE DATE OF PLAN</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Plan was adopted by the board of directors of FTAI on May 11, 2015, and became effective without further action as of the later of</w:t>
      </w:r>
    </w:p>
    <w:p>
      <w:pPr>
        <w:spacing w:after="0" w:line="8" w:lineRule="exact"/>
        <w:rPr>
          <w:sz w:val="20"/>
          <w:szCs w:val="20"/>
          <w:color w:val="auto"/>
        </w:rPr>
      </w:pPr>
    </w:p>
    <w:p>
      <w:pPr>
        <w:ind w:right="40" w:firstLine="8"/>
        <w:spacing w:after="0" w:line="228" w:lineRule="auto"/>
        <w:tabs>
          <w:tab w:leader="none" w:pos="24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effectiveness of FTAI’s registration statement on Form S-1 filed with the U.S. Securities and Exchange Commission on May 14, 2015, as amended, and (b) the shares of common stock of FTAI being listed or approved for listing upon notice of issuance on the New York Stock Exchange (the date of such effectiveness, the “</w:t>
      </w:r>
      <w:r>
        <w:rPr>
          <w:rFonts w:ascii="Arial" w:cs="Arial" w:eastAsia="Arial" w:hAnsi="Arial"/>
          <w:sz w:val="17"/>
          <w:szCs w:val="17"/>
          <w:u w:val="single" w:color="auto"/>
          <w:color w:val="auto"/>
        </w:rPr>
        <w:t>Effective Date</w:t>
      </w:r>
      <w:r>
        <w:rPr>
          <w:rFonts w:ascii="Arial" w:cs="Arial" w:eastAsia="Arial" w:hAnsi="Arial"/>
          <w:sz w:val="17"/>
          <w:szCs w:val="17"/>
          <w:color w:val="auto"/>
        </w:rPr>
        <w:t>”). The Plan was adopted and assumed by the Company and renamed as the “FTAI Aviation Ltd. Nonqualified Stock Option and Incentive Award Plan” on November 10, 2022 in connection with the merger discussed in the Company’s proxy statement/prospectus filed with the U.S. Securities and Exchange Commission on October 11, 2022, and amended on February 23, 2023.</w:t>
      </w:r>
    </w:p>
    <w:p>
      <w:pPr>
        <w:spacing w:after="0" w:line="15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SECTION 12</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8"/>
          <w:szCs w:val="18"/>
          <w:b w:val="1"/>
          <w:bCs w:val="1"/>
          <w:u w:val="single" w:color="auto"/>
          <w:color w:val="auto"/>
        </w:rPr>
        <w:t>TERM OF PLAN</w:t>
      </w:r>
    </w:p>
    <w:p>
      <w:pPr>
        <w:spacing w:after="0" w:line="189" w:lineRule="exact"/>
        <w:rPr>
          <w:sz w:val="20"/>
          <w:szCs w:val="20"/>
          <w:color w:val="auto"/>
        </w:rPr>
      </w:pPr>
    </w:p>
    <w:p>
      <w:pPr>
        <w:ind w:right="320" w:firstLine="1296"/>
        <w:spacing w:after="0" w:line="246" w:lineRule="auto"/>
        <w:rPr>
          <w:sz w:val="20"/>
          <w:szCs w:val="20"/>
          <w:color w:val="auto"/>
        </w:rPr>
      </w:pPr>
      <w:r>
        <w:rPr>
          <w:rFonts w:ascii="Arial" w:cs="Arial" w:eastAsia="Arial" w:hAnsi="Arial"/>
          <w:sz w:val="18"/>
          <w:szCs w:val="18"/>
          <w:color w:val="auto"/>
        </w:rPr>
        <w:t>No Award shall be granted pursuant to the Plan on or after the tenth anniversary of the Effective Date, but Awards theretofore granted may extend beyond that date.</w:t>
      </w:r>
    </w:p>
    <w:p>
      <w:pPr>
        <w:sectPr>
          <w:pgSz w:w="11900" w:h="16838" w:orient="portrait"/>
          <w:cols w:equalWidth="0" w:num="1">
            <w:col w:w="11240"/>
          </w:cols>
          <w:pgMar w:left="320" w:top="140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SECOND AMENDED &amp; RESTATED CREDIT AGREEMENT</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AMENDMENT NO. 1, dated as of November 22, 2022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SECOND AMENDED &amp; RESTATED CREDIT AGREEMENT, dated as of September 20, 2022 (as amended, restated, amended and restated, supplemented or otherwise modified from time to time prior to the date hereof,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and, as amended by this Amendment,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 by and among FORTRESS TRANSPORTATION AND INFRASTRUCTURE INVESTORS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the issuing banks from time to time party thereto and JPMorgan Chase Bank, N.A., as administrative agent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32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WHEREAS, pursuant to Section 2.11 of the Existing Credit Agreement, the Borrower desires to obtain a Commitment Increase in an aggregate principal amount of $75,000,000 (the “</w:t>
      </w:r>
      <w:r>
        <w:rPr>
          <w:rFonts w:ascii="Arial" w:cs="Arial" w:eastAsia="Arial" w:hAnsi="Arial"/>
          <w:sz w:val="16"/>
          <w:szCs w:val="16"/>
          <w:u w:val="single" w:color="auto"/>
          <w:color w:val="auto"/>
        </w:rPr>
        <w:t>Incremental Commitment</w:t>
      </w:r>
      <w:r>
        <w:rPr>
          <w:rFonts w:ascii="Arial" w:cs="Arial" w:eastAsia="Arial" w:hAnsi="Arial"/>
          <w:sz w:val="16"/>
          <w:szCs w:val="16"/>
          <w:color w:val="auto"/>
        </w:rPr>
        <w:t>”, and any Loans made thereunder, the “</w:t>
      </w:r>
      <w:r>
        <w:rPr>
          <w:rFonts w:ascii="Arial" w:cs="Arial" w:eastAsia="Arial" w:hAnsi="Arial"/>
          <w:sz w:val="16"/>
          <w:szCs w:val="16"/>
          <w:u w:val="single" w:color="auto"/>
          <w:color w:val="auto"/>
        </w:rPr>
        <w:t>Incremental Loans</w:t>
      </w:r>
      <w:r>
        <w:rPr>
          <w:rFonts w:ascii="Arial" w:cs="Arial" w:eastAsia="Arial" w:hAnsi="Arial"/>
          <w:sz w:val="16"/>
          <w:szCs w:val="16"/>
          <w:color w:val="auto"/>
        </w:rPr>
        <w:t>”) in the form of new commitments by the Incremental Lenders (as defined below), which Commitment Increase will be incurred in reliance on Section 2.11 of the Existing</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Credit Agreement, as an increase to, and on identical terms as the Existing Commitments (as defined below), after giving effect to this Amendment;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WHEREAS, each of the institutions listed on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hereto as an Incremental Lender (the “</w:t>
      </w:r>
      <w:r>
        <w:rPr>
          <w:rFonts w:ascii="Arial" w:cs="Arial" w:eastAsia="Arial" w:hAnsi="Arial"/>
          <w:sz w:val="16"/>
          <w:szCs w:val="16"/>
          <w:u w:val="single" w:color="auto"/>
          <w:color w:val="auto"/>
        </w:rPr>
        <w:t>Incremental Lenders</w:t>
      </w:r>
      <w:r>
        <w:rPr>
          <w:rFonts w:ascii="Arial" w:cs="Arial" w:eastAsia="Arial" w:hAnsi="Arial"/>
          <w:sz w:val="16"/>
          <w:szCs w:val="16"/>
          <w:color w:val="auto"/>
        </w:rPr>
        <w:t>”) is willing to</w:t>
      </w:r>
    </w:p>
    <w:p>
      <w:pPr>
        <w:spacing w:after="0" w:line="8" w:lineRule="exact"/>
        <w:rPr>
          <w:sz w:val="20"/>
          <w:szCs w:val="20"/>
          <w:color w:val="auto"/>
        </w:rPr>
      </w:pPr>
    </w:p>
    <w:p>
      <w:pPr>
        <w:ind w:firstLine="8"/>
        <w:spacing w:after="0" w:line="233" w:lineRule="auto"/>
        <w:tabs>
          <w:tab w:leader="none" w:pos="2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the Incremental Commitment to the Borrower on the Amendment No. 1 Effective Date (as defined below) and (b) become an Issuing Bank, in each case, subject to the conditions set forth herein and in the Existing Credit Agreement;</w:t>
      </w:r>
    </w:p>
    <w:p>
      <w:pPr>
        <w:spacing w:after="0" w:line="16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WHEREAS, the Administrative Agent and each Issuing Bank is willing to consent to the Incremental Lenders’ providing the Incremental Commitments and the terms of the other amendments contemplated herein;</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WHEREAS, pursuant to Section 2.11 of the Existing Credit Agreement, the Existing Credit Agreement may be amended in connection with and to facilitate the incurrence of the Incremental Commitment through an Incremental Amendment executed by the Borrower, the Administrative Agent and the Incremental Lenders;</w:t>
      </w:r>
    </w:p>
    <w:p>
      <w:pPr>
        <w:spacing w:after="0" w:line="1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NOW THEREFORE, in consideration of the mutual agreements herein contained and other good and valuable consideration, the sufficiency and receipt of which are hereby acknowledged, the parties hereto agree as follows:</w:t>
      </w:r>
    </w:p>
    <w:p>
      <w:pPr>
        <w:spacing w:after="0" w:line="26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 xml:space="preserve">Defined Terms. </w:t>
      </w:r>
      <w:r>
        <w:rPr>
          <w:rFonts w:ascii="Arial" w:cs="Arial" w:eastAsia="Arial" w:hAnsi="Arial"/>
          <w:sz w:val="16"/>
          <w:szCs w:val="16"/>
          <w:color w:val="auto"/>
        </w:rPr>
        <w:t>Capitalized terms used and not defined herein shall have the meanings assigned to such terms in the Existing</w:t>
      </w:r>
    </w:p>
    <w:p>
      <w:pPr>
        <w:jc w:val="both"/>
        <w:spacing w:after="0" w:line="226" w:lineRule="auto"/>
        <w:rPr>
          <w:sz w:val="20"/>
          <w:szCs w:val="20"/>
          <w:color w:val="auto"/>
        </w:rPr>
      </w:pPr>
      <w:r>
        <w:rPr>
          <w:rFonts w:ascii="Arial" w:cs="Arial" w:eastAsia="Arial" w:hAnsi="Arial"/>
          <w:sz w:val="18"/>
          <w:szCs w:val="18"/>
          <w:color w:val="auto"/>
        </w:rPr>
        <w:t xml:space="preserve">Credit Agreement. The rules of interpretation set forth in Section 1.2 of the Existing Credit Agreement are hereby incorporated by reference herein,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6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Incremental Commitments; Amendments to the Existing Credit Agreement</w:t>
      </w:r>
      <w:r>
        <w:rPr>
          <w:rFonts w:ascii="Arial" w:cs="Arial" w:eastAsia="Arial" w:hAnsi="Arial"/>
          <w:sz w:val="16"/>
          <w:szCs w:val="16"/>
          <w:color w:val="auto"/>
        </w:rPr>
        <w:t>.</w:t>
      </w:r>
    </w:p>
    <w:p>
      <w:pPr>
        <w:spacing w:after="0" w:line="198" w:lineRule="exact"/>
        <w:rPr>
          <w:sz w:val="20"/>
          <w:szCs w:val="20"/>
          <w:color w:val="auto"/>
        </w:rPr>
      </w:pPr>
    </w:p>
    <w:p>
      <w:pPr>
        <w:ind w:left="1940" w:hanging="636"/>
        <w:spacing w:after="0"/>
        <w:tabs>
          <w:tab w:leader="none" w:pos="194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Incremental Commitments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2600" w:hanging="648"/>
        <w:spacing w:after="0"/>
        <w:tabs>
          <w:tab w:leader="none" w:pos="2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As of the Amendment No. 1 Effective Date:</w:t>
      </w:r>
    </w:p>
    <w:p>
      <w:pPr>
        <w:spacing w:after="0" w:line="184" w:lineRule="exact"/>
        <w:rPr>
          <w:rFonts w:ascii="Arial" w:cs="Arial" w:eastAsia="Arial" w:hAnsi="Arial"/>
          <w:sz w:val="18"/>
          <w:szCs w:val="18"/>
          <w:color w:val="auto"/>
        </w:rPr>
      </w:pPr>
    </w:p>
    <w:p>
      <w:pPr>
        <w:jc w:val="both"/>
        <w:ind w:left="1960" w:firstLine="640"/>
        <w:spacing w:after="0" w:line="245" w:lineRule="auto"/>
        <w:tabs>
          <w:tab w:leader="none" w:pos="3249" w:val="left"/>
        </w:tabs>
        <w:numPr>
          <w:ilvl w:val="2"/>
          <w:numId w:val="69"/>
        </w:numPr>
        <w:rPr>
          <w:rFonts w:ascii="Arial" w:cs="Arial" w:eastAsia="Arial" w:hAnsi="Arial"/>
          <w:sz w:val="17"/>
          <w:szCs w:val="17"/>
          <w:color w:val="auto"/>
        </w:rPr>
      </w:pPr>
      <w:r>
        <w:rPr>
          <w:rFonts w:ascii="Arial" w:cs="Arial" w:eastAsia="Arial" w:hAnsi="Arial"/>
          <w:sz w:val="17"/>
          <w:szCs w:val="17"/>
          <w:color w:val="auto"/>
        </w:rPr>
        <w:t xml:space="preserve">each Lender shall hold commitments in respect of the Revolving Loan Facility as set forth on </w:t>
      </w:r>
      <w:r>
        <w:rPr>
          <w:rFonts w:ascii="Arial" w:cs="Arial" w:eastAsia="Arial" w:hAnsi="Arial"/>
          <w:sz w:val="17"/>
          <w:szCs w:val="17"/>
          <w:u w:val="single" w:color="auto"/>
          <w:color w:val="auto"/>
        </w:rPr>
        <w:t>Part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hereto and each Issuing Bank’s LC Commitment shall be as set forth on </w:t>
      </w:r>
      <w:r>
        <w:rPr>
          <w:rFonts w:ascii="Arial" w:cs="Arial" w:eastAsia="Arial" w:hAnsi="Arial"/>
          <w:sz w:val="17"/>
          <w:szCs w:val="17"/>
          <w:u w:val="single" w:color="auto"/>
          <w:color w:val="auto"/>
        </w:rPr>
        <w:t>Part C</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hereto, in each case, on the terms and subject to the conditions set forth below and in the Amended Credit Agreement;</w:t>
      </w:r>
    </w:p>
    <w:p>
      <w:pPr>
        <w:spacing w:after="0" w:line="157" w:lineRule="exact"/>
        <w:rPr>
          <w:rFonts w:ascii="Arial" w:cs="Arial" w:eastAsia="Arial" w:hAnsi="Arial"/>
          <w:sz w:val="17"/>
          <w:szCs w:val="17"/>
          <w:color w:val="auto"/>
        </w:rPr>
      </w:pPr>
    </w:p>
    <w:p>
      <w:pPr>
        <w:jc w:val="both"/>
        <w:ind w:left="1960" w:firstLine="640"/>
        <w:spacing w:after="0" w:line="232" w:lineRule="auto"/>
        <w:tabs>
          <w:tab w:leader="none" w:pos="3253" w:val="left"/>
        </w:tabs>
        <w:numPr>
          <w:ilvl w:val="2"/>
          <w:numId w:val="69"/>
        </w:numPr>
        <w:rPr>
          <w:rFonts w:ascii="Arial" w:cs="Arial" w:eastAsia="Arial" w:hAnsi="Arial"/>
          <w:sz w:val="17"/>
          <w:szCs w:val="17"/>
          <w:color w:val="auto"/>
        </w:rPr>
      </w:pPr>
      <w:r>
        <w:rPr>
          <w:rFonts w:ascii="Arial" w:cs="Arial" w:eastAsia="Arial" w:hAnsi="Arial"/>
          <w:sz w:val="17"/>
          <w:szCs w:val="17"/>
          <w:color w:val="auto"/>
        </w:rPr>
        <w:t>each of the Lenders, immediately prior to giving effect to this Amendment (the “</w:t>
      </w:r>
      <w:r>
        <w:rPr>
          <w:rFonts w:ascii="Arial" w:cs="Arial" w:eastAsia="Arial" w:hAnsi="Arial"/>
          <w:sz w:val="17"/>
          <w:szCs w:val="17"/>
          <w:u w:val="single" w:color="auto"/>
          <w:color w:val="auto"/>
        </w:rPr>
        <w:t>Existing Lenders</w:t>
      </w:r>
      <w:r>
        <w:rPr>
          <w:rFonts w:ascii="Arial" w:cs="Arial" w:eastAsia="Arial" w:hAnsi="Arial"/>
          <w:sz w:val="17"/>
          <w:szCs w:val="17"/>
          <w:color w:val="auto"/>
        </w:rPr>
        <w:t>”), shall be deemed to have assigned to each of the Incremental Lenders, and each of the Incremental Lenders shall be deemed to have assumed from each of the Existing Lenders, at the principal amount thereof, such interests in the Loans outstanding on the Amendment No. 1 Effective Date such that, after giving effect to each such deemed assignment and assumption of participations and to the Incremental Lenders becoming Lenders, the percentage of the aggregate</w:t>
      </w:r>
    </w:p>
    <w:p>
      <w:pPr>
        <w:sectPr>
          <w:pgSz w:w="11900" w:h="16838" w:orient="portrait"/>
          <w:cols w:equalWidth="0" w:num="1">
            <w:col w:w="11240"/>
          </w:cols>
          <w:pgMar w:left="320" w:top="115" w:right="339" w:bottom="1440" w:gutter="0" w:footer="0" w:header="0"/>
        </w:sectPr>
      </w:pPr>
    </w:p>
    <w:bookmarkStart w:id="130" w:name="page131"/>
    <w:bookmarkEnd w:id="130"/>
    <w:p>
      <w:pPr>
        <w:ind w:left="840"/>
        <w:spacing w:after="0"/>
        <w:rPr>
          <w:sz w:val="20"/>
          <w:szCs w:val="20"/>
          <w:color w:val="auto"/>
        </w:rPr>
      </w:pPr>
      <w:r>
        <w:rPr>
          <w:rFonts w:ascii="Arial" w:cs="Arial" w:eastAsia="Arial" w:hAnsi="Arial"/>
          <w:sz w:val="18"/>
          <w:szCs w:val="18"/>
          <w:color w:val="auto"/>
        </w:rPr>
        <w:t>outstanding Loans held by each Lender will equal such Lender’s Pro Rata Share of the Commitments;</w:t>
      </w:r>
    </w:p>
    <w:p>
      <w:pPr>
        <w:spacing w:after="0" w:line="185" w:lineRule="exact"/>
        <w:rPr>
          <w:sz w:val="20"/>
          <w:szCs w:val="20"/>
          <w:color w:val="auto"/>
        </w:rPr>
      </w:pPr>
    </w:p>
    <w:p>
      <w:pPr>
        <w:ind w:left="840" w:firstLine="640"/>
        <w:spacing w:after="0" w:line="246" w:lineRule="auto"/>
        <w:tabs>
          <w:tab w:leader="none" w:pos="2133" w:val="left"/>
        </w:tabs>
        <w:numPr>
          <w:ilvl w:val="2"/>
          <w:numId w:val="70"/>
        </w:numPr>
        <w:rPr>
          <w:rFonts w:ascii="Arial" w:cs="Arial" w:eastAsia="Arial" w:hAnsi="Arial"/>
          <w:sz w:val="18"/>
          <w:szCs w:val="18"/>
          <w:color w:val="auto"/>
        </w:rPr>
      </w:pPr>
      <w:r>
        <w:rPr>
          <w:rFonts w:ascii="Arial" w:cs="Arial" w:eastAsia="Arial" w:hAnsi="Arial"/>
          <w:sz w:val="18"/>
          <w:szCs w:val="18"/>
          <w:color w:val="auto"/>
        </w:rPr>
        <w:t>each Incremental Commitment shall be deemed, for all purposes, a “Commitment” under the Amended Credit Agreement and each Incremental Loan shall be deemed, for all purposes, a “Loan”;</w:t>
      </w:r>
    </w:p>
    <w:p>
      <w:pPr>
        <w:spacing w:after="0" w:line="156" w:lineRule="exact"/>
        <w:rPr>
          <w:rFonts w:ascii="Arial" w:cs="Arial" w:eastAsia="Arial" w:hAnsi="Arial"/>
          <w:sz w:val="18"/>
          <w:szCs w:val="18"/>
          <w:color w:val="auto"/>
        </w:rPr>
      </w:pPr>
    </w:p>
    <w:p>
      <w:pPr>
        <w:ind w:left="840" w:firstLine="640"/>
        <w:spacing w:after="0" w:line="289" w:lineRule="auto"/>
        <w:tabs>
          <w:tab w:leader="none" w:pos="2129" w:val="left"/>
        </w:tabs>
        <w:numPr>
          <w:ilvl w:val="2"/>
          <w:numId w:val="70"/>
        </w:numPr>
        <w:rPr>
          <w:rFonts w:ascii="Arial" w:cs="Arial" w:eastAsia="Arial" w:hAnsi="Arial"/>
          <w:sz w:val="16"/>
          <w:szCs w:val="16"/>
          <w:color w:val="auto"/>
        </w:rPr>
      </w:pPr>
      <w:r>
        <w:rPr>
          <w:rFonts w:ascii="Arial" w:cs="Arial" w:eastAsia="Arial" w:hAnsi="Arial"/>
          <w:sz w:val="16"/>
          <w:szCs w:val="16"/>
          <w:color w:val="auto"/>
        </w:rPr>
        <w:t>after giving effect to the Incremental Commitments, the LC Commitments of each Lender shall be reallocated such that the percentage LC Commitments of each Lender will equal such Lender’s Pro Rata Share of the Commitments;</w:t>
      </w:r>
    </w:p>
    <w:p>
      <w:pPr>
        <w:spacing w:after="0" w:line="137" w:lineRule="exact"/>
        <w:rPr>
          <w:rFonts w:ascii="Arial" w:cs="Arial" w:eastAsia="Arial" w:hAnsi="Arial"/>
          <w:sz w:val="16"/>
          <w:szCs w:val="16"/>
          <w:color w:val="auto"/>
        </w:rPr>
      </w:pPr>
    </w:p>
    <w:p>
      <w:pPr>
        <w:jc w:val="both"/>
        <w:ind w:left="840" w:firstLine="640"/>
        <w:spacing w:after="0" w:line="223" w:lineRule="auto"/>
        <w:tabs>
          <w:tab w:leader="none" w:pos="2123" w:val="left"/>
        </w:tabs>
        <w:numPr>
          <w:ilvl w:val="2"/>
          <w:numId w:val="70"/>
        </w:numPr>
        <w:rPr>
          <w:rFonts w:ascii="Arial" w:cs="Arial" w:eastAsia="Arial" w:hAnsi="Arial"/>
          <w:sz w:val="18"/>
          <w:szCs w:val="18"/>
          <w:color w:val="auto"/>
        </w:rPr>
      </w:pPr>
      <w:r>
        <w:rPr>
          <w:rFonts w:ascii="Arial" w:cs="Arial" w:eastAsia="Arial" w:hAnsi="Arial"/>
          <w:sz w:val="18"/>
          <w:szCs w:val="18"/>
          <w:color w:val="auto"/>
        </w:rPr>
        <w:t>each Incremental Lender agrees to make the Incremental Commitments available under and subject to the terms and conditions of the Amended Credit Agreement as an increase to, and on identical terms as the Commitments (as amended hereby) and shall become an “Issuing Bank”, “Secured Party” and a “Lender” under the Amended Credit Agreement with respect to the Incremental Commitments and all matters relating thereto; and</w:t>
      </w:r>
    </w:p>
    <w:p>
      <w:pPr>
        <w:spacing w:after="0" w:line="162" w:lineRule="exact"/>
        <w:rPr>
          <w:rFonts w:ascii="Arial" w:cs="Arial" w:eastAsia="Arial" w:hAnsi="Arial"/>
          <w:sz w:val="18"/>
          <w:szCs w:val="18"/>
          <w:color w:val="auto"/>
        </w:rPr>
      </w:pPr>
    </w:p>
    <w:p>
      <w:pPr>
        <w:jc w:val="both"/>
        <w:ind w:left="840" w:firstLine="640"/>
        <w:spacing w:after="0" w:line="232" w:lineRule="auto"/>
        <w:tabs>
          <w:tab w:leader="none" w:pos="2126" w:val="left"/>
        </w:tabs>
        <w:numPr>
          <w:ilvl w:val="2"/>
          <w:numId w:val="70"/>
        </w:numPr>
        <w:rPr>
          <w:rFonts w:ascii="Arial" w:cs="Arial" w:eastAsia="Arial" w:hAnsi="Arial"/>
          <w:sz w:val="17"/>
          <w:szCs w:val="17"/>
          <w:color w:val="auto"/>
        </w:rPr>
      </w:pPr>
      <w:r>
        <w:rPr>
          <w:rFonts w:ascii="Arial" w:cs="Arial" w:eastAsia="Arial" w:hAnsi="Arial"/>
          <w:sz w:val="17"/>
          <w:szCs w:val="17"/>
          <w:color w:val="auto"/>
        </w:rPr>
        <w:t>in accordance with Section 2.11 of the Amended Credit Agreement, each of the Existing Lenders will automatically and without further act be deemed to have assigned to each Incremental Lender, and each such Incremental Lender will automatically and without further act be deemed to have assumed, a portion of such Existing Lender’s participations in outstanding Letters of Credit, such that, after giving effect to each such deemed assignment and assumption of participations and to the Incremental Lenders becoming Lenders, the percentage of the aggregate outstanding participations in Letters of Credit by each Lender will equal such Lender’s Pro Rata Share of the Commitments.</w:t>
      </w:r>
    </w:p>
    <w:p>
      <w:pPr>
        <w:spacing w:after="0" w:line="162" w:lineRule="exact"/>
        <w:rPr>
          <w:rFonts w:ascii="Arial" w:cs="Arial" w:eastAsia="Arial" w:hAnsi="Arial"/>
          <w:sz w:val="17"/>
          <w:szCs w:val="17"/>
          <w:color w:val="auto"/>
        </w:rPr>
      </w:pPr>
    </w:p>
    <w:p>
      <w:pPr>
        <w:ind w:left="1480" w:hanging="648"/>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Each Incremental Lender:</w:t>
      </w:r>
    </w:p>
    <w:p>
      <w:pPr>
        <w:spacing w:after="0" w:line="184" w:lineRule="exact"/>
        <w:rPr>
          <w:rFonts w:ascii="Arial" w:cs="Arial" w:eastAsia="Arial" w:hAnsi="Arial"/>
          <w:sz w:val="18"/>
          <w:szCs w:val="18"/>
          <w:color w:val="auto"/>
        </w:rPr>
      </w:pPr>
    </w:p>
    <w:p>
      <w:pPr>
        <w:jc w:val="both"/>
        <w:ind w:left="840" w:firstLine="640"/>
        <w:spacing w:after="0" w:line="254" w:lineRule="auto"/>
        <w:tabs>
          <w:tab w:leader="none" w:pos="2129" w:val="left"/>
        </w:tabs>
        <w:numPr>
          <w:ilvl w:val="2"/>
          <w:numId w:val="71"/>
        </w:numPr>
        <w:rPr>
          <w:rFonts w:ascii="Arial" w:cs="Arial" w:eastAsia="Arial" w:hAnsi="Arial"/>
          <w:sz w:val="16"/>
          <w:szCs w:val="16"/>
          <w:color w:val="auto"/>
        </w:rPr>
      </w:pPr>
      <w:r>
        <w:rPr>
          <w:rFonts w:ascii="Arial" w:cs="Arial" w:eastAsia="Arial" w:hAnsi="Arial"/>
          <w:sz w:val="16"/>
          <w:szCs w:val="16"/>
          <w:color w:val="auto"/>
        </w:rPr>
        <w:t>confirms that it received a copy of this Amendment, the Existing Credit Agreement and such other documents and information it has deemed appropriate to make its own credit analysis and decision to enter into this Amendment and to provide its Incremental Commitment hereunder and make the Incremental Loans with respect thereto on the basis of which it has made such analysis and decision independently and without reliance on the Administrative Agent or any Lender;</w:t>
      </w:r>
    </w:p>
    <w:p>
      <w:pPr>
        <w:spacing w:after="0" w:line="166" w:lineRule="exact"/>
        <w:rPr>
          <w:rFonts w:ascii="Arial" w:cs="Arial" w:eastAsia="Arial" w:hAnsi="Arial"/>
          <w:sz w:val="16"/>
          <w:szCs w:val="16"/>
          <w:color w:val="auto"/>
        </w:rPr>
      </w:pPr>
    </w:p>
    <w:p>
      <w:pPr>
        <w:ind w:left="840" w:firstLine="640"/>
        <w:spacing w:after="0" w:line="235" w:lineRule="auto"/>
        <w:tabs>
          <w:tab w:leader="none" w:pos="2133" w:val="left"/>
        </w:tabs>
        <w:numPr>
          <w:ilvl w:val="2"/>
          <w:numId w:val="71"/>
        </w:numPr>
        <w:rPr>
          <w:rFonts w:ascii="Arial" w:cs="Arial" w:eastAsia="Arial" w:hAnsi="Arial"/>
          <w:sz w:val="18"/>
          <w:szCs w:val="18"/>
          <w:color w:val="auto"/>
        </w:rPr>
      </w:pPr>
      <w:r>
        <w:rPr>
          <w:rFonts w:ascii="Arial" w:cs="Arial" w:eastAsia="Arial" w:hAnsi="Arial"/>
          <w:sz w:val="18"/>
          <w:szCs w:val="18"/>
          <w:color w:val="auto"/>
        </w:rPr>
        <w:t>confirms that it is sophisticated with respect to decisions to make loans similar to those contemplated to be made hereunder and that it is experienced in making loans of such type;</w:t>
      </w:r>
    </w:p>
    <w:p>
      <w:pPr>
        <w:spacing w:after="0" w:line="161" w:lineRule="exact"/>
        <w:rPr>
          <w:rFonts w:ascii="Arial" w:cs="Arial" w:eastAsia="Arial" w:hAnsi="Arial"/>
          <w:sz w:val="18"/>
          <w:szCs w:val="18"/>
          <w:color w:val="auto"/>
        </w:rPr>
      </w:pPr>
    </w:p>
    <w:p>
      <w:pPr>
        <w:jc w:val="both"/>
        <w:ind w:left="840" w:firstLine="640"/>
        <w:spacing w:after="0" w:line="223" w:lineRule="auto"/>
        <w:tabs>
          <w:tab w:leader="none" w:pos="2133" w:val="left"/>
        </w:tabs>
        <w:numPr>
          <w:ilvl w:val="2"/>
          <w:numId w:val="71"/>
        </w:numPr>
        <w:rPr>
          <w:rFonts w:ascii="Arial" w:cs="Arial" w:eastAsia="Arial" w:hAnsi="Arial"/>
          <w:sz w:val="18"/>
          <w:szCs w:val="18"/>
          <w:color w:val="auto"/>
        </w:rPr>
      </w:pPr>
      <w:r>
        <w:rPr>
          <w:rFonts w:ascii="Arial" w:cs="Arial" w:eastAsia="Arial" w:hAnsi="Arial"/>
          <w:sz w:val="18"/>
          <w:szCs w:val="18"/>
          <w:color w:val="auto"/>
        </w:rPr>
        <w:t>appoints, authorizes and instructs the Administrative Agent to take such action as agent on its behalf and to exercise such powers under the Amended Credit Agreement and the other Loan Documents or any other instrument or document furnished pursuant hereto or thereto as are delegated to the Administrative Agent, by the terms thereof, together with such powers as are reasonably incidental thereto; and</w:t>
      </w:r>
    </w:p>
    <w:p>
      <w:pPr>
        <w:spacing w:after="0" w:line="175" w:lineRule="exact"/>
        <w:rPr>
          <w:rFonts w:ascii="Arial" w:cs="Arial" w:eastAsia="Arial" w:hAnsi="Arial"/>
          <w:sz w:val="18"/>
          <w:szCs w:val="18"/>
          <w:color w:val="auto"/>
        </w:rPr>
      </w:pPr>
    </w:p>
    <w:p>
      <w:pPr>
        <w:jc w:val="both"/>
        <w:ind w:left="840" w:firstLine="640"/>
        <w:spacing w:after="0" w:line="224" w:lineRule="auto"/>
        <w:tabs>
          <w:tab w:leader="none" w:pos="2129" w:val="left"/>
        </w:tabs>
        <w:numPr>
          <w:ilvl w:val="2"/>
          <w:numId w:val="71"/>
        </w:numPr>
        <w:rPr>
          <w:rFonts w:ascii="Arial" w:cs="Arial" w:eastAsia="Arial" w:hAnsi="Arial"/>
          <w:sz w:val="18"/>
          <w:szCs w:val="18"/>
          <w:color w:val="auto"/>
        </w:rPr>
      </w:pPr>
      <w:r>
        <w:rPr>
          <w:rFonts w:ascii="Arial" w:cs="Arial" w:eastAsia="Arial" w:hAnsi="Arial"/>
          <w:sz w:val="18"/>
          <w:szCs w:val="18"/>
          <w:color w:val="auto"/>
        </w:rPr>
        <w:t>acknowledges and agrees that it shall be an “Issuing Bank”, “Secured Party” and “Lender” under, and for all purposes of, the Amended Credit Agreement and the other Loan Documents, be subject to and bound by the term thereof and perform all the obligations of and shall have all the rights of a Lender.</w:t>
      </w:r>
    </w:p>
    <w:p>
      <w:pPr>
        <w:spacing w:after="0" w:line="176" w:lineRule="exact"/>
        <w:rPr>
          <w:rFonts w:ascii="Arial" w:cs="Arial" w:eastAsia="Arial" w:hAnsi="Arial"/>
          <w:sz w:val="18"/>
          <w:szCs w:val="18"/>
          <w:color w:val="auto"/>
        </w:rPr>
      </w:pPr>
    </w:p>
    <w:p>
      <w:pPr>
        <w:ind w:left="180" w:right="20" w:firstLine="652"/>
        <w:spacing w:after="0" w:line="235" w:lineRule="auto"/>
        <w:tabs>
          <w:tab w:leader="none" w:pos="147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Administrative Agent and each Issuing Bank hereby consents to the Incremental Lenders’ providing the Incremental Commitments.</w:t>
      </w:r>
    </w:p>
    <w:p>
      <w:pPr>
        <w:spacing w:after="0" w:line="161" w:lineRule="exact"/>
        <w:rPr>
          <w:rFonts w:ascii="Arial" w:cs="Arial" w:eastAsia="Arial" w:hAnsi="Arial"/>
          <w:sz w:val="18"/>
          <w:szCs w:val="18"/>
          <w:color w:val="auto"/>
        </w:rPr>
      </w:pPr>
    </w:p>
    <w:p>
      <w:pPr>
        <w:jc w:val="both"/>
        <w:ind w:left="-460" w:firstLine="644"/>
        <w:spacing w:after="0" w:line="229" w:lineRule="auto"/>
        <w:tabs>
          <w:tab w:leader="none" w:pos="83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Amendments to the Existing Credit Agreement</w:t>
      </w:r>
      <w:r>
        <w:rPr>
          <w:rFonts w:ascii="Arial" w:cs="Arial" w:eastAsia="Arial" w:hAnsi="Arial"/>
          <w:sz w:val="18"/>
          <w:szCs w:val="18"/>
          <w:color w:val="auto"/>
        </w:rPr>
        <w:t>. Subject to the terms and conditions of this Amendment,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limitation, conditions to effectiveness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the Administrative Agent, the Lenders and the Borrower hereby agree as follows:</w:t>
      </w:r>
    </w:p>
    <w:p>
      <w:pPr>
        <w:spacing w:after="0" w:line="163" w:lineRule="exact"/>
        <w:rPr>
          <w:rFonts w:ascii="Arial" w:cs="Arial" w:eastAsia="Arial" w:hAnsi="Arial"/>
          <w:sz w:val="18"/>
          <w:szCs w:val="18"/>
          <w:color w:val="auto"/>
        </w:rPr>
      </w:pPr>
    </w:p>
    <w:p>
      <w:pPr>
        <w:ind w:left="180" w:firstLine="652"/>
        <w:spacing w:after="0" w:line="235" w:lineRule="auto"/>
        <w:tabs>
          <w:tab w:leader="none" w:pos="1470" w:val="left"/>
        </w:tabs>
        <w:numPr>
          <w:ilvl w:val="1"/>
          <w:numId w:val="72"/>
        </w:numPr>
        <w:rPr>
          <w:rFonts w:ascii="Arial" w:cs="Arial" w:eastAsia="Arial" w:hAnsi="Arial"/>
          <w:sz w:val="18"/>
          <w:szCs w:val="18"/>
          <w:color w:val="auto"/>
        </w:rPr>
      </w:pPr>
      <w:r>
        <w:rPr>
          <w:rFonts w:ascii="Arial" w:cs="Arial" w:eastAsia="Arial" w:hAnsi="Arial"/>
          <w:sz w:val="18"/>
          <w:szCs w:val="18"/>
          <w:color w:val="auto"/>
        </w:rPr>
        <w:t>Section 1.1 of the Existing Credit Agreement, is hereby amended by adding the following new definitions, each in proper alphabetical order:</w:t>
      </w:r>
    </w:p>
    <w:p>
      <w:pPr>
        <w:sectPr>
          <w:pgSz w:w="11900" w:h="16838" w:orient="portrait"/>
          <w:cols w:equalWidth="0" w:num="1">
            <w:col w:w="10120"/>
          </w:cols>
          <w:pgMar w:left="1440" w:top="1408" w:right="339" w:bottom="1440" w:gutter="0" w:footer="0" w:header="0"/>
        </w:sectPr>
      </w:pPr>
    </w:p>
    <w:bookmarkStart w:id="131" w:name="page132"/>
    <w:bookmarkEnd w:id="131"/>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 No. 1</w:t>
      </w:r>
      <w:r>
        <w:rPr>
          <w:rFonts w:ascii="Arial" w:cs="Arial" w:eastAsia="Arial" w:hAnsi="Arial"/>
          <w:sz w:val="16"/>
          <w:szCs w:val="16"/>
          <w:color w:val="auto"/>
        </w:rPr>
        <w:t>”: the Amendment No. 1 to Second Amended &amp; Restated Credit Agreement, dated as of the Amendment No.</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 Effective Date, by and among the Borrower, the Administrative Agent and the Lenders party thereto.</w:t>
      </w:r>
    </w:p>
    <w:p>
      <w:pPr>
        <w:spacing w:after="0" w:line="182" w:lineRule="exact"/>
        <w:rPr>
          <w:sz w:val="20"/>
          <w:szCs w:val="20"/>
          <w:color w:val="auto"/>
        </w:rPr>
      </w:pPr>
    </w:p>
    <w:p>
      <w:pPr>
        <w:ind w:left="84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Arranger</w:t>
      </w:r>
      <w:r>
        <w:rPr>
          <w:rFonts w:ascii="Arial" w:cs="Arial" w:eastAsia="Arial" w:hAnsi="Arial"/>
          <w:sz w:val="18"/>
          <w:szCs w:val="18"/>
          <w:color w:val="auto"/>
        </w:rPr>
        <w:t>”: Citizens Bank, National Association, in its capacity as lead arranger and bookrunner for Amendment No. 1.</w:t>
      </w:r>
    </w:p>
    <w:p>
      <w:pPr>
        <w:spacing w:after="0" w:line="162" w:lineRule="exact"/>
        <w:rPr>
          <w:sz w:val="20"/>
          <w:szCs w:val="20"/>
          <w:color w:val="auto"/>
        </w:rPr>
      </w:pPr>
    </w:p>
    <w:p>
      <w:pPr>
        <w:ind w:left="840"/>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Syndication Agent</w:t>
      </w:r>
      <w:r>
        <w:rPr>
          <w:rFonts w:ascii="Arial" w:cs="Arial" w:eastAsia="Arial" w:hAnsi="Arial"/>
          <w:sz w:val="18"/>
          <w:szCs w:val="18"/>
          <w:color w:val="auto"/>
        </w:rPr>
        <w:t>”: Citizens Bank, National Association, in its capacity as syndication agent for Amendment No. 1.</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November 22, 2022.</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as defined in Amendment No. 1.</w:t>
      </w:r>
    </w:p>
    <w:p>
      <w:pPr>
        <w:spacing w:after="0" w:line="19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as defined in Amendment No. 1.</w:t>
      </w:r>
    </w:p>
    <w:p>
      <w:pPr>
        <w:spacing w:after="0" w:line="185" w:lineRule="exact"/>
        <w:rPr>
          <w:sz w:val="20"/>
          <w:szCs w:val="20"/>
          <w:color w:val="auto"/>
        </w:rPr>
      </w:pPr>
    </w:p>
    <w:p>
      <w:pPr>
        <w:ind w:left="180" w:right="20" w:firstLine="652"/>
        <w:spacing w:after="0" w:line="235" w:lineRule="auto"/>
        <w:tabs>
          <w:tab w:leader="none" w:pos="1466"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Section 1.1 of the Existing Credit Agreement, is hereby amended by amending and restating each of the following definitions in their entirety as follows:</w:t>
      </w:r>
    </w:p>
    <w:p>
      <w:pPr>
        <w:spacing w:after="0" w:line="175" w:lineRule="exact"/>
        <w:rPr>
          <w:sz w:val="20"/>
          <w:szCs w:val="20"/>
          <w:color w:val="auto"/>
        </w:rPr>
      </w:pPr>
    </w:p>
    <w:p>
      <w:pPr>
        <w:jc w:val="both"/>
        <w:ind w:left="84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JPMorgan Chase Bank, N.A., Barclays Bank PLC and Morgan Stanley Senior Funding, Inc., in their capacities as joint lead arrangers and joint bookrunners under this Agreement. On and after the Amendment No. 1 Effective Date, the term “Arrangers” shall include the Amendment No. 1 Arranger.</w:t>
      </w:r>
    </w:p>
    <w:p>
      <w:pPr>
        <w:spacing w:after="0" w:line="176" w:lineRule="exact"/>
        <w:rPr>
          <w:sz w:val="20"/>
          <w:szCs w:val="20"/>
          <w:color w:val="auto"/>
        </w:rPr>
      </w:pPr>
    </w:p>
    <w:p>
      <w:pPr>
        <w:jc w:val="both"/>
        <w:ind w:left="84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the commitment of a Lender to make Loans and to acquire participations in Letters of Credit hereunder, expressed as an amount representing the maximum possible aggregate amount of such Lender’s Revolving Exposure hereunder, as such commitment may be (a) reduced from time to time pursuant to Section 2.8 and (b) reduced or increased from time to</w:t>
      </w:r>
    </w:p>
    <w:p>
      <w:pPr>
        <w:spacing w:after="0" w:line="2" w:lineRule="exact"/>
        <w:rPr>
          <w:sz w:val="20"/>
          <w:szCs w:val="20"/>
          <w:color w:val="auto"/>
        </w:rPr>
      </w:pPr>
    </w:p>
    <w:p>
      <w:pPr>
        <w:jc w:val="both"/>
        <w:ind w:left="840"/>
        <w:spacing w:after="0" w:line="234" w:lineRule="auto"/>
        <w:rPr>
          <w:sz w:val="20"/>
          <w:szCs w:val="20"/>
          <w:color w:val="auto"/>
        </w:rPr>
      </w:pPr>
      <w:r>
        <w:rPr>
          <w:rFonts w:ascii="Arial" w:cs="Arial" w:eastAsia="Arial" w:hAnsi="Arial"/>
          <w:sz w:val="16"/>
          <w:szCs w:val="16"/>
          <w:color w:val="auto"/>
        </w:rPr>
        <w:t>time pursuant to assignments by or to such Lender pursuant to Section 9.6; and “Commitments” means such commitments of all Lenders in the aggregate. The initial amount of each Lender’s Commitment is set forth on Schedule 1.1A to Amendment No. 1 or in the Assignment and Acceptance pursuant to which such Lender shall have assumed its Commitment, as applicable. The</w:t>
      </w:r>
    </w:p>
    <w:p>
      <w:pPr>
        <w:ind w:left="840"/>
        <w:spacing w:after="0" w:line="231" w:lineRule="auto"/>
        <w:rPr>
          <w:sz w:val="20"/>
          <w:szCs w:val="20"/>
          <w:color w:val="auto"/>
        </w:rPr>
      </w:pPr>
      <w:r>
        <w:rPr>
          <w:rFonts w:ascii="Arial" w:cs="Arial" w:eastAsia="Arial" w:hAnsi="Arial"/>
          <w:sz w:val="16"/>
          <w:szCs w:val="16"/>
          <w:color w:val="auto"/>
        </w:rPr>
        <w:t>aggregate amount of the Commitments as of the Amendment No. 1 Effective Date is $300,000,000. For the avoidance of doubt,</w:t>
      </w:r>
    </w:p>
    <w:p>
      <w:pPr>
        <w:jc w:val="both"/>
        <w:ind w:left="840" w:hanging="8"/>
        <w:spacing w:after="0" w:line="223" w:lineRule="auto"/>
        <w:tabs>
          <w:tab w:leader="none" w:pos="10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from and after the Amendment No. 1 Effective Date, the Incremental Loans shall be part of the same “class” as the Loans and the Incremental Commitments shall be part of the same “class” as the Commitments, it being understood and agreed that on the Amendment No. 1 Effective Date, there is only one “class” of Commitments.</w:t>
      </w:r>
    </w:p>
    <w:p>
      <w:pPr>
        <w:spacing w:after="0" w:line="163" w:lineRule="exact"/>
        <w:rPr>
          <w:sz w:val="20"/>
          <w:szCs w:val="20"/>
          <w:color w:val="auto"/>
        </w:rPr>
      </w:pPr>
    </w:p>
    <w:p>
      <w:pPr>
        <w:jc w:val="both"/>
        <w:ind w:left="840"/>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Bank</w:t>
      </w:r>
      <w:r>
        <w:rPr>
          <w:rFonts w:ascii="Arial" w:cs="Arial" w:eastAsia="Arial" w:hAnsi="Arial"/>
          <w:sz w:val="16"/>
          <w:szCs w:val="16"/>
          <w:color w:val="auto"/>
        </w:rPr>
        <w:t>”: each of (a) JPMorgan Chase Bank, N.A., Barclays Bank PLC, Morgan Stanley Senior Funding, Inc. and Citizens Bank, National Association (it being understood and agreed that such entities can only issue standby Letters of Credit)</w:t>
      </w:r>
    </w:p>
    <w:p>
      <w:pPr>
        <w:jc w:val="both"/>
        <w:ind w:left="840"/>
        <w:spacing w:after="0" w:line="234" w:lineRule="auto"/>
        <w:rPr>
          <w:sz w:val="20"/>
          <w:szCs w:val="20"/>
          <w:color w:val="auto"/>
        </w:rPr>
      </w:pPr>
      <w:r>
        <w:rPr>
          <w:rFonts w:ascii="Arial" w:cs="Arial" w:eastAsia="Arial" w:hAnsi="Arial"/>
          <w:sz w:val="16"/>
          <w:szCs w:val="16"/>
          <w:color w:val="auto"/>
        </w:rPr>
        <w:t>and (b) each Lender that shall have become an Issuing Bank hereunder as provided in Section 2.3(j) (other than any Person that shall have ceased to be an Issuing Bank as provided in Section 2.3(k) or Section 2.3(l), in each case except as otherwise provided in such Section), and each Lender that shall have become an Issuing Bank hereunder as provided in Section 2.11, each</w:t>
      </w:r>
    </w:p>
    <w:p>
      <w:pPr>
        <w:spacing w:after="0" w:line="2" w:lineRule="exact"/>
        <w:rPr>
          <w:sz w:val="20"/>
          <w:szCs w:val="20"/>
          <w:color w:val="auto"/>
        </w:rPr>
      </w:pPr>
    </w:p>
    <w:p>
      <w:pPr>
        <w:jc w:val="both"/>
        <w:ind w:left="840"/>
        <w:spacing w:after="0" w:line="234" w:lineRule="auto"/>
        <w:rPr>
          <w:sz w:val="20"/>
          <w:szCs w:val="20"/>
          <w:color w:val="auto"/>
        </w:rPr>
      </w:pPr>
      <w:r>
        <w:rPr>
          <w:rFonts w:ascii="Arial" w:cs="Arial" w:eastAsia="Arial" w:hAnsi="Arial"/>
          <w:sz w:val="16"/>
          <w:szCs w:val="16"/>
          <w:color w:val="auto"/>
        </w:rPr>
        <w:t>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Bank shall, or shall cause</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such Affiliate to, comply with the requirements of Section 2.3 with respect to such Letters of Credit).</w:t>
      </w:r>
    </w:p>
    <w:p>
      <w:pPr>
        <w:spacing w:after="0" w:line="169" w:lineRule="exact"/>
        <w:rPr>
          <w:sz w:val="20"/>
          <w:szCs w:val="20"/>
          <w:color w:val="auto"/>
        </w:rPr>
      </w:pPr>
    </w:p>
    <w:p>
      <w:pPr>
        <w:jc w:val="both"/>
        <w:ind w:left="84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Commitment</w:t>
      </w:r>
      <w:r>
        <w:rPr>
          <w:rFonts w:ascii="Arial" w:cs="Arial" w:eastAsia="Arial" w:hAnsi="Arial"/>
          <w:sz w:val="16"/>
          <w:szCs w:val="16"/>
          <w:color w:val="auto"/>
        </w:rPr>
        <w:t>”: with respect to each Issuing Bank, the commitment of such Issuing Bank to issue Letters of Credit hereunder. The initial amount of each Issuing Bank’s LC Commitment is set forth on Schedule 1.1A to Amendment No. 1, or if an Issuing Bank has entered into an Assignment and Acceptance or has been designated in accordance with Section 2.3(j), the</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amount set forth for such Issuing Bank as its LC Commitment in the Register.</w:t>
      </w:r>
    </w:p>
    <w:p>
      <w:pPr>
        <w:sectPr>
          <w:pgSz w:w="11900" w:h="16838" w:orient="portrait"/>
          <w:cols w:equalWidth="0" w:num="1">
            <w:col w:w="10120"/>
          </w:cols>
          <w:pgMar w:left="1440" w:top="1408" w:right="339" w:bottom="1440" w:gutter="0" w:footer="0" w:header="0"/>
        </w:sectPr>
      </w:pPr>
    </w:p>
    <w:bookmarkStart w:id="132" w:name="page133"/>
    <w:bookmarkEnd w:id="132"/>
    <w:p>
      <w:pPr>
        <w:jc w:val="both"/>
        <w:ind w:left="196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the Security Documents, the Guarantee Agreements, the Loan Notes, any Incremental Amendment and Amendment No. 1.</w:t>
      </w:r>
    </w:p>
    <w:p>
      <w:pPr>
        <w:spacing w:after="0" w:line="175" w:lineRule="exact"/>
        <w:rPr>
          <w:sz w:val="20"/>
          <w:szCs w:val="20"/>
          <w:color w:val="auto"/>
        </w:rPr>
      </w:pPr>
    </w:p>
    <w:p>
      <w:pPr>
        <w:jc w:val="both"/>
        <w:ind w:left="196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Agents</w:t>
      </w:r>
      <w:r>
        <w:rPr>
          <w:rFonts w:ascii="Arial" w:cs="Arial" w:eastAsia="Arial" w:hAnsi="Arial"/>
          <w:sz w:val="18"/>
          <w:szCs w:val="18"/>
          <w:color w:val="auto"/>
        </w:rPr>
        <w:t>”: JPMorgan Chase Bank, N.A., Barclays Bank PLC and Morgan Stanley Senior Funding, Inc., in their capacities as syndication agents under this Agreement. On and after the Amendment No. 1 Effective Date, the term “Syndication Agents” shall include the Amendment No. 1 Syndication Agent.</w:t>
      </w:r>
    </w:p>
    <w:p>
      <w:pPr>
        <w:spacing w:after="0" w:line="176" w:lineRule="exact"/>
        <w:rPr>
          <w:sz w:val="20"/>
          <w:szCs w:val="20"/>
          <w:color w:val="auto"/>
        </w:rPr>
      </w:pPr>
    </w:p>
    <w:p>
      <w:pPr>
        <w:ind w:left="2600" w:hanging="648"/>
        <w:spacing w:after="0"/>
        <w:tabs>
          <w:tab w:leader="none" w:pos="2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Section 2.1(a) of the Existing Credit Agreement, is hereby amended by adding following sentence at the end thereof:</w:t>
      </w:r>
    </w:p>
    <w:p>
      <w:pPr>
        <w:spacing w:after="0" w:line="208" w:lineRule="exact"/>
        <w:rPr>
          <w:sz w:val="20"/>
          <w:szCs w:val="20"/>
          <w:color w:val="auto"/>
        </w:rPr>
      </w:pPr>
    </w:p>
    <w:p>
      <w:pPr>
        <w:ind w:left="1960"/>
        <w:spacing w:after="0" w:line="235" w:lineRule="auto"/>
        <w:rPr>
          <w:sz w:val="20"/>
          <w:szCs w:val="20"/>
          <w:color w:val="auto"/>
        </w:rPr>
      </w:pPr>
      <w:r>
        <w:rPr>
          <w:rFonts w:ascii="Arial" w:cs="Arial" w:eastAsia="Arial" w:hAnsi="Arial"/>
          <w:sz w:val="18"/>
          <w:szCs w:val="18"/>
          <w:color w:val="auto"/>
        </w:rPr>
        <w:t>From and after the Amendment No. 1 Effective Date (x) the Incremental Loans shall be deemed to be “Loans” and (y) the Incremental Commitments shall be deemed “Commitments.”</w:t>
      </w:r>
    </w:p>
    <w:p>
      <w:pPr>
        <w:spacing w:after="0" w:line="17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To induce the other parties hereto to enter into this Agreement, the Borrower hereby represents and warrants to the Administrative Agent and each of the other parties hereto that:</w:t>
      </w:r>
    </w:p>
    <w:p>
      <w:pPr>
        <w:spacing w:after="0" w:line="162" w:lineRule="exact"/>
        <w:rPr>
          <w:sz w:val="20"/>
          <w:szCs w:val="20"/>
          <w:color w:val="auto"/>
        </w:rPr>
      </w:pPr>
    </w:p>
    <w:p>
      <w:pPr>
        <w:jc w:val="both"/>
        <w:ind w:left="660" w:firstLine="644"/>
        <w:spacing w:after="0" w:line="232" w:lineRule="auto"/>
        <w:tabs>
          <w:tab w:leader="none" w:pos="1953"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Borrower has the requisite corporate or other organizational power and authority to make, deliver and perform this Amendment. The Borrower has taken all necessary corporate or other organizational action to authorize the execution, delivery and performance of this Amendment. This Amendment has been duly executed and delivered by the Borrower and constitutes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2" w:lineRule="exact"/>
        <w:rPr>
          <w:rFonts w:ascii="Arial" w:cs="Arial" w:eastAsia="Arial" w:hAnsi="Arial"/>
          <w:sz w:val="17"/>
          <w:szCs w:val="17"/>
          <w:color w:val="auto"/>
        </w:rPr>
      </w:pPr>
    </w:p>
    <w:p>
      <w:pPr>
        <w:jc w:val="both"/>
        <w:ind w:left="660" w:firstLine="644"/>
        <w:spacing w:after="0" w:line="252" w:lineRule="auto"/>
        <w:tabs>
          <w:tab w:leader="none" w:pos="195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As of the Amendment No. 1 Effective Date, (i) the representations and warranties set forth in the Amended Credit Agreement and in the other Loan Documents are true and correct in all material respects, except to the extent such representations and warranties specifically relate to an earlier date, in which case such representations and warranties were true and correct in all material respects on and as of such earlier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such materiality qualifier is not applicable to any representations and warranties that already are qualified or modified by materiality in the text thereof and (ii) no Default or Event of Default has occurred and is continuing.</w:t>
      </w:r>
    </w:p>
    <w:p>
      <w:pPr>
        <w:spacing w:after="0" w:line="15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xml:space="preserve"> The effectiveness of this Amendment is subject to the satisfaction or waiver of the following conditions precedent (the date on which all such conditions are satisfied or waived, the “</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w:t>
      </w:r>
    </w:p>
    <w:p>
      <w:pPr>
        <w:spacing w:after="0" w:line="175" w:lineRule="exact"/>
        <w:rPr>
          <w:sz w:val="20"/>
          <w:szCs w:val="20"/>
          <w:color w:val="auto"/>
        </w:rPr>
      </w:pPr>
    </w:p>
    <w:p>
      <w:pPr>
        <w:jc w:val="both"/>
        <w:ind w:left="660" w:firstLine="644"/>
        <w:spacing w:after="0" w:line="223" w:lineRule="auto"/>
        <w:tabs>
          <w:tab w:leader="none" w:pos="19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the Borrower, each Incremental Lender, each Lender and each Issuing Bank either (i) a counterpart of this Amendment signed on behalf of such parties or (ii) written evidence satisfactory to the Administrative Agent (which may include facsimile or other electronic transmission of a signed signature page of this Amendment) that such parties have signed a counterpart of this Amendment.</w:t>
      </w:r>
    </w:p>
    <w:p>
      <w:pPr>
        <w:spacing w:after="0" w:line="162" w:lineRule="exact"/>
        <w:rPr>
          <w:rFonts w:ascii="Arial" w:cs="Arial" w:eastAsia="Arial" w:hAnsi="Arial"/>
          <w:sz w:val="18"/>
          <w:szCs w:val="18"/>
          <w:color w:val="auto"/>
        </w:rPr>
      </w:pPr>
    </w:p>
    <w:p>
      <w:pPr>
        <w:ind w:left="1940" w:hanging="636"/>
        <w:spacing w:after="0"/>
        <w:tabs>
          <w:tab w:leader="none" w:pos="19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Prior to and after giving effect to this Amendment, no Default or Event of Default shall exist.</w:t>
      </w:r>
    </w:p>
    <w:p>
      <w:pPr>
        <w:spacing w:after="0" w:line="184" w:lineRule="exact"/>
        <w:rPr>
          <w:rFonts w:ascii="Arial" w:cs="Arial" w:eastAsia="Arial" w:hAnsi="Arial"/>
          <w:sz w:val="18"/>
          <w:szCs w:val="18"/>
          <w:color w:val="auto"/>
        </w:rPr>
      </w:pPr>
    </w:p>
    <w:p>
      <w:pPr>
        <w:jc w:val="both"/>
        <w:ind w:left="660" w:firstLine="644"/>
        <w:spacing w:after="0" w:line="222" w:lineRule="auto"/>
        <w:tabs>
          <w:tab w:leader="none" w:pos="19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Borrower shall be in compliance with the covenants set forth in Section 6.10 of the Existing Credit Agreement determined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of the last day of the most recently ended Test Period as if the Commitments, after giving effect to the Commitment Increase, had been fully drawn on the last day of the applicable Test Period (assuming for such purpose that such covenants applied as of the end of such Test Period, whether or not such last day of such Test Period is prior to the first date that any such covenant is otherwise tested pursuant to the terms of Section 6.10 of the Existing Credit Agreement).</w:t>
      </w:r>
    </w:p>
    <w:p>
      <w:pPr>
        <w:spacing w:after="0" w:line="163" w:lineRule="exact"/>
        <w:rPr>
          <w:rFonts w:ascii="Arial" w:cs="Arial" w:eastAsia="Arial" w:hAnsi="Arial"/>
          <w:sz w:val="18"/>
          <w:szCs w:val="18"/>
          <w:color w:val="auto"/>
        </w:rPr>
      </w:pPr>
    </w:p>
    <w:p>
      <w:pPr>
        <w:jc w:val="both"/>
        <w:ind w:left="660" w:firstLine="644"/>
        <w:spacing w:after="0" w:line="224" w:lineRule="auto"/>
        <w:tabs>
          <w:tab w:leader="none" w:pos="195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all reasonable and documented out-of-pocket costs and expenses of the Administrative Agent incurred in connection with this Amendment, any other documents prepared in connection herewith and the transactions contemplated hereby.</w:t>
      </w:r>
    </w:p>
    <w:p>
      <w:pPr>
        <w:sectPr>
          <w:pgSz w:w="11900" w:h="16838" w:orient="portrait"/>
          <w:cols w:equalWidth="0" w:num="1">
            <w:col w:w="11240"/>
          </w:cols>
          <w:pgMar w:left="320" w:top="1408" w:right="339" w:bottom="1440" w:gutter="0" w:footer="0" w:header="0"/>
        </w:sectPr>
      </w:pPr>
    </w:p>
    <w:bookmarkStart w:id="133" w:name="page134"/>
    <w:bookmarkEnd w:id="133"/>
    <w:p>
      <w:pPr>
        <w:jc w:val="both"/>
        <w:ind w:left="660" w:firstLine="644"/>
        <w:spacing w:after="0" w:line="229" w:lineRule="auto"/>
        <w:tabs>
          <w:tab w:leader="none" w:pos="19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Borrower shall have paid to Citizens Bank, National Association all fees and expenses owing by the Borrower referred to in the Fee Letter, dated as of November 22, 2022, between the Borrower and Citizens Bank, National Association, entered into in connection herewith.</w:t>
      </w:r>
    </w:p>
    <w:p>
      <w:pPr>
        <w:spacing w:after="0" w:line="164"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The Administrative Agent shall notify the Borrower and the Lenders of the Amendment No. 1 Effective Date, and such notice shall be conclusive and binding.</w:t>
      </w:r>
    </w:p>
    <w:p>
      <w:pPr>
        <w:spacing w:after="0" w:line="17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Consent and Reaffirmation; Liens Unimpaired.</w:t>
      </w:r>
    </w:p>
    <w:p>
      <w:pPr>
        <w:spacing w:after="0" w:line="185" w:lineRule="exact"/>
        <w:rPr>
          <w:sz w:val="20"/>
          <w:szCs w:val="20"/>
          <w:color w:val="auto"/>
        </w:rPr>
      </w:pPr>
    </w:p>
    <w:p>
      <w:pPr>
        <w:jc w:val="both"/>
        <w:ind w:left="660" w:firstLine="644"/>
        <w:spacing w:after="0" w:line="232" w:lineRule="auto"/>
        <w:tabs>
          <w:tab w:leader="none" w:pos="1953"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Borrower hereby (i) consents to this Amendment and the transactions contemplated hereby and (ii) agrees that, notwithstanding the effectiveness of this Amendment, its Obligations under each of the Loan Documents to which it is a party continues to be in full force and effect. The parties hereto expressly acknowledge that it is not their intention that this Amendment or any of the other Loan Documents executed or delivered pursuant hereto constitute a novation of any of the obligations, covenants or agreements contained in the Amended Credit Agreement or any other Loan Document, but a modification thereof pursuant to the terms contained herein.</w:t>
      </w:r>
    </w:p>
    <w:p>
      <w:pPr>
        <w:spacing w:after="0" w:line="175" w:lineRule="exact"/>
        <w:rPr>
          <w:rFonts w:ascii="Arial" w:cs="Arial" w:eastAsia="Arial" w:hAnsi="Arial"/>
          <w:sz w:val="17"/>
          <w:szCs w:val="17"/>
          <w:color w:val="auto"/>
        </w:rPr>
      </w:pPr>
    </w:p>
    <w:p>
      <w:pPr>
        <w:jc w:val="both"/>
        <w:ind w:left="660" w:firstLine="644"/>
        <w:spacing w:after="0" w:line="224" w:lineRule="auto"/>
        <w:tabs>
          <w:tab w:leader="none" w:pos="195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Borrower, on behalf of itself and the other Loan Parties, confirms that, after giving effect to this Amendment, neither the modification of the Existing Credit Agreement effected pursuant to this Amendment nor the execution, delivery, performance or effectiveness of this Amendment:</w:t>
      </w:r>
    </w:p>
    <w:p>
      <w:pPr>
        <w:spacing w:after="0" w:line="176" w:lineRule="exact"/>
        <w:rPr>
          <w:rFonts w:ascii="Arial" w:cs="Arial" w:eastAsia="Arial" w:hAnsi="Arial"/>
          <w:sz w:val="18"/>
          <w:szCs w:val="18"/>
          <w:color w:val="auto"/>
        </w:rPr>
      </w:pPr>
    </w:p>
    <w:p>
      <w:pPr>
        <w:ind w:left="1300" w:right="20" w:firstLine="652"/>
        <w:spacing w:after="0" w:line="258" w:lineRule="auto"/>
        <w:tabs>
          <w:tab w:leader="none" w:pos="2590" w:val="left"/>
        </w:tabs>
        <w:numPr>
          <w:ilvl w:val="1"/>
          <w:numId w:val="79"/>
        </w:numPr>
        <w:rPr>
          <w:rFonts w:ascii="Arial" w:cs="Arial" w:eastAsia="Arial" w:hAnsi="Arial"/>
          <w:sz w:val="17"/>
          <w:szCs w:val="17"/>
          <w:color w:val="auto"/>
        </w:rPr>
      </w:pPr>
      <w:r>
        <w:rPr>
          <w:rFonts w:ascii="Arial" w:cs="Arial" w:eastAsia="Arial" w:hAnsi="Arial"/>
          <w:sz w:val="17"/>
          <w:szCs w:val="17"/>
          <w:color w:val="auto"/>
        </w:rPr>
        <w:t>impairs the validity, effectiveness or priority of the Liens granted pursuant to any Loan Document, and such Liens continue unimpaired with the same priority to secure repayment of all Obligations, whether heretofore or hereafter incurred; or</w:t>
      </w:r>
    </w:p>
    <w:p>
      <w:pPr>
        <w:spacing w:after="0" w:line="146" w:lineRule="exact"/>
        <w:rPr>
          <w:rFonts w:ascii="Arial" w:cs="Arial" w:eastAsia="Arial" w:hAnsi="Arial"/>
          <w:sz w:val="17"/>
          <w:szCs w:val="17"/>
          <w:color w:val="auto"/>
        </w:rPr>
      </w:pPr>
    </w:p>
    <w:p>
      <w:pPr>
        <w:ind w:left="2600" w:hanging="648"/>
        <w:spacing w:after="0"/>
        <w:tabs>
          <w:tab w:leader="none" w:pos="26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requires that any new filings be made or other action taken to perfect or to maintain the perfection of such Liens.</w:t>
      </w:r>
    </w:p>
    <w:p>
      <w:pPr>
        <w:spacing w:after="0" w:line="21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This Amendment shall constitute a “Loan Document” for all purposes of the Credit Agreement and the other Loan Documents.</w:t>
      </w:r>
    </w:p>
    <w:p>
      <w:pPr>
        <w:spacing w:after="0" w:line="16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 xml:space="preserve">Counterparts. </w:t>
      </w:r>
      <w:r>
        <w:rPr>
          <w:rFonts w:ascii="Arial" w:cs="Arial" w:eastAsia="Arial" w:hAnsi="Arial"/>
          <w:sz w:val="16"/>
          <w:szCs w:val="16"/>
          <w:color w:val="auto"/>
        </w:rPr>
        <w:t>This Amendment may be executed in counterparts (and by different parties hereto on different counterparts), each</w:t>
      </w:r>
    </w:p>
    <w:p>
      <w:pPr>
        <w:jc w:val="both"/>
        <w:spacing w:after="0" w:line="234" w:lineRule="auto"/>
        <w:rPr>
          <w:sz w:val="20"/>
          <w:szCs w:val="20"/>
          <w:color w:val="auto"/>
        </w:rPr>
      </w:pPr>
      <w:r>
        <w:rPr>
          <w:rFonts w:ascii="Arial" w:cs="Arial" w:eastAsia="Arial" w:hAnsi="Arial"/>
          <w:sz w:val="16"/>
          <w:szCs w:val="16"/>
          <w:color w:val="auto"/>
        </w:rPr>
        <w:t>of which shall constitute an original, but all of which when taken together shall constitute a single contract. Delivery of an executed counterpart of a signature page of this Amendment by facsimile or other electronic transmission shall be as effective as delivery of an original executed counterpart of this Amendment. The words “execution,” “signed,” “signature,” “delivery,” and words of like import in or relating to any document to be signed in connection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require the Administrative Agent to accept electronic signatures in any form or format without its prior written consent.</w:t>
      </w:r>
    </w:p>
    <w:p>
      <w:pPr>
        <w:spacing w:after="0" w:line="176"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AMENDMENT AND THE RIGHTS AND OBLIGATIONS OF THE PARTIES UNDER THIS AMENDMENT SHALL BE GOVERNED BY, AND CONSTRUED AND INTERPRETED IN ACCORDANCE WITH, THE LAW OF THE STATE OF NEW YORK.</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Section headings used herein are for convenience of reference only, are not part of this Amendment and shall not affect the construction of, or be taken into consideration in interpreting, this Amendment.</w:t>
      </w:r>
    </w:p>
    <w:p>
      <w:pPr>
        <w:sectPr>
          <w:pgSz w:w="11900" w:h="16838" w:orient="portrait"/>
          <w:cols w:equalWidth="0" w:num="1">
            <w:col w:w="11240"/>
          </w:cols>
          <w:pgMar w:left="320" w:top="1408" w:right="339" w:bottom="1440" w:gutter="0" w:footer="0" w:header="0"/>
        </w:sectPr>
      </w:pPr>
    </w:p>
    <w:bookmarkStart w:id="134" w:name="page135"/>
    <w:bookmarkEnd w:id="134"/>
    <w:p>
      <w:pPr>
        <w:ind w:firstLine="1296"/>
        <w:spacing w:after="0" w:line="235"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or representatives as of the day and year first above written.</w:t>
      </w:r>
    </w:p>
    <w:p>
      <w:pPr>
        <w:spacing w:after="0" w:line="214" w:lineRule="exact"/>
        <w:rPr>
          <w:sz w:val="20"/>
          <w:szCs w:val="20"/>
          <w:color w:val="auto"/>
        </w:rPr>
      </w:pPr>
    </w:p>
    <w:p>
      <w:pPr>
        <w:ind w:left="3880"/>
        <w:spacing w:after="0"/>
        <w:tabs>
          <w:tab w:leader="none" w:pos="5040" w:val="left"/>
          <w:tab w:leader="none" w:pos="6900" w:val="left"/>
        </w:tabs>
        <w:rPr>
          <w:sz w:val="20"/>
          <w:szCs w:val="20"/>
          <w:color w:val="auto"/>
        </w:rPr>
      </w:pPr>
      <w:r>
        <w:rPr>
          <w:rFonts w:ascii="Arial" w:cs="Arial" w:eastAsia="Arial" w:hAnsi="Arial"/>
          <w:sz w:val="18"/>
          <w:szCs w:val="18"/>
          <w:color w:val="auto"/>
        </w:rPr>
        <w:t>FORTRESS</w:t>
      </w:r>
      <w:r>
        <w:rPr>
          <w:sz w:val="20"/>
          <w:szCs w:val="20"/>
          <w:color w:val="auto"/>
        </w:rPr>
        <w:tab/>
      </w:r>
      <w:r>
        <w:rPr>
          <w:rFonts w:ascii="Arial" w:cs="Arial" w:eastAsia="Arial" w:hAnsi="Arial"/>
          <w:sz w:val="18"/>
          <w:szCs w:val="18"/>
          <w:color w:val="auto"/>
        </w:rPr>
        <w:t>TRANSPORTATION</w:t>
      </w:r>
      <w:r>
        <w:rPr>
          <w:sz w:val="20"/>
          <w:szCs w:val="20"/>
          <w:color w:val="auto"/>
        </w:rPr>
        <w:tab/>
      </w:r>
      <w:r>
        <w:rPr>
          <w:rFonts w:ascii="Arial" w:cs="Arial" w:eastAsia="Arial" w:hAnsi="Arial"/>
          <w:sz w:val="18"/>
          <w:szCs w:val="18"/>
          <w:color w:val="auto"/>
        </w:rPr>
        <w:t>AND</w:t>
      </w:r>
    </w:p>
    <w:p>
      <w:pPr>
        <w:ind w:left="3880"/>
        <w:spacing w:after="0" w:line="203" w:lineRule="auto"/>
        <w:rPr>
          <w:sz w:val="20"/>
          <w:szCs w:val="20"/>
          <w:color w:val="auto"/>
        </w:rPr>
      </w:pPr>
      <w:r>
        <w:rPr>
          <w:rFonts w:ascii="Arial" w:cs="Arial" w:eastAsia="Arial" w:hAnsi="Arial"/>
          <w:sz w:val="18"/>
          <w:szCs w:val="18"/>
          <w:color w:val="auto"/>
        </w:rPr>
        <w:t>INFRASTRUCTURE INVESTORS LLC,</w:t>
      </w:r>
    </w:p>
    <w:p>
      <w:pPr>
        <w:ind w:left="3880"/>
        <w:spacing w:after="0"/>
        <w:rPr>
          <w:sz w:val="20"/>
          <w:szCs w:val="20"/>
          <w:color w:val="auto"/>
        </w:rPr>
      </w:pPr>
      <w:r>
        <w:rPr>
          <w:rFonts w:ascii="Arial" w:cs="Arial" w:eastAsia="Arial" w:hAnsi="Arial"/>
          <w:sz w:val="18"/>
          <w:szCs w:val="18"/>
          <w:color w:val="auto"/>
        </w:rPr>
        <w:t>as the Borrower</w:t>
      </w:r>
    </w:p>
    <w:p>
      <w:pPr>
        <w:spacing w:after="0" w:line="20"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18"/>
          <w:szCs w:val="18"/>
          <w:color w:val="auto"/>
        </w:rPr>
        <w:t>By:</w:t>
        <w:tab/>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14605</wp:posOffset>
            </wp:positionV>
            <wp:extent cx="19373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Joseph P. Adams, Jr.</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20"/>
          </w:cols>
          <w:pgMar w:left="320" w:top="1408" w:right="359" w:bottom="1440" w:gutter="0" w:footer="0" w:header="0"/>
        </w:sectPr>
      </w:pPr>
    </w:p>
    <w:bookmarkStart w:id="135" w:name="page136"/>
    <w:bookmarkEnd w:id="135"/>
    <w:p>
      <w:pPr>
        <w:spacing w:after="0" w:line="200" w:lineRule="exact"/>
        <w:rPr>
          <w:sz w:val="20"/>
          <w:szCs w:val="20"/>
          <w:color w:val="auto"/>
        </w:rPr>
      </w:pPr>
    </w:p>
    <w:p>
      <w:pPr>
        <w:spacing w:after="0" w:line="29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CITIZENS BANK, NATIONAL</w:t>
      </w:r>
    </w:p>
    <w:p>
      <w:pPr>
        <w:ind w:left="2760"/>
        <w:spacing w:after="0" w:line="219" w:lineRule="auto"/>
        <w:rPr>
          <w:sz w:val="20"/>
          <w:szCs w:val="20"/>
          <w:color w:val="auto"/>
        </w:rPr>
      </w:pPr>
      <w:r>
        <w:rPr>
          <w:rFonts w:ascii="Arial" w:cs="Arial" w:eastAsia="Arial" w:hAnsi="Arial"/>
          <w:sz w:val="18"/>
          <w:szCs w:val="18"/>
          <w:color w:val="auto"/>
        </w:rPr>
        <w:t>ASSOCIATION,</w:t>
      </w:r>
    </w:p>
    <w:p>
      <w:pPr>
        <w:ind w:left="2760"/>
        <w:spacing w:after="0"/>
        <w:rPr>
          <w:sz w:val="20"/>
          <w:szCs w:val="20"/>
          <w:color w:val="auto"/>
        </w:rPr>
      </w:pPr>
      <w:r>
        <w:rPr>
          <w:rFonts w:ascii="Arial" w:cs="Arial" w:eastAsia="Arial" w:hAnsi="Arial"/>
          <w:sz w:val="16"/>
          <w:szCs w:val="16"/>
          <w:color w:val="auto"/>
        </w:rPr>
        <w:t>as an Incremental Lender and Issuing Bank</w:t>
      </w:r>
    </w:p>
    <w:p>
      <w:pPr>
        <w:spacing w:after="0" w:line="30" w:lineRule="exact"/>
        <w:rPr>
          <w:sz w:val="20"/>
          <w:szCs w:val="20"/>
          <w:color w:val="auto"/>
        </w:rPr>
      </w:pPr>
    </w:p>
    <w:p>
      <w:pPr>
        <w:ind w:left="2760"/>
        <w:spacing w:after="0"/>
        <w:tabs>
          <w:tab w:leader="none" w:pos="3220" w:val="left"/>
        </w:tabs>
        <w:rPr>
          <w:sz w:val="20"/>
          <w:szCs w:val="20"/>
          <w:color w:val="auto"/>
        </w:rPr>
      </w:pPr>
      <w:r>
        <w:rPr>
          <w:rFonts w:ascii="Arial" w:cs="Arial" w:eastAsia="Arial" w:hAnsi="Arial"/>
          <w:sz w:val="18"/>
          <w:szCs w:val="18"/>
          <w:color w:val="auto"/>
        </w:rPr>
        <w:t>By:</w:t>
        <w:tab/>
        <w:t>/s/ Darran Wee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14605</wp:posOffset>
            </wp:positionV>
            <wp:extent cx="19030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Name: Darran Wee</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019"/>
          </w:cols>
          <w:pgMar w:left="1440" w:top="1440" w:right="1440" w:bottom="1440" w:gutter="0" w:footer="0" w:header="0"/>
        </w:sectPr>
      </w:pPr>
    </w:p>
    <w:bookmarkStart w:id="136" w:name="page137"/>
    <w:bookmarkEnd w:id="136"/>
    <w:p>
      <w:pPr>
        <w:spacing w:after="0" w:line="250"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JPMORGAN CHASE BANK, N.A.,</w:t>
      </w:r>
    </w:p>
    <w:p>
      <w:pPr>
        <w:ind w:left="2760"/>
        <w:spacing w:after="0"/>
        <w:rPr>
          <w:sz w:val="20"/>
          <w:szCs w:val="20"/>
          <w:color w:val="auto"/>
        </w:rPr>
      </w:pPr>
      <w:r>
        <w:rPr>
          <w:rFonts w:ascii="Arial" w:cs="Arial" w:eastAsia="Arial" w:hAnsi="Arial"/>
          <w:sz w:val="16"/>
          <w:szCs w:val="16"/>
          <w:color w:val="auto"/>
        </w:rPr>
        <w:t>as Administrative Agent, a Lender and an</w:t>
      </w:r>
    </w:p>
    <w:p>
      <w:pPr>
        <w:spacing w:after="0" w:line="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Issuing Bank</w:t>
      </w:r>
    </w:p>
    <w:p>
      <w:pPr>
        <w:spacing w:after="0" w:line="7" w:lineRule="exact"/>
        <w:rPr>
          <w:sz w:val="20"/>
          <w:szCs w:val="20"/>
          <w:color w:val="auto"/>
        </w:rPr>
      </w:pPr>
    </w:p>
    <w:p>
      <w:pPr>
        <w:ind w:left="2760"/>
        <w:spacing w:after="0"/>
        <w:tabs>
          <w:tab w:leader="none" w:pos="3220" w:val="left"/>
        </w:tabs>
        <w:rPr>
          <w:sz w:val="20"/>
          <w:szCs w:val="20"/>
          <w:color w:val="auto"/>
        </w:rPr>
      </w:pPr>
      <w:r>
        <w:rPr>
          <w:rFonts w:ascii="Arial" w:cs="Arial" w:eastAsia="Arial" w:hAnsi="Arial"/>
          <w:sz w:val="18"/>
          <w:szCs w:val="18"/>
          <w:color w:val="auto"/>
        </w:rPr>
        <w:t>By:</w:t>
        <w:tab/>
        <w:t>/s/ Cristina Caviness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14605</wp:posOffset>
            </wp:positionV>
            <wp:extent cx="19030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Name: Cristina Caviness</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9019"/>
          </w:cols>
          <w:pgMar w:left="1440" w:top="1440" w:right="1440" w:bottom="1440" w:gutter="0" w:footer="0" w:header="0"/>
        </w:sectPr>
      </w:pPr>
    </w:p>
    <w:bookmarkStart w:id="137" w:name="page138"/>
    <w:bookmarkEnd w:id="137"/>
    <w:p>
      <w:pPr>
        <w:spacing w:after="0" w:line="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BARCLAYS BANK PLC,</w:t>
      </w:r>
    </w:p>
    <w:p>
      <w:pPr>
        <w:ind w:left="2760"/>
        <w:spacing w:after="0"/>
        <w:rPr>
          <w:sz w:val="20"/>
          <w:szCs w:val="20"/>
          <w:color w:val="auto"/>
        </w:rPr>
      </w:pPr>
      <w:r>
        <w:rPr>
          <w:rFonts w:ascii="Arial" w:cs="Arial" w:eastAsia="Arial" w:hAnsi="Arial"/>
          <w:sz w:val="16"/>
          <w:szCs w:val="16"/>
          <w:color w:val="auto"/>
        </w:rPr>
        <w:t>as a Lender and an Issuing Bank</w:t>
      </w:r>
    </w:p>
    <w:p>
      <w:pPr>
        <w:spacing w:after="0" w:line="43" w:lineRule="exact"/>
        <w:rPr>
          <w:sz w:val="20"/>
          <w:szCs w:val="20"/>
          <w:color w:val="auto"/>
        </w:rPr>
      </w:pPr>
    </w:p>
    <w:p>
      <w:pPr>
        <w:ind w:left="2760"/>
        <w:spacing w:after="0"/>
        <w:tabs>
          <w:tab w:leader="none" w:pos="3220" w:val="left"/>
        </w:tabs>
        <w:rPr>
          <w:sz w:val="20"/>
          <w:szCs w:val="20"/>
          <w:color w:val="auto"/>
        </w:rPr>
      </w:pPr>
      <w:r>
        <w:rPr>
          <w:rFonts w:ascii="Arial" w:cs="Arial" w:eastAsia="Arial" w:hAnsi="Arial"/>
          <w:sz w:val="18"/>
          <w:szCs w:val="18"/>
          <w:color w:val="auto"/>
        </w:rPr>
        <w:t>By:</w:t>
        <w:tab/>
        <w:t>/s/ Craig J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14605</wp:posOffset>
            </wp:positionV>
            <wp:extent cx="19030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Name: Craig J Malloy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1440" w:right="1440" w:bottom="1440" w:gutter="0" w:footer="0" w:header="0"/>
        </w:sectPr>
      </w:pPr>
    </w:p>
    <w:bookmarkStart w:id="138" w:name="page139"/>
    <w:bookmarkEnd w:id="138"/>
    <w:p>
      <w:pPr>
        <w:spacing w:after="0" w:line="18"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MORGAN STANLEY SENIOR FUNDING,</w:t>
      </w:r>
    </w:p>
    <w:p>
      <w:pPr>
        <w:ind w:left="2760"/>
        <w:spacing w:after="0" w:line="219" w:lineRule="auto"/>
        <w:rPr>
          <w:sz w:val="20"/>
          <w:szCs w:val="20"/>
          <w:color w:val="auto"/>
        </w:rPr>
      </w:pPr>
      <w:r>
        <w:rPr>
          <w:rFonts w:ascii="Arial" w:cs="Arial" w:eastAsia="Arial" w:hAnsi="Arial"/>
          <w:sz w:val="18"/>
          <w:szCs w:val="18"/>
          <w:color w:val="auto"/>
        </w:rPr>
        <w:t>INC.,</w:t>
      </w:r>
    </w:p>
    <w:p>
      <w:pPr>
        <w:ind w:left="2760"/>
        <w:spacing w:after="0"/>
        <w:rPr>
          <w:sz w:val="20"/>
          <w:szCs w:val="20"/>
          <w:color w:val="auto"/>
        </w:rPr>
      </w:pPr>
      <w:r>
        <w:rPr>
          <w:rFonts w:ascii="Arial" w:cs="Arial" w:eastAsia="Arial" w:hAnsi="Arial"/>
          <w:sz w:val="18"/>
          <w:szCs w:val="18"/>
          <w:color w:val="auto"/>
        </w:rPr>
        <w:t>as a Lender and an Issuing Bank</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 Jack Kuhns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14605</wp:posOffset>
            </wp:positionV>
            <wp:extent cx="22542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Name: Jack Kuhns</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440" w:right="1440" w:bottom="1440" w:gutter="0" w:footer="0" w:header="0"/>
        </w:sectPr>
      </w:pPr>
    </w:p>
    <w:bookmarkStart w:id="139" w:name="page140"/>
    <w:bookmarkEnd w:id="139"/>
    <w:p>
      <w:pPr>
        <w:jc w:val="center"/>
        <w:ind w:right="20"/>
        <w:spacing w:after="0"/>
        <w:rPr>
          <w:sz w:val="20"/>
          <w:szCs w:val="20"/>
          <w:color w:val="auto"/>
        </w:rPr>
      </w:pPr>
      <w:r>
        <w:rPr>
          <w:rFonts w:ascii="Arial" w:cs="Arial" w:eastAsia="Arial" w:hAnsi="Arial"/>
          <w:sz w:val="18"/>
          <w:szCs w:val="18"/>
          <w:b w:val="1"/>
          <w:bCs w:val="1"/>
          <w:color w:val="auto"/>
        </w:rPr>
        <w:t>Schedule 1.1A</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A: Incremental Commitments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360" w:type="dxa"/>
            <w:vAlign w:val="bottom"/>
            <w:tcBorders>
              <w:top w:val="single" w:sz="8" w:color="auto"/>
              <w:left w:val="single" w:sz="8" w:color="auto"/>
            </w:tcBorders>
            <w:shd w:val="clear" w:color="auto" w:fill="999999"/>
          </w:tcPr>
          <w:p>
            <w:pPr>
              <w:spacing w:after="0"/>
              <w:rPr>
                <w:sz w:val="17"/>
                <w:szCs w:val="17"/>
                <w:color w:val="auto"/>
              </w:rPr>
            </w:pPr>
          </w:p>
        </w:tc>
        <w:tc>
          <w:tcPr>
            <w:tcW w:w="3900" w:type="dxa"/>
            <w:vAlign w:val="bottom"/>
            <w:tcBorders>
              <w:top w:val="single" w:sz="8" w:color="auto"/>
              <w:right w:val="single" w:sz="8" w:color="auto"/>
            </w:tcBorders>
            <w:gridSpan w:val="2"/>
            <w:vMerge w:val="restart"/>
            <w:shd w:val="clear" w:color="auto" w:fill="999999"/>
          </w:tcPr>
          <w:p>
            <w:pPr>
              <w:spacing w:after="0"/>
              <w:rPr>
                <w:sz w:val="20"/>
                <w:szCs w:val="20"/>
                <w:color w:val="auto"/>
              </w:rPr>
            </w:pPr>
            <w:r>
              <w:rPr>
                <w:rFonts w:ascii="Arial" w:cs="Arial" w:eastAsia="Arial" w:hAnsi="Arial"/>
                <w:sz w:val="18"/>
                <w:szCs w:val="18"/>
                <w:b w:val="1"/>
                <w:bCs w:val="1"/>
                <w:color w:val="auto"/>
              </w:rPr>
              <w:t>Incremental Lender</w:t>
            </w:r>
          </w:p>
        </w:tc>
        <w:tc>
          <w:tcPr>
            <w:tcW w:w="5000" w:type="dxa"/>
            <w:vAlign w:val="bottom"/>
            <w:tcBorders>
              <w:top w:val="single" w:sz="8" w:color="auto"/>
              <w:right w:val="single" w:sz="8" w:color="auto"/>
            </w:tcBorders>
            <w:gridSpan w:val="3"/>
            <w:shd w:val="clear" w:color="auto" w:fill="999999"/>
          </w:tcPr>
          <w:p>
            <w:pPr>
              <w:jc w:val="right"/>
              <w:ind w:right="1520"/>
              <w:spacing w:after="0" w:line="202" w:lineRule="exact"/>
              <w:rPr>
                <w:sz w:val="20"/>
                <w:szCs w:val="20"/>
                <w:color w:val="auto"/>
              </w:rPr>
            </w:pPr>
            <w:r>
              <w:rPr>
                <w:rFonts w:ascii="Arial" w:cs="Arial" w:eastAsia="Arial" w:hAnsi="Arial"/>
                <w:sz w:val="18"/>
                <w:szCs w:val="18"/>
                <w:b w:val="1"/>
                <w:bCs w:val="1"/>
                <w:color w:val="auto"/>
              </w:rPr>
              <w:t>Incremental Commitment</w:t>
            </w:r>
          </w:p>
        </w:tc>
        <w:tc>
          <w:tcPr>
            <w:tcW w:w="0" w:type="dxa"/>
            <w:vAlign w:val="bottom"/>
          </w:tcPr>
          <w:p>
            <w:pPr>
              <w:spacing w:after="0"/>
              <w:rPr>
                <w:sz w:val="1"/>
                <w:szCs w:val="1"/>
                <w:color w:val="auto"/>
              </w:rPr>
            </w:pPr>
          </w:p>
        </w:tc>
      </w:tr>
      <w:tr>
        <w:trPr>
          <w:trHeight w:val="142"/>
        </w:trPr>
        <w:tc>
          <w:tcPr>
            <w:tcW w:w="2360" w:type="dxa"/>
            <w:vAlign w:val="bottom"/>
            <w:tcBorders>
              <w:top w:val="single" w:sz="8" w:color="999999"/>
              <w:left w:val="single" w:sz="8" w:color="auto"/>
            </w:tcBorders>
            <w:shd w:val="clear" w:color="auto" w:fill="999999"/>
          </w:tcPr>
          <w:p>
            <w:pPr>
              <w:spacing w:after="0"/>
              <w:rPr>
                <w:sz w:val="12"/>
                <w:szCs w:val="12"/>
                <w:color w:val="auto"/>
              </w:rPr>
            </w:pPr>
          </w:p>
        </w:tc>
        <w:tc>
          <w:tcPr>
            <w:tcW w:w="3900" w:type="dxa"/>
            <w:vAlign w:val="bottom"/>
            <w:tcBorders>
              <w:top w:val="single" w:sz="8" w:color="auto"/>
              <w:right w:val="single" w:sz="8" w:color="auto"/>
            </w:tcBorders>
            <w:gridSpan w:val="2"/>
            <w:vMerge w:val="continue"/>
            <w:shd w:val="clear" w:color="auto" w:fill="999999"/>
          </w:tcPr>
          <w:p>
            <w:pPr>
              <w:spacing w:after="0"/>
              <w:rPr>
                <w:sz w:val="12"/>
                <w:szCs w:val="12"/>
                <w:color w:val="auto"/>
              </w:rPr>
            </w:pPr>
          </w:p>
        </w:tc>
        <w:tc>
          <w:tcPr>
            <w:tcW w:w="1480" w:type="dxa"/>
            <w:vAlign w:val="bottom"/>
            <w:tcBorders>
              <w:top w:val="single" w:sz="8" w:color="999999"/>
            </w:tcBorders>
            <w:shd w:val="clear" w:color="auto" w:fill="999999"/>
          </w:tcPr>
          <w:p>
            <w:pPr>
              <w:spacing w:after="0"/>
              <w:rPr>
                <w:sz w:val="12"/>
                <w:szCs w:val="12"/>
                <w:color w:val="auto"/>
              </w:rPr>
            </w:pPr>
          </w:p>
        </w:tc>
        <w:tc>
          <w:tcPr>
            <w:tcW w:w="2000" w:type="dxa"/>
            <w:vAlign w:val="bottom"/>
            <w:tcBorders>
              <w:top w:val="single" w:sz="8" w:color="auto"/>
            </w:tcBorders>
            <w:shd w:val="clear" w:color="auto" w:fill="999999"/>
          </w:tcPr>
          <w:p>
            <w:pPr>
              <w:spacing w:after="0"/>
              <w:rPr>
                <w:sz w:val="12"/>
                <w:szCs w:val="12"/>
                <w:color w:val="auto"/>
              </w:rPr>
            </w:pPr>
          </w:p>
        </w:tc>
        <w:tc>
          <w:tcPr>
            <w:tcW w:w="1520" w:type="dxa"/>
            <w:vAlign w:val="bottom"/>
            <w:tcBorders>
              <w:top w:val="single" w:sz="8" w:color="999999"/>
              <w:right w:val="single" w:sz="8" w:color="auto"/>
            </w:tcBorders>
            <w:shd w:val="clear" w:color="auto" w:fill="999999"/>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60" w:type="dxa"/>
            <w:vAlign w:val="bottom"/>
            <w:tcBorders>
              <w:top w:val="single" w:sz="8" w:color="999999"/>
              <w:left w:val="single" w:sz="8" w:color="auto"/>
              <w:bottom w:val="single" w:sz="8" w:color="auto"/>
            </w:tcBorders>
            <w:shd w:val="clear" w:color="auto" w:fill="999999"/>
          </w:tcPr>
          <w:p>
            <w:pPr>
              <w:spacing w:after="0"/>
              <w:rPr>
                <w:sz w:val="15"/>
                <w:szCs w:val="15"/>
                <w:color w:val="auto"/>
              </w:rPr>
            </w:pPr>
          </w:p>
        </w:tc>
        <w:tc>
          <w:tcPr>
            <w:tcW w:w="1540" w:type="dxa"/>
            <w:vAlign w:val="bottom"/>
            <w:tcBorders>
              <w:top w:val="single" w:sz="8" w:color="auto"/>
              <w:bottom w:val="single" w:sz="8" w:color="auto"/>
            </w:tcBorders>
            <w:shd w:val="clear" w:color="auto" w:fill="999999"/>
          </w:tcPr>
          <w:p>
            <w:pPr>
              <w:spacing w:after="0"/>
              <w:rPr>
                <w:sz w:val="15"/>
                <w:szCs w:val="15"/>
                <w:color w:val="auto"/>
              </w:rPr>
            </w:pPr>
          </w:p>
        </w:tc>
        <w:tc>
          <w:tcPr>
            <w:tcW w:w="2360" w:type="dxa"/>
            <w:vAlign w:val="bottom"/>
            <w:tcBorders>
              <w:top w:val="single" w:sz="8" w:color="999999"/>
              <w:bottom w:val="single" w:sz="8" w:color="auto"/>
              <w:right w:val="single" w:sz="8" w:color="auto"/>
            </w:tcBorders>
            <w:shd w:val="clear" w:color="auto" w:fill="999999"/>
          </w:tcPr>
          <w:p>
            <w:pPr>
              <w:spacing w:after="0"/>
              <w:rPr>
                <w:sz w:val="15"/>
                <w:szCs w:val="15"/>
                <w:color w:val="auto"/>
              </w:rPr>
            </w:pPr>
          </w:p>
        </w:tc>
        <w:tc>
          <w:tcPr>
            <w:tcW w:w="1480" w:type="dxa"/>
            <w:vAlign w:val="bottom"/>
            <w:tcBorders>
              <w:top w:val="single" w:sz="8" w:color="999999"/>
              <w:bottom w:val="single" w:sz="8" w:color="auto"/>
            </w:tcBorders>
            <w:shd w:val="clear" w:color="auto" w:fill="999999"/>
          </w:tcPr>
          <w:p>
            <w:pPr>
              <w:spacing w:after="0"/>
              <w:rPr>
                <w:sz w:val="15"/>
                <w:szCs w:val="15"/>
                <w:color w:val="auto"/>
              </w:rPr>
            </w:pPr>
          </w:p>
        </w:tc>
        <w:tc>
          <w:tcPr>
            <w:tcW w:w="2000" w:type="dxa"/>
            <w:vAlign w:val="bottom"/>
            <w:tcBorders>
              <w:top w:val="single" w:sz="8" w:color="999999"/>
              <w:bottom w:val="single" w:sz="8" w:color="auto"/>
            </w:tcBorders>
            <w:shd w:val="clear" w:color="auto" w:fill="999999"/>
          </w:tcPr>
          <w:p>
            <w:pPr>
              <w:spacing w:after="0"/>
              <w:rPr>
                <w:sz w:val="15"/>
                <w:szCs w:val="15"/>
                <w:color w:val="auto"/>
              </w:rPr>
            </w:pPr>
          </w:p>
        </w:tc>
        <w:tc>
          <w:tcPr>
            <w:tcW w:w="1520" w:type="dxa"/>
            <w:vAlign w:val="bottom"/>
            <w:tcBorders>
              <w:top w:val="single" w:sz="8" w:color="999999"/>
              <w:bottom w:val="single" w:sz="8" w:color="auto"/>
              <w:right w:val="single" w:sz="8" w:color="auto"/>
            </w:tcBorders>
            <w:shd w:val="clear" w:color="auto" w:fill="999999"/>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Citizens Bank, National Association</w:t>
            </w:r>
          </w:p>
        </w:tc>
        <w:tc>
          <w:tcPr>
            <w:tcW w:w="5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$75,000,000.00</w:t>
            </w:r>
          </w:p>
        </w:tc>
        <w:tc>
          <w:tcPr>
            <w:tcW w:w="0" w:type="dxa"/>
            <w:vAlign w:val="bottom"/>
          </w:tcPr>
          <w:p>
            <w:pPr>
              <w:spacing w:after="0"/>
              <w:rPr>
                <w:sz w:val="1"/>
                <w:szCs w:val="1"/>
                <w:color w:val="auto"/>
              </w:rPr>
            </w:pPr>
          </w:p>
        </w:tc>
      </w:tr>
      <w:tr>
        <w:trPr>
          <w:trHeight w:val="223"/>
        </w:trPr>
        <w:tc>
          <w:tcPr>
            <w:tcW w:w="62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Total Incremental Commitments</w:t>
            </w:r>
          </w:p>
        </w:tc>
        <w:tc>
          <w:tcPr>
            <w:tcW w:w="5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$75,000,000.00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B: Commitments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840" w:type="dxa"/>
            <w:vAlign w:val="bottom"/>
            <w:tcBorders>
              <w:top w:val="single" w:sz="8" w:color="auto"/>
              <w:left w:val="single" w:sz="8" w:color="auto"/>
            </w:tcBorders>
            <w:shd w:val="clear" w:color="auto" w:fill="999999"/>
          </w:tcPr>
          <w:p>
            <w:pPr>
              <w:spacing w:after="0"/>
              <w:rPr>
                <w:sz w:val="17"/>
                <w:szCs w:val="17"/>
                <w:color w:val="auto"/>
              </w:rPr>
            </w:pPr>
          </w:p>
        </w:tc>
        <w:tc>
          <w:tcPr>
            <w:tcW w:w="3420" w:type="dxa"/>
            <w:vAlign w:val="bottom"/>
            <w:tcBorders>
              <w:top w:val="single" w:sz="8" w:color="auto"/>
              <w:right w:val="single" w:sz="8" w:color="auto"/>
            </w:tcBorders>
            <w:gridSpan w:val="2"/>
            <w:vMerge w:val="restart"/>
            <w:shd w:val="clear" w:color="auto" w:fill="999999"/>
          </w:tcPr>
          <w:p>
            <w:pPr>
              <w:spacing w:after="0"/>
              <w:rPr>
                <w:sz w:val="20"/>
                <w:szCs w:val="20"/>
                <w:color w:val="auto"/>
              </w:rPr>
            </w:pPr>
            <w:r>
              <w:rPr>
                <w:rFonts w:ascii="Arial" w:cs="Arial" w:eastAsia="Arial" w:hAnsi="Arial"/>
                <w:sz w:val="18"/>
                <w:szCs w:val="18"/>
                <w:b w:val="1"/>
                <w:bCs w:val="1"/>
                <w:color w:val="auto"/>
              </w:rPr>
              <w:t>Lender</w:t>
            </w:r>
          </w:p>
        </w:tc>
        <w:tc>
          <w:tcPr>
            <w:tcW w:w="5000" w:type="dxa"/>
            <w:vAlign w:val="bottom"/>
            <w:tcBorders>
              <w:top w:val="single" w:sz="8" w:color="auto"/>
              <w:right w:val="single" w:sz="8" w:color="auto"/>
            </w:tcBorders>
            <w:gridSpan w:val="3"/>
            <w:shd w:val="clear" w:color="auto" w:fill="999999"/>
          </w:tcPr>
          <w:p>
            <w:pPr>
              <w:jc w:val="right"/>
              <w:ind w:right="2000"/>
              <w:spacing w:after="0" w:line="202" w:lineRule="exact"/>
              <w:rPr>
                <w:sz w:val="20"/>
                <w:szCs w:val="20"/>
                <w:color w:val="auto"/>
              </w:rPr>
            </w:pPr>
            <w:r>
              <w:rPr>
                <w:rFonts w:ascii="Arial" w:cs="Arial" w:eastAsia="Arial" w:hAnsi="Arial"/>
                <w:sz w:val="18"/>
                <w:szCs w:val="18"/>
                <w:b w:val="1"/>
                <w:bCs w:val="1"/>
                <w:color w:val="auto"/>
              </w:rPr>
              <w:t>Commitment</w:t>
            </w:r>
          </w:p>
        </w:tc>
        <w:tc>
          <w:tcPr>
            <w:tcW w:w="0" w:type="dxa"/>
            <w:vAlign w:val="bottom"/>
          </w:tcPr>
          <w:p>
            <w:pPr>
              <w:spacing w:after="0"/>
              <w:rPr>
                <w:sz w:val="1"/>
                <w:szCs w:val="1"/>
                <w:color w:val="auto"/>
              </w:rPr>
            </w:pPr>
          </w:p>
        </w:tc>
      </w:tr>
      <w:tr>
        <w:trPr>
          <w:trHeight w:val="142"/>
        </w:trPr>
        <w:tc>
          <w:tcPr>
            <w:tcW w:w="2840" w:type="dxa"/>
            <w:vAlign w:val="bottom"/>
            <w:tcBorders>
              <w:top w:val="single" w:sz="8" w:color="999999"/>
              <w:left w:val="single" w:sz="8" w:color="auto"/>
            </w:tcBorders>
            <w:shd w:val="clear" w:color="auto" w:fill="999999"/>
          </w:tcPr>
          <w:p>
            <w:pPr>
              <w:spacing w:after="0"/>
              <w:rPr>
                <w:sz w:val="12"/>
                <w:szCs w:val="12"/>
                <w:color w:val="auto"/>
              </w:rPr>
            </w:pPr>
          </w:p>
        </w:tc>
        <w:tc>
          <w:tcPr>
            <w:tcW w:w="3420" w:type="dxa"/>
            <w:vAlign w:val="bottom"/>
            <w:tcBorders>
              <w:top w:val="single" w:sz="8" w:color="auto"/>
              <w:right w:val="single" w:sz="8" w:color="auto"/>
            </w:tcBorders>
            <w:gridSpan w:val="2"/>
            <w:vMerge w:val="continue"/>
            <w:shd w:val="clear" w:color="auto" w:fill="999999"/>
          </w:tcPr>
          <w:p>
            <w:pPr>
              <w:spacing w:after="0"/>
              <w:rPr>
                <w:sz w:val="12"/>
                <w:szCs w:val="12"/>
                <w:color w:val="auto"/>
              </w:rPr>
            </w:pPr>
          </w:p>
        </w:tc>
        <w:tc>
          <w:tcPr>
            <w:tcW w:w="1980" w:type="dxa"/>
            <w:vAlign w:val="bottom"/>
            <w:tcBorders>
              <w:top w:val="single" w:sz="8" w:color="999999"/>
            </w:tcBorders>
            <w:shd w:val="clear" w:color="auto" w:fill="999999"/>
          </w:tcPr>
          <w:p>
            <w:pPr>
              <w:spacing w:after="0"/>
              <w:rPr>
                <w:sz w:val="12"/>
                <w:szCs w:val="12"/>
                <w:color w:val="auto"/>
              </w:rPr>
            </w:pPr>
          </w:p>
        </w:tc>
        <w:tc>
          <w:tcPr>
            <w:tcW w:w="1020" w:type="dxa"/>
            <w:vAlign w:val="bottom"/>
            <w:tcBorders>
              <w:top w:val="single" w:sz="8" w:color="auto"/>
            </w:tcBorders>
            <w:shd w:val="clear" w:color="auto" w:fill="999999"/>
          </w:tcPr>
          <w:p>
            <w:pPr>
              <w:spacing w:after="0"/>
              <w:rPr>
                <w:sz w:val="12"/>
                <w:szCs w:val="12"/>
                <w:color w:val="auto"/>
              </w:rPr>
            </w:pPr>
          </w:p>
        </w:tc>
        <w:tc>
          <w:tcPr>
            <w:tcW w:w="2000" w:type="dxa"/>
            <w:vAlign w:val="bottom"/>
            <w:tcBorders>
              <w:top w:val="single" w:sz="8" w:color="999999"/>
              <w:right w:val="single" w:sz="8" w:color="auto"/>
            </w:tcBorders>
            <w:shd w:val="clear" w:color="auto" w:fill="999999"/>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40" w:type="dxa"/>
            <w:vAlign w:val="bottom"/>
            <w:tcBorders>
              <w:top w:val="single" w:sz="8" w:color="999999"/>
              <w:left w:val="single" w:sz="8" w:color="auto"/>
              <w:bottom w:val="single" w:sz="8" w:color="auto"/>
            </w:tcBorders>
            <w:shd w:val="clear" w:color="auto" w:fill="999999"/>
          </w:tcPr>
          <w:p>
            <w:pPr>
              <w:spacing w:after="0"/>
              <w:rPr>
                <w:sz w:val="15"/>
                <w:szCs w:val="15"/>
                <w:color w:val="auto"/>
              </w:rPr>
            </w:pPr>
          </w:p>
        </w:tc>
        <w:tc>
          <w:tcPr>
            <w:tcW w:w="560" w:type="dxa"/>
            <w:vAlign w:val="bottom"/>
            <w:tcBorders>
              <w:top w:val="single" w:sz="8" w:color="auto"/>
              <w:bottom w:val="single" w:sz="8" w:color="auto"/>
            </w:tcBorders>
            <w:shd w:val="clear" w:color="auto" w:fill="999999"/>
          </w:tcPr>
          <w:p>
            <w:pPr>
              <w:spacing w:after="0"/>
              <w:rPr>
                <w:sz w:val="15"/>
                <w:szCs w:val="15"/>
                <w:color w:val="auto"/>
              </w:rPr>
            </w:pPr>
          </w:p>
        </w:tc>
        <w:tc>
          <w:tcPr>
            <w:tcW w:w="2860" w:type="dxa"/>
            <w:vAlign w:val="bottom"/>
            <w:tcBorders>
              <w:top w:val="single" w:sz="8" w:color="999999"/>
              <w:bottom w:val="single" w:sz="8" w:color="auto"/>
              <w:right w:val="single" w:sz="8" w:color="auto"/>
            </w:tcBorders>
            <w:shd w:val="clear" w:color="auto" w:fill="999999"/>
          </w:tcPr>
          <w:p>
            <w:pPr>
              <w:spacing w:after="0"/>
              <w:rPr>
                <w:sz w:val="15"/>
                <w:szCs w:val="15"/>
                <w:color w:val="auto"/>
              </w:rPr>
            </w:pPr>
          </w:p>
        </w:tc>
        <w:tc>
          <w:tcPr>
            <w:tcW w:w="1980" w:type="dxa"/>
            <w:vAlign w:val="bottom"/>
            <w:tcBorders>
              <w:top w:val="single" w:sz="8" w:color="999999"/>
              <w:bottom w:val="single" w:sz="8" w:color="auto"/>
            </w:tcBorders>
            <w:shd w:val="clear" w:color="auto" w:fill="999999"/>
          </w:tcPr>
          <w:p>
            <w:pPr>
              <w:spacing w:after="0"/>
              <w:rPr>
                <w:sz w:val="15"/>
                <w:szCs w:val="15"/>
                <w:color w:val="auto"/>
              </w:rPr>
            </w:pPr>
          </w:p>
        </w:tc>
        <w:tc>
          <w:tcPr>
            <w:tcW w:w="1020" w:type="dxa"/>
            <w:vAlign w:val="bottom"/>
            <w:tcBorders>
              <w:top w:val="single" w:sz="8" w:color="999999"/>
              <w:bottom w:val="single" w:sz="8" w:color="auto"/>
            </w:tcBorders>
            <w:shd w:val="clear" w:color="auto" w:fill="999999"/>
          </w:tcPr>
          <w:p>
            <w:pPr>
              <w:spacing w:after="0"/>
              <w:rPr>
                <w:sz w:val="15"/>
                <w:szCs w:val="15"/>
                <w:color w:val="auto"/>
              </w:rPr>
            </w:pPr>
          </w:p>
        </w:tc>
        <w:tc>
          <w:tcPr>
            <w:tcW w:w="2000" w:type="dxa"/>
            <w:vAlign w:val="bottom"/>
            <w:tcBorders>
              <w:top w:val="single" w:sz="8" w:color="999999"/>
              <w:bottom w:val="single" w:sz="8" w:color="auto"/>
              <w:right w:val="single" w:sz="8" w:color="auto"/>
            </w:tcBorders>
            <w:shd w:val="clear" w:color="auto" w:fill="999999"/>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5"/>
              </w:rPr>
              <w:t>Morgan Stanley Senior Funding, Inc.</w:t>
            </w:r>
          </w:p>
        </w:tc>
        <w:tc>
          <w:tcPr>
            <w:tcW w:w="560" w:type="dxa"/>
            <w:vAlign w:val="bottom"/>
            <w:tcBorders>
              <w:bottom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$75,000,000.00</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Barclays Bank PLC</w:t>
            </w:r>
          </w:p>
        </w:tc>
        <w:tc>
          <w:tcPr>
            <w:tcW w:w="560" w:type="dxa"/>
            <w:vAlign w:val="bottom"/>
            <w:tcBorders>
              <w:bottom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$75,000,000.00</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JPMorgan Chase Bank, N.A.</w:t>
            </w:r>
          </w:p>
        </w:tc>
        <w:tc>
          <w:tcPr>
            <w:tcW w:w="560" w:type="dxa"/>
            <w:vAlign w:val="bottom"/>
            <w:tcBorders>
              <w:bottom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$75,000,000.00</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8"/>
              </w:rPr>
              <w:t>Citizens Bank, National Association</w:t>
            </w:r>
          </w:p>
        </w:tc>
        <w:tc>
          <w:tcPr>
            <w:tcW w:w="560" w:type="dxa"/>
            <w:vAlign w:val="bottom"/>
            <w:tcBorders>
              <w:bottom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$75,000,000.00</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 Commitments</w:t>
            </w:r>
          </w:p>
        </w:tc>
        <w:tc>
          <w:tcPr>
            <w:tcW w:w="560" w:type="dxa"/>
            <w:vAlign w:val="bottom"/>
            <w:tcBorders>
              <w:bottom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$300,000,000.00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C: LC Commitments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260" w:type="dxa"/>
            <w:vAlign w:val="bottom"/>
            <w:tcBorders>
              <w:top w:val="single" w:sz="8" w:color="auto"/>
              <w:left w:val="single" w:sz="8" w:color="auto"/>
              <w:right w:val="single" w:sz="8" w:color="auto"/>
            </w:tcBorders>
            <w:gridSpan w:val="3"/>
            <w:vMerge w:val="restart"/>
            <w:shd w:val="clear" w:color="auto" w:fill="999999"/>
          </w:tcPr>
          <w:p>
            <w:pPr>
              <w:ind w:left="2620"/>
              <w:spacing w:after="0"/>
              <w:rPr>
                <w:sz w:val="20"/>
                <w:szCs w:val="20"/>
                <w:color w:val="auto"/>
              </w:rPr>
            </w:pPr>
            <w:r>
              <w:rPr>
                <w:rFonts w:ascii="Arial" w:cs="Arial" w:eastAsia="Arial" w:hAnsi="Arial"/>
                <w:sz w:val="18"/>
                <w:szCs w:val="18"/>
                <w:b w:val="1"/>
                <w:bCs w:val="1"/>
                <w:color w:val="auto"/>
              </w:rPr>
              <w:t>Issuing Bank</w:t>
            </w:r>
          </w:p>
        </w:tc>
        <w:tc>
          <w:tcPr>
            <w:tcW w:w="5000" w:type="dxa"/>
            <w:vAlign w:val="bottom"/>
            <w:tcBorders>
              <w:top w:val="single" w:sz="8" w:color="auto"/>
              <w:right w:val="single" w:sz="8" w:color="auto"/>
            </w:tcBorders>
            <w:gridSpan w:val="3"/>
            <w:shd w:val="clear" w:color="auto" w:fill="999999"/>
          </w:tcPr>
          <w:p>
            <w:pPr>
              <w:jc w:val="right"/>
              <w:ind w:right="1860"/>
              <w:spacing w:after="0" w:line="202" w:lineRule="exact"/>
              <w:rPr>
                <w:sz w:val="20"/>
                <w:szCs w:val="20"/>
                <w:color w:val="auto"/>
              </w:rPr>
            </w:pPr>
            <w:r>
              <w:rPr>
                <w:rFonts w:ascii="Arial" w:cs="Arial" w:eastAsia="Arial" w:hAnsi="Arial"/>
                <w:sz w:val="18"/>
                <w:szCs w:val="18"/>
                <w:b w:val="1"/>
                <w:bCs w:val="1"/>
                <w:color w:val="auto"/>
              </w:rPr>
              <w:t>LC Commitment</w:t>
            </w:r>
          </w:p>
        </w:tc>
        <w:tc>
          <w:tcPr>
            <w:tcW w:w="0" w:type="dxa"/>
            <w:vAlign w:val="bottom"/>
          </w:tcPr>
          <w:p>
            <w:pPr>
              <w:spacing w:after="0"/>
              <w:rPr>
                <w:sz w:val="1"/>
                <w:szCs w:val="1"/>
                <w:color w:val="auto"/>
              </w:rPr>
            </w:pPr>
          </w:p>
        </w:tc>
      </w:tr>
      <w:tr>
        <w:trPr>
          <w:trHeight w:val="142"/>
        </w:trPr>
        <w:tc>
          <w:tcPr>
            <w:tcW w:w="6260" w:type="dxa"/>
            <w:vAlign w:val="bottom"/>
            <w:tcBorders>
              <w:top w:val="single" w:sz="8" w:color="auto"/>
              <w:left w:val="single" w:sz="8" w:color="auto"/>
              <w:right w:val="single" w:sz="8" w:color="auto"/>
            </w:tcBorders>
            <w:gridSpan w:val="3"/>
            <w:vMerge w:val="continue"/>
            <w:shd w:val="clear" w:color="auto" w:fill="999999"/>
          </w:tcPr>
          <w:p>
            <w:pPr>
              <w:spacing w:after="0"/>
              <w:rPr>
                <w:sz w:val="12"/>
                <w:szCs w:val="12"/>
                <w:color w:val="auto"/>
              </w:rPr>
            </w:pPr>
          </w:p>
        </w:tc>
        <w:tc>
          <w:tcPr>
            <w:tcW w:w="1820" w:type="dxa"/>
            <w:vAlign w:val="bottom"/>
            <w:tcBorders>
              <w:top w:val="single" w:sz="8" w:color="999999"/>
            </w:tcBorders>
            <w:shd w:val="clear" w:color="auto" w:fill="999999"/>
          </w:tcPr>
          <w:p>
            <w:pPr>
              <w:spacing w:after="0"/>
              <w:rPr>
                <w:sz w:val="12"/>
                <w:szCs w:val="12"/>
                <w:color w:val="auto"/>
              </w:rPr>
            </w:pPr>
          </w:p>
        </w:tc>
        <w:tc>
          <w:tcPr>
            <w:tcW w:w="1320" w:type="dxa"/>
            <w:vAlign w:val="bottom"/>
            <w:tcBorders>
              <w:top w:val="single" w:sz="8" w:color="auto"/>
            </w:tcBorders>
            <w:shd w:val="clear" w:color="auto" w:fill="999999"/>
          </w:tcPr>
          <w:p>
            <w:pPr>
              <w:spacing w:after="0"/>
              <w:rPr>
                <w:sz w:val="12"/>
                <w:szCs w:val="12"/>
                <w:color w:val="auto"/>
              </w:rPr>
            </w:pPr>
          </w:p>
        </w:tc>
        <w:tc>
          <w:tcPr>
            <w:tcW w:w="1860" w:type="dxa"/>
            <w:vAlign w:val="bottom"/>
            <w:tcBorders>
              <w:top w:val="single" w:sz="8" w:color="999999"/>
              <w:right w:val="single" w:sz="8" w:color="auto"/>
            </w:tcBorders>
            <w:shd w:val="clear" w:color="auto" w:fill="999999"/>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620" w:type="dxa"/>
            <w:vAlign w:val="bottom"/>
            <w:tcBorders>
              <w:top w:val="single" w:sz="8" w:color="999999"/>
              <w:left w:val="single" w:sz="8" w:color="auto"/>
              <w:bottom w:val="single" w:sz="8" w:color="auto"/>
            </w:tcBorders>
            <w:shd w:val="clear" w:color="auto" w:fill="999999"/>
          </w:tcPr>
          <w:p>
            <w:pPr>
              <w:spacing w:after="0"/>
              <w:rPr>
                <w:sz w:val="15"/>
                <w:szCs w:val="15"/>
                <w:color w:val="auto"/>
              </w:rPr>
            </w:pPr>
          </w:p>
        </w:tc>
        <w:tc>
          <w:tcPr>
            <w:tcW w:w="1000" w:type="dxa"/>
            <w:vAlign w:val="bottom"/>
            <w:tcBorders>
              <w:top w:val="single" w:sz="8" w:color="auto"/>
              <w:bottom w:val="single" w:sz="8" w:color="auto"/>
            </w:tcBorders>
            <w:shd w:val="clear" w:color="auto" w:fill="999999"/>
          </w:tcPr>
          <w:p>
            <w:pPr>
              <w:spacing w:after="0"/>
              <w:rPr>
                <w:sz w:val="15"/>
                <w:szCs w:val="15"/>
                <w:color w:val="auto"/>
              </w:rPr>
            </w:pPr>
          </w:p>
        </w:tc>
        <w:tc>
          <w:tcPr>
            <w:tcW w:w="2640" w:type="dxa"/>
            <w:vAlign w:val="bottom"/>
            <w:tcBorders>
              <w:top w:val="single" w:sz="8" w:color="999999"/>
              <w:bottom w:val="single" w:sz="8" w:color="auto"/>
              <w:right w:val="single" w:sz="8" w:color="auto"/>
            </w:tcBorders>
            <w:shd w:val="clear" w:color="auto" w:fill="999999"/>
          </w:tcPr>
          <w:p>
            <w:pPr>
              <w:spacing w:after="0"/>
              <w:rPr>
                <w:sz w:val="15"/>
                <w:szCs w:val="15"/>
                <w:color w:val="auto"/>
              </w:rPr>
            </w:pPr>
          </w:p>
        </w:tc>
        <w:tc>
          <w:tcPr>
            <w:tcW w:w="1820" w:type="dxa"/>
            <w:vAlign w:val="bottom"/>
            <w:tcBorders>
              <w:top w:val="single" w:sz="8" w:color="999999"/>
              <w:bottom w:val="single" w:sz="8" w:color="auto"/>
            </w:tcBorders>
            <w:shd w:val="clear" w:color="auto" w:fill="999999"/>
          </w:tcPr>
          <w:p>
            <w:pPr>
              <w:spacing w:after="0"/>
              <w:rPr>
                <w:sz w:val="15"/>
                <w:szCs w:val="15"/>
                <w:color w:val="auto"/>
              </w:rPr>
            </w:pPr>
          </w:p>
        </w:tc>
        <w:tc>
          <w:tcPr>
            <w:tcW w:w="1320" w:type="dxa"/>
            <w:vAlign w:val="bottom"/>
            <w:tcBorders>
              <w:top w:val="single" w:sz="8" w:color="999999"/>
              <w:bottom w:val="single" w:sz="8" w:color="auto"/>
            </w:tcBorders>
            <w:shd w:val="clear" w:color="auto" w:fill="999999"/>
          </w:tcPr>
          <w:p>
            <w:pPr>
              <w:spacing w:after="0"/>
              <w:rPr>
                <w:sz w:val="15"/>
                <w:szCs w:val="15"/>
                <w:color w:val="auto"/>
              </w:rPr>
            </w:pPr>
          </w:p>
        </w:tc>
        <w:tc>
          <w:tcPr>
            <w:tcW w:w="1860" w:type="dxa"/>
            <w:vAlign w:val="bottom"/>
            <w:tcBorders>
              <w:top w:val="single" w:sz="8" w:color="999999"/>
              <w:bottom w:val="single" w:sz="8" w:color="auto"/>
              <w:right w:val="single" w:sz="8" w:color="auto"/>
            </w:tcBorders>
            <w:shd w:val="clear" w:color="auto" w:fill="999999"/>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Morgan Stanley Senior Funding, Inc.</w:t>
            </w:r>
          </w:p>
        </w:tc>
        <w:tc>
          <w:tcPr>
            <w:tcW w:w="5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$6,250,000.00</w:t>
            </w:r>
          </w:p>
        </w:tc>
        <w:tc>
          <w:tcPr>
            <w:tcW w:w="0" w:type="dxa"/>
            <w:vAlign w:val="bottom"/>
          </w:tcPr>
          <w:p>
            <w:pPr>
              <w:spacing w:after="0"/>
              <w:rPr>
                <w:sz w:val="1"/>
                <w:szCs w:val="1"/>
                <w:color w:val="auto"/>
              </w:rPr>
            </w:pPr>
          </w:p>
        </w:tc>
      </w:tr>
      <w:tr>
        <w:trPr>
          <w:trHeight w:val="223"/>
        </w:trPr>
        <w:tc>
          <w:tcPr>
            <w:tcW w:w="62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Barclays Bank PLC</w:t>
            </w:r>
          </w:p>
        </w:tc>
        <w:tc>
          <w:tcPr>
            <w:tcW w:w="5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$6,250,000.00</w:t>
            </w:r>
          </w:p>
        </w:tc>
        <w:tc>
          <w:tcPr>
            <w:tcW w:w="0" w:type="dxa"/>
            <w:vAlign w:val="bottom"/>
          </w:tcPr>
          <w:p>
            <w:pPr>
              <w:spacing w:after="0"/>
              <w:rPr>
                <w:sz w:val="1"/>
                <w:szCs w:val="1"/>
                <w:color w:val="auto"/>
              </w:rPr>
            </w:pPr>
          </w:p>
        </w:tc>
      </w:tr>
      <w:tr>
        <w:trPr>
          <w:trHeight w:val="223"/>
        </w:trPr>
        <w:tc>
          <w:tcPr>
            <w:tcW w:w="62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JPMorgan Chase Bank, N.A.</w:t>
            </w:r>
          </w:p>
        </w:tc>
        <w:tc>
          <w:tcPr>
            <w:tcW w:w="5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$6,250,000.00</w:t>
            </w:r>
          </w:p>
        </w:tc>
        <w:tc>
          <w:tcPr>
            <w:tcW w:w="0" w:type="dxa"/>
            <w:vAlign w:val="bottom"/>
          </w:tcPr>
          <w:p>
            <w:pPr>
              <w:spacing w:after="0"/>
              <w:rPr>
                <w:sz w:val="1"/>
                <w:szCs w:val="1"/>
                <w:color w:val="auto"/>
              </w:rPr>
            </w:pPr>
          </w:p>
        </w:tc>
      </w:tr>
      <w:tr>
        <w:trPr>
          <w:trHeight w:val="223"/>
        </w:trPr>
        <w:tc>
          <w:tcPr>
            <w:tcW w:w="62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Citizens Bank, National Association</w:t>
            </w:r>
          </w:p>
        </w:tc>
        <w:tc>
          <w:tcPr>
            <w:tcW w:w="5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$6,250,000.00</w:t>
            </w:r>
          </w:p>
        </w:tc>
        <w:tc>
          <w:tcPr>
            <w:tcW w:w="0" w:type="dxa"/>
            <w:vAlign w:val="bottom"/>
          </w:tcPr>
          <w:p>
            <w:pPr>
              <w:spacing w:after="0"/>
              <w:rPr>
                <w:sz w:val="1"/>
                <w:szCs w:val="1"/>
                <w:color w:val="auto"/>
              </w:rPr>
            </w:pPr>
          </w:p>
        </w:tc>
      </w:tr>
      <w:tr>
        <w:trPr>
          <w:trHeight w:val="223"/>
        </w:trPr>
        <w:tc>
          <w:tcPr>
            <w:tcW w:w="62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Total LC Commitments</w:t>
            </w:r>
          </w:p>
        </w:tc>
        <w:tc>
          <w:tcPr>
            <w:tcW w:w="5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$25,000,000.00</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04" w:right="31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ind w:left="5180"/>
              <w:spacing w:after="0"/>
              <w:rPr>
                <w:sz w:val="20"/>
                <w:szCs w:val="20"/>
                <w:color w:val="auto"/>
              </w:rPr>
            </w:pPr>
            <w:r>
              <w:rPr>
                <w:rFonts w:ascii="Arial" w:cs="Arial" w:eastAsia="Arial" w:hAnsi="Arial"/>
                <w:sz w:val="16"/>
                <w:szCs w:val="16"/>
                <w:b w:val="1"/>
                <w:bCs w:val="1"/>
                <w:color w:val="auto"/>
              </w:rPr>
              <w:t>Exhibit 21.1</w:t>
            </w:r>
          </w:p>
        </w:tc>
        <w:tc>
          <w:tcPr>
            <w:tcW w:w="3800" w:type="dxa"/>
            <w:vAlign w:val="bottom"/>
          </w:tcPr>
          <w:p>
            <w:pPr>
              <w:spacing w:after="0"/>
              <w:rPr>
                <w:sz w:val="18"/>
                <w:szCs w:val="18"/>
                <w:color w:val="auto"/>
              </w:rPr>
            </w:pPr>
          </w:p>
        </w:tc>
      </w:tr>
      <w:tr>
        <w:trPr>
          <w:trHeight w:val="216"/>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38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State of Incorporation/Formation</w:t>
            </w:r>
          </w:p>
        </w:tc>
      </w:tr>
      <w:tr>
        <w:trPr>
          <w:trHeight w:val="202"/>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Fortress Transportation and Infrastructure Investors LLC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Delaware</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FTAI Aviation Holdco Ltd.</w:t>
            </w:r>
          </w:p>
        </w:tc>
        <w:tc>
          <w:tcPr>
            <w:tcW w:w="3800" w:type="dxa"/>
            <w:vAlign w:val="bottom"/>
          </w:tcPr>
          <w:p>
            <w:pPr>
              <w:ind w:left="880"/>
              <w:spacing w:after="0"/>
              <w:rPr>
                <w:sz w:val="20"/>
                <w:szCs w:val="20"/>
                <w:color w:val="auto"/>
              </w:rPr>
            </w:pPr>
            <w:r>
              <w:rPr>
                <w:rFonts w:ascii="Arial" w:cs="Arial" w:eastAsia="Arial" w:hAnsi="Arial"/>
                <w:sz w:val="14"/>
                <w:szCs w:val="14"/>
                <w:color w:val="auto"/>
              </w:rPr>
              <w:t>Cayman Islands</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1ASL Bermuda Ltd.</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Bermuda</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AirOpCo 1ET Bermuda Ltd.</w:t>
            </w:r>
          </w:p>
        </w:tc>
        <w:tc>
          <w:tcPr>
            <w:tcW w:w="3800" w:type="dxa"/>
            <w:vAlign w:val="bottom"/>
          </w:tcPr>
          <w:p>
            <w:pPr>
              <w:ind w:left="880"/>
              <w:spacing w:after="0"/>
              <w:rPr>
                <w:sz w:val="20"/>
                <w:szCs w:val="20"/>
                <w:color w:val="auto"/>
              </w:rPr>
            </w:pPr>
            <w:r>
              <w:rPr>
                <w:rFonts w:ascii="Arial" w:cs="Arial" w:eastAsia="Arial" w:hAnsi="Arial"/>
                <w:sz w:val="14"/>
                <w:szCs w:val="14"/>
                <w:color w:val="auto"/>
              </w:rPr>
              <w:t>Bermuda</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1JT Bermuda Ltd.</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Bermuda</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AirOpCo 2 UZ Ireland DAC</w:t>
            </w:r>
          </w:p>
        </w:tc>
        <w:tc>
          <w:tcPr>
            <w:tcW w:w="3800" w:type="dxa"/>
            <w:vAlign w:val="bottom"/>
          </w:tcPr>
          <w:p>
            <w:pPr>
              <w:ind w:left="880"/>
              <w:spacing w:after="0"/>
              <w:rPr>
                <w:sz w:val="20"/>
                <w:szCs w:val="20"/>
                <w:color w:val="auto"/>
              </w:rPr>
            </w:pPr>
            <w:r>
              <w:rPr>
                <w:rFonts w:ascii="Arial" w:cs="Arial" w:eastAsia="Arial" w:hAnsi="Arial"/>
                <w:sz w:val="14"/>
                <w:szCs w:val="14"/>
                <w:color w:val="auto"/>
              </w:rPr>
              <w:t>Ireland</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I SD Ireland DAC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Ireland</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AirOpCo II KO Ireland DAC</w:t>
            </w:r>
          </w:p>
        </w:tc>
        <w:tc>
          <w:tcPr>
            <w:tcW w:w="3800" w:type="dxa"/>
            <w:vAlign w:val="bottom"/>
          </w:tcPr>
          <w:p>
            <w:pPr>
              <w:ind w:left="880"/>
              <w:spacing w:after="0"/>
              <w:rPr>
                <w:sz w:val="20"/>
                <w:szCs w:val="20"/>
                <w:color w:val="auto"/>
              </w:rPr>
            </w:pPr>
            <w:r>
              <w:rPr>
                <w:rFonts w:ascii="Arial" w:cs="Arial" w:eastAsia="Arial" w:hAnsi="Arial"/>
                <w:sz w:val="14"/>
                <w:szCs w:val="14"/>
                <w:color w:val="auto"/>
              </w:rPr>
              <w:t>Ireland</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II ME Ireland DAC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Ireland</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Falcon MSN 177 LLC (50% ownership)</w:t>
            </w:r>
          </w:p>
        </w:tc>
        <w:tc>
          <w:tcPr>
            <w:tcW w:w="3800" w:type="dxa"/>
            <w:vAlign w:val="bottom"/>
          </w:tcPr>
          <w:p>
            <w:pPr>
              <w:ind w:left="880"/>
              <w:spacing w:after="0"/>
              <w:rPr>
                <w:sz w:val="20"/>
                <w:szCs w:val="20"/>
                <w:color w:val="auto"/>
              </w:rPr>
            </w:pPr>
            <w:r>
              <w:rPr>
                <w:rFonts w:ascii="Arial" w:cs="Arial" w:eastAsia="Arial" w:hAnsi="Arial"/>
                <w:sz w:val="14"/>
                <w:szCs w:val="14"/>
                <w:color w:val="auto"/>
              </w:rPr>
              <w:t>Delaware</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AirOpCo UK Ltd.</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England and Wales</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FTAI Aviation Canada LLC</w:t>
            </w:r>
          </w:p>
        </w:tc>
        <w:tc>
          <w:tcPr>
            <w:tcW w:w="3800" w:type="dxa"/>
            <w:vAlign w:val="bottom"/>
          </w:tcPr>
          <w:p>
            <w:pPr>
              <w:ind w:left="880"/>
              <w:spacing w:after="0"/>
              <w:rPr>
                <w:sz w:val="20"/>
                <w:szCs w:val="20"/>
                <w:color w:val="auto"/>
              </w:rPr>
            </w:pPr>
            <w:r>
              <w:rPr>
                <w:rFonts w:ascii="Arial" w:cs="Arial" w:eastAsia="Arial" w:hAnsi="Arial"/>
                <w:sz w:val="14"/>
                <w:szCs w:val="14"/>
                <w:color w:val="auto"/>
              </w:rPr>
              <w:t>Delaware</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Canada ULC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Canada</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FTAI Aviation LLC</w:t>
            </w:r>
          </w:p>
        </w:tc>
        <w:tc>
          <w:tcPr>
            <w:tcW w:w="3800" w:type="dxa"/>
            <w:vAlign w:val="bottom"/>
          </w:tcPr>
          <w:p>
            <w:pPr>
              <w:ind w:left="880"/>
              <w:spacing w:after="0"/>
              <w:rPr>
                <w:sz w:val="20"/>
                <w:szCs w:val="20"/>
                <w:color w:val="auto"/>
              </w:rPr>
            </w:pPr>
            <w:r>
              <w:rPr>
                <w:rFonts w:ascii="Arial" w:cs="Arial" w:eastAsia="Arial" w:hAnsi="Arial"/>
                <w:sz w:val="14"/>
                <w:szCs w:val="14"/>
                <w:color w:val="auto"/>
              </w:rPr>
              <w:t>Delaware</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Avion DAC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Ireland</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FTAI CHR JV Holdings LLC</w:t>
            </w:r>
          </w:p>
        </w:tc>
        <w:tc>
          <w:tcPr>
            <w:tcW w:w="3800" w:type="dxa"/>
            <w:vAlign w:val="bottom"/>
          </w:tcPr>
          <w:p>
            <w:pPr>
              <w:ind w:left="880"/>
              <w:spacing w:after="0"/>
              <w:rPr>
                <w:sz w:val="20"/>
                <w:szCs w:val="20"/>
                <w:color w:val="auto"/>
              </w:rPr>
            </w:pPr>
            <w:r>
              <w:rPr>
                <w:rFonts w:ascii="Arial" w:cs="Arial" w:eastAsia="Arial" w:hAnsi="Arial"/>
                <w:sz w:val="14"/>
                <w:szCs w:val="14"/>
                <w:color w:val="auto"/>
              </w:rPr>
              <w:t>Delaware</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Finance JV L.P.</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Delaware</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FTAI IES Pioneer Ltd.</w:t>
            </w:r>
          </w:p>
        </w:tc>
        <w:tc>
          <w:tcPr>
            <w:tcW w:w="3800" w:type="dxa"/>
            <w:vAlign w:val="bottom"/>
          </w:tcPr>
          <w:p>
            <w:pPr>
              <w:ind w:left="880"/>
              <w:spacing w:after="0"/>
              <w:rPr>
                <w:sz w:val="20"/>
                <w:szCs w:val="20"/>
                <w:color w:val="auto"/>
              </w:rPr>
            </w:pPr>
            <w:r>
              <w:rPr>
                <w:rFonts w:ascii="Arial" w:cs="Arial" w:eastAsia="Arial" w:hAnsi="Arial"/>
                <w:sz w:val="14"/>
                <w:szCs w:val="14"/>
                <w:color w:val="auto"/>
              </w:rPr>
              <w:t>Malaysia</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Irish Finco DAC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Ireland</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FTAI Italia DAC</w:t>
            </w:r>
          </w:p>
        </w:tc>
        <w:tc>
          <w:tcPr>
            <w:tcW w:w="3800" w:type="dxa"/>
            <w:vAlign w:val="bottom"/>
          </w:tcPr>
          <w:p>
            <w:pPr>
              <w:ind w:left="880"/>
              <w:spacing w:after="0"/>
              <w:rPr>
                <w:sz w:val="20"/>
                <w:szCs w:val="20"/>
                <w:color w:val="auto"/>
              </w:rPr>
            </w:pPr>
            <w:r>
              <w:rPr>
                <w:rFonts w:ascii="Arial" w:cs="Arial" w:eastAsia="Arial" w:hAnsi="Arial"/>
                <w:sz w:val="14"/>
                <w:szCs w:val="14"/>
                <w:color w:val="auto"/>
              </w:rPr>
              <w:t>Ireland</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Ocean LLC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Marshall Islands</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FTAI Ocean Pty Ltd.</w:t>
            </w:r>
          </w:p>
        </w:tc>
        <w:tc>
          <w:tcPr>
            <w:tcW w:w="3800" w:type="dxa"/>
            <w:vAlign w:val="bottom"/>
          </w:tcPr>
          <w:p>
            <w:pPr>
              <w:ind w:left="880"/>
              <w:spacing w:after="0"/>
              <w:rPr>
                <w:sz w:val="20"/>
                <w:szCs w:val="20"/>
                <w:color w:val="auto"/>
              </w:rPr>
            </w:pPr>
            <w:r>
              <w:rPr>
                <w:rFonts w:ascii="Arial" w:cs="Arial" w:eastAsia="Arial" w:hAnsi="Arial"/>
                <w:sz w:val="14"/>
                <w:szCs w:val="14"/>
                <w:color w:val="auto"/>
              </w:rPr>
              <w:t>Australia</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Offshore Holdco LLC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Delaware</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FTAI Offshore Holdings L.P.</w:t>
            </w:r>
          </w:p>
        </w:tc>
        <w:tc>
          <w:tcPr>
            <w:tcW w:w="3800" w:type="dxa"/>
            <w:vAlign w:val="bottom"/>
          </w:tcPr>
          <w:p>
            <w:pPr>
              <w:ind w:left="880"/>
              <w:spacing w:after="0"/>
              <w:rPr>
                <w:sz w:val="20"/>
                <w:szCs w:val="20"/>
                <w:color w:val="auto"/>
              </w:rPr>
            </w:pPr>
            <w:r>
              <w:rPr>
                <w:rFonts w:ascii="Arial" w:cs="Arial" w:eastAsia="Arial" w:hAnsi="Arial"/>
                <w:sz w:val="14"/>
                <w:szCs w:val="14"/>
                <w:color w:val="auto"/>
              </w:rPr>
              <w:t>Cayman Islands</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Offshore Pte Ltd.</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Singapore</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FTAI Pioneer Malaysia Shareholder LLC</w:t>
            </w:r>
          </w:p>
        </w:tc>
        <w:tc>
          <w:tcPr>
            <w:tcW w:w="3800" w:type="dxa"/>
            <w:vAlign w:val="bottom"/>
          </w:tcPr>
          <w:p>
            <w:pPr>
              <w:ind w:left="880"/>
              <w:spacing w:after="0"/>
              <w:rPr>
                <w:sz w:val="20"/>
                <w:szCs w:val="20"/>
                <w:color w:val="auto"/>
              </w:rPr>
            </w:pPr>
            <w:r>
              <w:rPr>
                <w:rFonts w:ascii="Arial" w:cs="Arial" w:eastAsia="Arial" w:hAnsi="Arial"/>
                <w:sz w:val="14"/>
                <w:szCs w:val="14"/>
                <w:color w:val="auto"/>
              </w:rPr>
              <w:t>Delaware</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Marshall LLC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Marshall Islands</w:t>
            </w:r>
          </w:p>
        </w:tc>
      </w:tr>
      <w:tr>
        <w:trPr>
          <w:trHeight w:val="197"/>
        </w:trPr>
        <w:tc>
          <w:tcPr>
            <w:tcW w:w="7440" w:type="dxa"/>
            <w:vAlign w:val="bottom"/>
          </w:tcPr>
          <w:p>
            <w:pPr>
              <w:ind w:left="20"/>
              <w:spacing w:after="0"/>
              <w:rPr>
                <w:sz w:val="20"/>
                <w:szCs w:val="20"/>
                <w:color w:val="auto"/>
              </w:rPr>
            </w:pPr>
            <w:r>
              <w:rPr>
                <w:rFonts w:ascii="Arial" w:cs="Arial" w:eastAsia="Arial" w:hAnsi="Arial"/>
                <w:sz w:val="14"/>
                <w:szCs w:val="14"/>
                <w:color w:val="auto"/>
              </w:rPr>
              <w:t>FTAI Pioneer MI LLC</w:t>
            </w:r>
          </w:p>
        </w:tc>
        <w:tc>
          <w:tcPr>
            <w:tcW w:w="3800" w:type="dxa"/>
            <w:vAlign w:val="bottom"/>
          </w:tcPr>
          <w:p>
            <w:pPr>
              <w:ind w:left="880"/>
              <w:spacing w:after="0"/>
              <w:rPr>
                <w:sz w:val="20"/>
                <w:szCs w:val="20"/>
                <w:color w:val="auto"/>
              </w:rPr>
            </w:pPr>
            <w:r>
              <w:rPr>
                <w:rFonts w:ascii="Arial" w:cs="Arial" w:eastAsia="Arial" w:hAnsi="Arial"/>
                <w:sz w:val="14"/>
                <w:szCs w:val="14"/>
                <w:color w:val="auto"/>
              </w:rPr>
              <w:t>Marshall Islands</w:t>
            </w:r>
          </w:p>
        </w:tc>
      </w:tr>
      <w:tr>
        <w:trPr>
          <w:trHeight w:val="20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SDN Bhd</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Malaysia</w:t>
            </w:r>
          </w:p>
        </w:tc>
      </w:tr>
      <w:tr>
        <w:trPr>
          <w:trHeight w:val="197"/>
        </w:trPr>
        <w:tc>
          <w:tcPr>
            <w:tcW w:w="7440" w:type="dxa"/>
            <w:vAlign w:val="bottom"/>
          </w:tcPr>
          <w:p>
            <w:pPr>
              <w:ind w:left="20"/>
              <w:spacing w:after="0"/>
              <w:rPr>
                <w:sz w:val="20"/>
                <w:szCs w:val="20"/>
                <w:color w:val="auto"/>
              </w:rPr>
            </w:pPr>
            <w:r>
              <w:rPr>
                <w:rFonts w:ascii="Arial" w:cs="Arial" w:eastAsia="Arial" w:hAnsi="Arial"/>
                <w:sz w:val="14"/>
                <w:szCs w:val="14"/>
                <w:color w:val="auto"/>
              </w:rPr>
              <w:t>FTAI Pioneer Singapore Pte Ltd.</w:t>
            </w:r>
          </w:p>
        </w:tc>
        <w:tc>
          <w:tcPr>
            <w:tcW w:w="3800" w:type="dxa"/>
            <w:vAlign w:val="bottom"/>
          </w:tcPr>
          <w:p>
            <w:pPr>
              <w:ind w:left="880"/>
              <w:spacing w:after="0"/>
              <w:rPr>
                <w:sz w:val="20"/>
                <w:szCs w:val="20"/>
                <w:color w:val="auto"/>
              </w:rPr>
            </w:pPr>
            <w:r>
              <w:rPr>
                <w:rFonts w:ascii="Arial" w:cs="Arial" w:eastAsia="Arial" w:hAnsi="Arial"/>
                <w:sz w:val="14"/>
                <w:szCs w:val="14"/>
                <w:color w:val="auto"/>
              </w:rPr>
              <w:t>Singapore</w:t>
            </w:r>
          </w:p>
        </w:tc>
      </w:tr>
      <w:tr>
        <w:trPr>
          <w:trHeight w:val="20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Chartering LLC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Marshall Islands</w:t>
            </w:r>
          </w:p>
        </w:tc>
      </w:tr>
      <w:tr>
        <w:trPr>
          <w:trHeight w:val="197"/>
        </w:trPr>
        <w:tc>
          <w:tcPr>
            <w:tcW w:w="7440" w:type="dxa"/>
            <w:vAlign w:val="bottom"/>
          </w:tcPr>
          <w:p>
            <w:pPr>
              <w:ind w:left="20"/>
              <w:spacing w:after="0"/>
              <w:rPr>
                <w:sz w:val="20"/>
                <w:szCs w:val="20"/>
                <w:color w:val="auto"/>
              </w:rPr>
            </w:pPr>
            <w:r>
              <w:rPr>
                <w:rFonts w:ascii="Arial" w:cs="Arial" w:eastAsia="Arial" w:hAnsi="Arial"/>
                <w:sz w:val="14"/>
                <w:szCs w:val="14"/>
                <w:color w:val="auto"/>
              </w:rPr>
              <w:t>FTAI Pride Labuan Ltd.</w:t>
            </w:r>
          </w:p>
        </w:tc>
        <w:tc>
          <w:tcPr>
            <w:tcW w:w="3800" w:type="dxa"/>
            <w:vAlign w:val="bottom"/>
          </w:tcPr>
          <w:p>
            <w:pPr>
              <w:ind w:left="880"/>
              <w:spacing w:after="0"/>
              <w:rPr>
                <w:sz w:val="20"/>
                <w:szCs w:val="20"/>
                <w:color w:val="auto"/>
              </w:rPr>
            </w:pPr>
            <w:r>
              <w:rPr>
                <w:rFonts w:ascii="Arial" w:cs="Arial" w:eastAsia="Arial" w:hAnsi="Arial"/>
                <w:sz w:val="14"/>
                <w:szCs w:val="14"/>
                <w:color w:val="auto"/>
              </w:rPr>
              <w:t>Malaysia</w:t>
            </w:r>
          </w:p>
        </w:tc>
      </w:tr>
      <w:tr>
        <w:trPr>
          <w:trHeight w:val="20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LLC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Marshall Islands</w:t>
            </w:r>
          </w:p>
        </w:tc>
      </w:tr>
      <w:tr>
        <w:trPr>
          <w:trHeight w:val="197"/>
        </w:trPr>
        <w:tc>
          <w:tcPr>
            <w:tcW w:w="7440" w:type="dxa"/>
            <w:vAlign w:val="bottom"/>
          </w:tcPr>
          <w:p>
            <w:pPr>
              <w:ind w:left="20"/>
              <w:spacing w:after="0"/>
              <w:rPr>
                <w:sz w:val="20"/>
                <w:szCs w:val="20"/>
                <w:color w:val="auto"/>
              </w:rPr>
            </w:pPr>
            <w:r>
              <w:rPr>
                <w:rFonts w:ascii="Arial" w:cs="Arial" w:eastAsia="Arial" w:hAnsi="Arial"/>
                <w:sz w:val="14"/>
                <w:szCs w:val="14"/>
                <w:color w:val="auto"/>
              </w:rPr>
              <w:t>FTAI Pride Malaysia SDN BHD</w:t>
            </w:r>
          </w:p>
        </w:tc>
        <w:tc>
          <w:tcPr>
            <w:tcW w:w="3800" w:type="dxa"/>
            <w:vAlign w:val="bottom"/>
          </w:tcPr>
          <w:p>
            <w:pPr>
              <w:ind w:left="880"/>
              <w:spacing w:after="0"/>
              <w:rPr>
                <w:sz w:val="20"/>
                <w:szCs w:val="20"/>
                <w:color w:val="auto"/>
              </w:rPr>
            </w:pPr>
            <w:r>
              <w:rPr>
                <w:rFonts w:ascii="Arial" w:cs="Arial" w:eastAsia="Arial" w:hAnsi="Arial"/>
                <w:sz w:val="14"/>
                <w:szCs w:val="14"/>
                <w:color w:val="auto"/>
              </w:rPr>
              <w:t>Malaysia</w:t>
            </w:r>
          </w:p>
        </w:tc>
      </w:tr>
      <w:tr>
        <w:trPr>
          <w:trHeight w:val="20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Subsea 88 Ltd.</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Bermuda</w:t>
            </w:r>
          </w:p>
        </w:tc>
      </w:tr>
      <w:tr>
        <w:trPr>
          <w:trHeight w:val="197"/>
        </w:trPr>
        <w:tc>
          <w:tcPr>
            <w:tcW w:w="7440" w:type="dxa"/>
            <w:vAlign w:val="bottom"/>
          </w:tcPr>
          <w:p>
            <w:pPr>
              <w:ind w:left="20"/>
              <w:spacing w:after="0"/>
              <w:rPr>
                <w:sz w:val="20"/>
                <w:szCs w:val="20"/>
                <w:color w:val="auto"/>
              </w:rPr>
            </w:pPr>
            <w:r>
              <w:rPr>
                <w:rFonts w:ascii="Arial" w:cs="Arial" w:eastAsia="Arial" w:hAnsi="Arial"/>
                <w:sz w:val="14"/>
                <w:szCs w:val="14"/>
                <w:color w:val="auto"/>
              </w:rPr>
              <w:t>High Turbine Technologies LLC</w:t>
            </w:r>
          </w:p>
        </w:tc>
        <w:tc>
          <w:tcPr>
            <w:tcW w:w="3800" w:type="dxa"/>
            <w:vAlign w:val="bottom"/>
          </w:tcPr>
          <w:p>
            <w:pPr>
              <w:ind w:left="880"/>
              <w:spacing w:after="0"/>
              <w:rPr>
                <w:sz w:val="20"/>
                <w:szCs w:val="20"/>
                <w:color w:val="auto"/>
              </w:rPr>
            </w:pPr>
            <w:r>
              <w:rPr>
                <w:rFonts w:ascii="Arial" w:cs="Arial" w:eastAsia="Arial" w:hAnsi="Arial"/>
                <w:sz w:val="14"/>
                <w:szCs w:val="14"/>
                <w:color w:val="auto"/>
              </w:rPr>
              <w:t>Delaware</w:t>
            </w:r>
          </w:p>
        </w:tc>
      </w:tr>
      <w:tr>
        <w:trPr>
          <w:trHeight w:val="20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 Victoire Holdings Sarl</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France</w:t>
            </w:r>
          </w:p>
        </w:tc>
      </w:tr>
      <w:tr>
        <w:trPr>
          <w:trHeight w:val="197"/>
        </w:trPr>
        <w:tc>
          <w:tcPr>
            <w:tcW w:w="7440" w:type="dxa"/>
            <w:vAlign w:val="bottom"/>
          </w:tcPr>
          <w:p>
            <w:pPr>
              <w:ind w:left="20"/>
              <w:spacing w:after="0"/>
              <w:rPr>
                <w:sz w:val="20"/>
                <w:szCs w:val="20"/>
                <w:color w:val="auto"/>
              </w:rPr>
            </w:pPr>
            <w:r>
              <w:rPr>
                <w:rFonts w:ascii="Arial" w:cs="Arial" w:eastAsia="Arial" w:hAnsi="Arial"/>
                <w:sz w:val="14"/>
                <w:szCs w:val="14"/>
                <w:color w:val="auto"/>
              </w:rPr>
              <w:t>Quick Turn Engine Center LLC (Class B units 45%; surviving entity of merger with Ignite Holdings LLC)</w:t>
            </w:r>
          </w:p>
        </w:tc>
        <w:tc>
          <w:tcPr>
            <w:tcW w:w="3800" w:type="dxa"/>
            <w:vAlign w:val="bottom"/>
          </w:tcPr>
          <w:p>
            <w:pPr>
              <w:ind w:left="880"/>
              <w:spacing w:after="0"/>
              <w:rPr>
                <w:sz w:val="20"/>
                <w:szCs w:val="20"/>
                <w:color w:val="auto"/>
              </w:rPr>
            </w:pPr>
            <w:r>
              <w:rPr>
                <w:rFonts w:ascii="Arial" w:cs="Arial" w:eastAsia="Arial" w:hAnsi="Arial"/>
                <w:sz w:val="14"/>
                <w:szCs w:val="14"/>
                <w:color w:val="auto"/>
              </w:rPr>
              <w:t>Delaware</w:t>
            </w:r>
          </w:p>
        </w:tc>
      </w:tr>
      <w:tr>
        <w:trPr>
          <w:trHeight w:val="20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1 USA Sub LLC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Delaware</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WWTAI AirOpCo 1Bermuda Ltd.</w:t>
            </w:r>
          </w:p>
        </w:tc>
        <w:tc>
          <w:tcPr>
            <w:tcW w:w="3800" w:type="dxa"/>
            <w:vAlign w:val="bottom"/>
          </w:tcPr>
          <w:p>
            <w:pPr>
              <w:ind w:left="880"/>
              <w:spacing w:after="0"/>
              <w:rPr>
                <w:sz w:val="20"/>
                <w:szCs w:val="20"/>
                <w:color w:val="auto"/>
              </w:rPr>
            </w:pPr>
            <w:r>
              <w:rPr>
                <w:rFonts w:ascii="Arial" w:cs="Arial" w:eastAsia="Arial" w:hAnsi="Arial"/>
                <w:sz w:val="14"/>
                <w:szCs w:val="14"/>
                <w:color w:val="auto"/>
              </w:rPr>
              <w:t>Bermuda</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2 Bermuda Ltd.</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Bermuda</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WWTAI AirOpCo 2 USA LLC</w:t>
            </w:r>
          </w:p>
        </w:tc>
        <w:tc>
          <w:tcPr>
            <w:tcW w:w="3800" w:type="dxa"/>
            <w:vAlign w:val="bottom"/>
          </w:tcPr>
          <w:p>
            <w:pPr>
              <w:ind w:left="880"/>
              <w:spacing w:after="0"/>
              <w:rPr>
                <w:sz w:val="20"/>
                <w:szCs w:val="20"/>
                <w:color w:val="auto"/>
              </w:rPr>
            </w:pPr>
            <w:r>
              <w:rPr>
                <w:rFonts w:ascii="Arial" w:cs="Arial" w:eastAsia="Arial" w:hAnsi="Arial"/>
                <w:sz w:val="14"/>
                <w:szCs w:val="14"/>
                <w:color w:val="auto"/>
              </w:rPr>
              <w:t>Delaware</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3 Bermuda Ltd.</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Bermuda</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WWTAI AirOpCo BPA Ireland Limited</w:t>
            </w:r>
          </w:p>
        </w:tc>
        <w:tc>
          <w:tcPr>
            <w:tcW w:w="3800" w:type="dxa"/>
            <w:vAlign w:val="bottom"/>
          </w:tcPr>
          <w:p>
            <w:pPr>
              <w:ind w:left="880"/>
              <w:spacing w:after="0"/>
              <w:rPr>
                <w:sz w:val="20"/>
                <w:szCs w:val="20"/>
                <w:color w:val="auto"/>
              </w:rPr>
            </w:pPr>
            <w:r>
              <w:rPr>
                <w:rFonts w:ascii="Arial" w:cs="Arial" w:eastAsia="Arial" w:hAnsi="Arial"/>
                <w:sz w:val="14"/>
                <w:szCs w:val="14"/>
                <w:color w:val="auto"/>
              </w:rPr>
              <w:t>Ireland</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I USA LLC</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Delaware</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WWTAI AirOpco II DAC</w:t>
            </w:r>
          </w:p>
        </w:tc>
        <w:tc>
          <w:tcPr>
            <w:tcW w:w="3800" w:type="dxa"/>
            <w:vAlign w:val="bottom"/>
          </w:tcPr>
          <w:p>
            <w:pPr>
              <w:ind w:left="880"/>
              <w:spacing w:after="0"/>
              <w:rPr>
                <w:sz w:val="20"/>
                <w:szCs w:val="20"/>
                <w:color w:val="auto"/>
              </w:rPr>
            </w:pPr>
            <w:r>
              <w:rPr>
                <w:rFonts w:ascii="Arial" w:cs="Arial" w:eastAsia="Arial" w:hAnsi="Arial"/>
                <w:sz w:val="14"/>
                <w:szCs w:val="14"/>
                <w:color w:val="auto"/>
              </w:rPr>
              <w:t>Ireland</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Malta Limited</w:t>
            </w:r>
          </w:p>
        </w:tc>
        <w:tc>
          <w:tcPr>
            <w:tcW w:w="38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Malta</w:t>
            </w:r>
          </w:p>
        </w:tc>
      </w:tr>
    </w:tbl>
    <w:p>
      <w:pPr>
        <w:sectPr>
          <w:pgSz w:w="11900" w:h="16838" w:orient="portrait"/>
          <w:cols w:equalWidth="0" w:num="1">
            <w:col w:w="11240"/>
          </w:cols>
          <w:pgMar w:left="320" w:top="891"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6220" w:type="dxa"/>
            <w:vAlign w:val="bottom"/>
            <w:tcBorders>
              <w:bottom w:val="single" w:sz="8" w:color="auto"/>
            </w:tcBorders>
          </w:tcPr>
          <w:p>
            <w:pPr>
              <w:ind w:left="3300"/>
              <w:spacing w:after="0"/>
              <w:rPr>
                <w:sz w:val="20"/>
                <w:szCs w:val="20"/>
                <w:color w:val="auto"/>
              </w:rPr>
            </w:pPr>
            <w:r>
              <w:rPr>
                <w:rFonts w:ascii="Arial" w:cs="Arial" w:eastAsia="Arial" w:hAnsi="Arial"/>
                <w:sz w:val="14"/>
                <w:szCs w:val="14"/>
                <w:b w:val="1"/>
                <w:bCs w:val="1"/>
                <w:color w:val="auto"/>
              </w:rPr>
              <w:t>State of Incorporation/Formation</w:t>
            </w:r>
          </w:p>
        </w:tc>
      </w:tr>
      <w:tr>
        <w:trPr>
          <w:trHeight w:val="196"/>
        </w:trPr>
        <w:tc>
          <w:tcPr>
            <w:tcW w:w="5020" w:type="dxa"/>
            <w:vAlign w:val="bottom"/>
          </w:tcPr>
          <w:p>
            <w:pPr>
              <w:ind w:left="20"/>
              <w:spacing w:after="0"/>
              <w:rPr>
                <w:sz w:val="20"/>
                <w:szCs w:val="20"/>
                <w:color w:val="auto"/>
              </w:rPr>
            </w:pPr>
            <w:r>
              <w:rPr>
                <w:rFonts w:ascii="Arial" w:cs="Arial" w:eastAsia="Arial" w:hAnsi="Arial"/>
                <w:sz w:val="14"/>
                <w:szCs w:val="14"/>
                <w:color w:val="auto"/>
              </w:rPr>
              <w:t>WWTAI Aviation LLC</w:t>
            </w:r>
          </w:p>
        </w:tc>
        <w:tc>
          <w:tcPr>
            <w:tcW w:w="6220" w:type="dxa"/>
            <w:vAlign w:val="bottom"/>
          </w:tcPr>
          <w:p>
            <w:pPr>
              <w:ind w:left="3300"/>
              <w:spacing w:after="0"/>
              <w:rPr>
                <w:sz w:val="20"/>
                <w:szCs w:val="20"/>
                <w:color w:val="auto"/>
              </w:rPr>
            </w:pPr>
            <w:r>
              <w:rPr>
                <w:rFonts w:ascii="Arial" w:cs="Arial" w:eastAsia="Arial" w:hAnsi="Arial"/>
                <w:sz w:val="14"/>
                <w:szCs w:val="14"/>
                <w:color w:val="auto"/>
              </w:rPr>
              <w:t>Delaware</w:t>
            </w:r>
          </w:p>
        </w:tc>
      </w:tr>
      <w:tr>
        <w:trPr>
          <w:trHeight w:val="208"/>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Finance Ltd.</w:t>
            </w:r>
          </w:p>
        </w:tc>
        <w:tc>
          <w:tcPr>
            <w:tcW w:w="6220" w:type="dxa"/>
            <w:vAlign w:val="bottom"/>
            <w:shd w:val="clear" w:color="auto" w:fill="CCEEFF"/>
          </w:tcPr>
          <w:p>
            <w:pPr>
              <w:ind w:left="3300"/>
              <w:spacing w:after="0"/>
              <w:rPr>
                <w:sz w:val="20"/>
                <w:szCs w:val="20"/>
                <w:color w:val="auto"/>
              </w:rPr>
            </w:pPr>
            <w:r>
              <w:rPr>
                <w:rFonts w:ascii="Arial" w:cs="Arial" w:eastAsia="Arial" w:hAnsi="Arial"/>
                <w:sz w:val="14"/>
                <w:szCs w:val="14"/>
                <w:color w:val="auto"/>
              </w:rPr>
              <w:t>Bermuda</w:t>
            </w:r>
          </w:p>
        </w:tc>
      </w:tr>
      <w:tr>
        <w:trPr>
          <w:trHeight w:val="197"/>
        </w:trPr>
        <w:tc>
          <w:tcPr>
            <w:tcW w:w="5020" w:type="dxa"/>
            <w:vAlign w:val="bottom"/>
          </w:tcPr>
          <w:p>
            <w:pPr>
              <w:ind w:left="20"/>
              <w:spacing w:after="0"/>
              <w:rPr>
                <w:sz w:val="20"/>
                <w:szCs w:val="20"/>
                <w:color w:val="auto"/>
              </w:rPr>
            </w:pPr>
            <w:r>
              <w:rPr>
                <w:rFonts w:ascii="Arial" w:cs="Arial" w:eastAsia="Arial" w:hAnsi="Arial"/>
                <w:sz w:val="14"/>
                <w:szCs w:val="14"/>
                <w:color w:val="auto"/>
              </w:rPr>
              <w:t>WWTAI IES MT6015 Ltd.</w:t>
            </w:r>
          </w:p>
        </w:tc>
        <w:tc>
          <w:tcPr>
            <w:tcW w:w="6220" w:type="dxa"/>
            <w:vAlign w:val="bottom"/>
          </w:tcPr>
          <w:p>
            <w:pPr>
              <w:ind w:left="3300"/>
              <w:spacing w:after="0"/>
              <w:rPr>
                <w:sz w:val="20"/>
                <w:szCs w:val="20"/>
                <w:color w:val="auto"/>
              </w:rPr>
            </w:pPr>
            <w:r>
              <w:rPr>
                <w:rFonts w:ascii="Arial" w:cs="Arial" w:eastAsia="Arial" w:hAnsi="Arial"/>
                <w:sz w:val="14"/>
                <w:szCs w:val="14"/>
                <w:color w:val="auto"/>
              </w:rPr>
              <w:t>Malaysia</w:t>
            </w:r>
          </w:p>
        </w:tc>
      </w:tr>
      <w:tr>
        <w:trPr>
          <w:trHeight w:val="208"/>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Offshore Co 1 Ltd.</w:t>
            </w:r>
          </w:p>
        </w:tc>
        <w:tc>
          <w:tcPr>
            <w:tcW w:w="6220" w:type="dxa"/>
            <w:vAlign w:val="bottom"/>
            <w:shd w:val="clear" w:color="auto" w:fill="CCEEFF"/>
          </w:tcPr>
          <w:p>
            <w:pPr>
              <w:ind w:left="3300"/>
              <w:spacing w:after="0"/>
              <w:rPr>
                <w:sz w:val="20"/>
                <w:szCs w:val="20"/>
                <w:color w:val="auto"/>
              </w:rPr>
            </w:pPr>
            <w:r>
              <w:rPr>
                <w:rFonts w:ascii="Arial" w:cs="Arial" w:eastAsia="Arial" w:hAnsi="Arial"/>
                <w:sz w:val="14"/>
                <w:szCs w:val="14"/>
                <w:color w:val="auto"/>
              </w:rPr>
              <w:t>Bermuda</w:t>
            </w:r>
          </w:p>
        </w:tc>
      </w:tr>
    </w:tbl>
    <w:p>
      <w:pPr>
        <w:sectPr>
          <w:pgSz w:w="11900" w:h="16838" w:orient="portrait"/>
          <w:cols w:equalWidth="0" w:num="1">
            <w:col w:w="11240"/>
          </w:cols>
          <w:pgMar w:left="320" w:top="936" w:right="3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6"/>
          <w:szCs w:val="16"/>
          <w:b w:val="1"/>
          <w:bCs w:val="1"/>
          <w:color w:val="333333"/>
        </w:rPr>
        <w:t>EXHIBIT 23.1</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consent to the incorporation by reference in the Registration Statement (Form S-3 No. 333-236770) of FTAI Aviation Ltd. and in the related Prospectus of our reports dated February 27, 2023, with respect to the consolidated financial statements of FTAI Aviation Ltd. and the effectiveness of internal control over financial reporting of FTAI Aviation Ltd., included in this Annual Report (Form 10-K) for the year ended December 31, 2022.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ectPr>
          <w:pgSz w:w="11900" w:h="16838" w:orient="portrait"/>
          <w:cols w:equalWidth="0" w:num="1">
            <w:col w:w="11240"/>
          </w:cols>
          <w:pgMar w:left="320" w:top="891"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EXECUTIVE OFFICER</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262" w:lineRule="exact"/>
        <w:rPr>
          <w:sz w:val="20"/>
          <w:szCs w:val="20"/>
          <w:color w:val="auto"/>
        </w:rPr>
      </w:pPr>
    </w:p>
    <w:p>
      <w:pPr>
        <w:ind w:left="320" w:hanging="312"/>
        <w:spacing w:after="0"/>
        <w:tabs>
          <w:tab w:leader="none" w:pos="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FTAI Aviation Ltd.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373"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6"/>
          <w:szCs w:val="16"/>
          <w:color w:val="auto"/>
        </w:rPr>
      </w:pPr>
    </w:p>
    <w:p>
      <w:pPr>
        <w:ind w:firstLine="8"/>
        <w:spacing w:after="0" w:line="260" w:lineRule="auto"/>
        <w:tabs>
          <w:tab w:leader="none" w:pos="406"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6"/>
          <w:szCs w:val="16"/>
          <w:color w:val="auto"/>
        </w:rPr>
      </w:pPr>
    </w:p>
    <w:p>
      <w:pPr>
        <w:jc w:val="both"/>
        <w:ind w:firstLine="8"/>
        <w:spacing w:after="0" w:line="253" w:lineRule="auto"/>
        <w:tabs>
          <w:tab w:leader="none" w:pos="411"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6"/>
          <w:szCs w:val="16"/>
          <w:color w:val="auto"/>
        </w:rPr>
      </w:pPr>
    </w:p>
    <w:p>
      <w:pPr>
        <w:jc w:val="both"/>
        <w:ind w:firstLine="656"/>
        <w:spacing w:after="0" w:line="253" w:lineRule="auto"/>
        <w:tabs>
          <w:tab w:leader="none" w:pos="1038"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right="20" w:firstLine="656"/>
        <w:spacing w:after="0" w:line="262" w:lineRule="auto"/>
        <w:tabs>
          <w:tab w:leader="none" w:pos="1167"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6"/>
          <w:szCs w:val="16"/>
          <w:color w:val="auto"/>
        </w:rPr>
      </w:pPr>
    </w:p>
    <w:p>
      <w:pPr>
        <w:ind w:firstLine="656"/>
        <w:spacing w:after="0" w:line="260" w:lineRule="auto"/>
        <w:tabs>
          <w:tab w:leader="none" w:pos="1105"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6"/>
          <w:szCs w:val="16"/>
          <w:color w:val="auto"/>
        </w:rPr>
      </w:pPr>
    </w:p>
    <w:p>
      <w:pPr>
        <w:jc w:val="both"/>
        <w:ind w:firstLine="656"/>
        <w:spacing w:after="0" w:line="262" w:lineRule="auto"/>
        <w:tabs>
          <w:tab w:leader="none" w:pos="1049" w:val="left"/>
        </w:tabs>
        <w:numPr>
          <w:ilvl w:val="1"/>
          <w:numId w:val="8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6"/>
          <w:szCs w:val="16"/>
          <w:color w:val="auto"/>
        </w:rPr>
      </w:pPr>
    </w:p>
    <w:p>
      <w:pPr>
        <w:ind w:firstLine="8"/>
        <w:spacing w:after="0" w:line="260" w:lineRule="auto"/>
        <w:tabs>
          <w:tab w:leader="none" w:pos="362"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6"/>
          <w:szCs w:val="16"/>
          <w:color w:val="auto"/>
        </w:rPr>
      </w:pPr>
    </w:p>
    <w:p>
      <w:pPr>
        <w:ind w:firstLine="656"/>
        <w:spacing w:after="0" w:line="260" w:lineRule="auto"/>
        <w:tabs>
          <w:tab w:leader="none" w:pos="1031"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6"/>
          <w:szCs w:val="16"/>
          <w:color w:val="auto"/>
        </w:rPr>
      </w:pPr>
    </w:p>
    <w:p>
      <w:pPr>
        <w:ind w:right="20" w:firstLine="656"/>
        <w:spacing w:after="0" w:line="260" w:lineRule="auto"/>
        <w:tabs>
          <w:tab w:leader="none" w:pos="1019"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5580" w:type="dxa"/>
            <w:vAlign w:val="bottom"/>
          </w:tcPr>
          <w:p>
            <w:pPr>
              <w:spacing w:after="0"/>
              <w:rPr>
                <w:sz w:val="20"/>
                <w:szCs w:val="20"/>
                <w:color w:val="auto"/>
              </w:rPr>
            </w:pPr>
            <w:r>
              <w:rPr>
                <w:rFonts w:ascii="Arial" w:cs="Arial" w:eastAsia="Arial" w:hAnsi="Arial"/>
                <w:sz w:val="16"/>
                <w:szCs w:val="16"/>
                <w:color w:val="auto"/>
              </w:rPr>
              <w:t>February 27,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07"/>
        </w:trPr>
        <w:tc>
          <w:tcPr>
            <w:tcW w:w="5580" w:type="dxa"/>
            <w:vAlign w:val="bottom"/>
          </w:tcPr>
          <w:p>
            <w:pPr>
              <w:spacing w:after="0"/>
              <w:rPr>
                <w:sz w:val="20"/>
                <w:szCs w:val="20"/>
                <w:color w:val="auto"/>
              </w:rPr>
            </w:pPr>
            <w:r>
              <w:rPr>
                <w:rFonts w:ascii="Arial" w:cs="Arial" w:eastAsia="Arial" w:hAnsi="Arial"/>
                <w:sz w:val="16"/>
                <w:szCs w:val="16"/>
                <w:color w:val="auto"/>
              </w:rPr>
              <w:t>(Date)</w:t>
            </w:r>
          </w:p>
        </w:tc>
        <w:tc>
          <w:tcPr>
            <w:tcW w:w="560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16"/>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86"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FINANCIAL OFFICER</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I, Eun (Angela) Nam, certify that:</w:t>
      </w:r>
    </w:p>
    <w:p>
      <w:pPr>
        <w:spacing w:after="0" w:line="262" w:lineRule="exact"/>
        <w:rPr>
          <w:sz w:val="20"/>
          <w:szCs w:val="20"/>
          <w:color w:val="auto"/>
        </w:rPr>
      </w:pPr>
    </w:p>
    <w:p>
      <w:pPr>
        <w:ind w:left="320" w:hanging="312"/>
        <w:spacing w:after="0"/>
        <w:tabs>
          <w:tab w:leader="none" w:pos="3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FTAI Aviation Ltd.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373"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6"/>
          <w:szCs w:val="16"/>
          <w:color w:val="auto"/>
        </w:rPr>
      </w:pPr>
    </w:p>
    <w:p>
      <w:pPr>
        <w:ind w:firstLine="8"/>
        <w:spacing w:after="0" w:line="260" w:lineRule="auto"/>
        <w:tabs>
          <w:tab w:leader="none" w:pos="406"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6"/>
          <w:szCs w:val="16"/>
          <w:color w:val="auto"/>
        </w:rPr>
      </w:pPr>
    </w:p>
    <w:p>
      <w:pPr>
        <w:jc w:val="both"/>
        <w:ind w:firstLine="8"/>
        <w:spacing w:after="0" w:line="253" w:lineRule="auto"/>
        <w:tabs>
          <w:tab w:leader="none" w:pos="411"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6"/>
          <w:szCs w:val="16"/>
          <w:color w:val="auto"/>
        </w:rPr>
      </w:pPr>
    </w:p>
    <w:p>
      <w:pPr>
        <w:jc w:val="both"/>
        <w:ind w:firstLine="656"/>
        <w:spacing w:after="0" w:line="253" w:lineRule="auto"/>
        <w:tabs>
          <w:tab w:leader="none" w:pos="1038"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right="20" w:firstLine="656"/>
        <w:spacing w:after="0" w:line="262" w:lineRule="auto"/>
        <w:tabs>
          <w:tab w:leader="none" w:pos="1167"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6"/>
          <w:szCs w:val="16"/>
          <w:color w:val="auto"/>
        </w:rPr>
      </w:pPr>
    </w:p>
    <w:p>
      <w:pPr>
        <w:ind w:firstLine="656"/>
        <w:spacing w:after="0" w:line="260" w:lineRule="auto"/>
        <w:tabs>
          <w:tab w:leader="none" w:pos="1105"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6"/>
          <w:szCs w:val="16"/>
          <w:color w:val="auto"/>
        </w:rPr>
      </w:pPr>
    </w:p>
    <w:p>
      <w:pPr>
        <w:jc w:val="both"/>
        <w:ind w:firstLine="656"/>
        <w:spacing w:after="0" w:line="262" w:lineRule="auto"/>
        <w:tabs>
          <w:tab w:leader="none" w:pos="1049"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6"/>
          <w:szCs w:val="16"/>
          <w:color w:val="auto"/>
        </w:rPr>
      </w:pPr>
    </w:p>
    <w:p>
      <w:pPr>
        <w:ind w:firstLine="8"/>
        <w:spacing w:after="0" w:line="260" w:lineRule="auto"/>
        <w:tabs>
          <w:tab w:leader="none" w:pos="36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6"/>
          <w:szCs w:val="16"/>
          <w:color w:val="auto"/>
        </w:rPr>
      </w:pPr>
    </w:p>
    <w:p>
      <w:pPr>
        <w:ind w:firstLine="656"/>
        <w:spacing w:after="0" w:line="260" w:lineRule="auto"/>
        <w:tabs>
          <w:tab w:leader="none" w:pos="1031"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6"/>
          <w:szCs w:val="16"/>
          <w:color w:val="auto"/>
        </w:rPr>
      </w:pPr>
    </w:p>
    <w:p>
      <w:pPr>
        <w:ind w:right="20" w:firstLine="656"/>
        <w:spacing w:after="0" w:line="260" w:lineRule="auto"/>
        <w:tabs>
          <w:tab w:leader="none" w:pos="1019"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580" w:type="dxa"/>
            <w:vAlign w:val="bottom"/>
          </w:tcPr>
          <w:p>
            <w:pPr>
              <w:spacing w:after="0"/>
              <w:rPr>
                <w:sz w:val="20"/>
                <w:szCs w:val="20"/>
                <w:color w:val="auto"/>
              </w:rPr>
            </w:pPr>
            <w:r>
              <w:rPr>
                <w:rFonts w:ascii="Arial" w:cs="Arial" w:eastAsia="Arial" w:hAnsi="Arial"/>
                <w:sz w:val="16"/>
                <w:szCs w:val="16"/>
                <w:color w:val="auto"/>
              </w:rPr>
              <w:t>February 27,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(Angela) Nam</w:t>
            </w:r>
          </w:p>
        </w:tc>
      </w:tr>
      <w:tr>
        <w:trPr>
          <w:trHeight w:val="206"/>
        </w:trPr>
        <w:tc>
          <w:tcPr>
            <w:tcW w:w="5580" w:type="dxa"/>
            <w:vAlign w:val="bottom"/>
          </w:tcPr>
          <w:p>
            <w:pPr>
              <w:spacing w:after="0"/>
              <w:rPr>
                <w:sz w:val="20"/>
                <w:szCs w:val="20"/>
                <w:color w:val="auto"/>
              </w:rPr>
            </w:pPr>
            <w:r>
              <w:rPr>
                <w:rFonts w:ascii="Arial" w:cs="Arial" w:eastAsia="Arial" w:hAnsi="Arial"/>
                <w:sz w:val="16"/>
                <w:szCs w:val="16"/>
                <w:color w:val="auto"/>
              </w:rPr>
              <w:t>(Date)</w:t>
            </w:r>
          </w:p>
        </w:tc>
        <w:tc>
          <w:tcPr>
            <w:tcW w:w="5600" w:type="dxa"/>
            <w:vAlign w:val="bottom"/>
          </w:tcPr>
          <w:p>
            <w:pPr>
              <w:ind w:left="20"/>
              <w:spacing w:after="0"/>
              <w:rPr>
                <w:sz w:val="20"/>
                <w:szCs w:val="20"/>
                <w:color w:val="auto"/>
              </w:rPr>
            </w:pPr>
            <w:r>
              <w:rPr>
                <w:rFonts w:ascii="Arial" w:cs="Arial" w:eastAsia="Arial" w:hAnsi="Arial"/>
                <w:sz w:val="16"/>
                <w:szCs w:val="16"/>
                <w:color w:val="auto"/>
              </w:rPr>
              <w:t>Eun (Angela) Nam</w:t>
            </w:r>
          </w:p>
        </w:tc>
      </w:tr>
      <w:tr>
        <w:trPr>
          <w:trHeight w:val="216"/>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Chief Financial Officer and Chief Accounting Officer</w:t>
            </w:r>
          </w:p>
        </w:tc>
      </w:tr>
    </w:tbl>
    <w:p>
      <w:pPr>
        <w:sectPr>
          <w:pgSz w:w="11900" w:h="16838" w:orient="portrait"/>
          <w:cols w:equalWidth="0" w:num="1">
            <w:col w:w="11240"/>
          </w:cols>
          <w:pgMar w:left="320" w:top="886" w:right="33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connection with the Annual Report on Form 10-K of FTAI Aviation Ltd. (the “Company”) for the annual period ended December 31, 2022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380" w:hanging="372"/>
        <w:spacing w:after="0"/>
        <w:tabs>
          <w:tab w:leader="none" w:pos="3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27, 2023</w:t>
      </w:r>
    </w:p>
    <w:p>
      <w:pPr>
        <w:sectPr>
          <w:pgSz w:w="11900" w:h="16838" w:orient="portrait"/>
          <w:cols w:equalWidth="0" w:num="1">
            <w:col w:w="11240"/>
          </w:cols>
          <w:pgMar w:left="320" w:top="886" w:right="3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connection with the Annual Report on Form 10-K of FTAI Aviation Ltd. (the “Company”) for the annual period ended December 31, 2022 as filed with the Securities and Exchange Commission on the date hereof (the “Report”), Eun (Angela) Nam, as Chief Financial Officer of the Company, hereby certifies, pursuant to 18 U.S.C. Section 1350, as adopted pursuant to Section 906 of the Sarbanes-Oxley Act of 2002, that, to the best of her knowledge:</w:t>
      </w:r>
    </w:p>
    <w:p>
      <w:pPr>
        <w:spacing w:after="0" w:line="221" w:lineRule="exact"/>
        <w:rPr>
          <w:sz w:val="20"/>
          <w:szCs w:val="20"/>
          <w:color w:val="auto"/>
        </w:rPr>
      </w:pPr>
    </w:p>
    <w:p>
      <w:pPr>
        <w:ind w:left="380" w:hanging="372"/>
        <w:spacing w:after="0"/>
        <w:tabs>
          <w:tab w:leader="none" w:pos="3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380" w:hanging="372"/>
        <w:spacing w:after="0"/>
        <w:tabs>
          <w:tab w:leader="none" w:pos="3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Eun (Angela)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Eun (Angela) Nam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 and Chief Accounting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27, 2023</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1)"/>
      <w:numFmt w:val="lowerRoman"/>
      <w:start w:val="5"/>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1)"/>
      <w:numFmt w:val="decimal"/>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1)"/>
      <w:numFmt w:val="lowerRoman"/>
      <w:start w:val="3"/>
    </w:lvl>
    <w:lvl w:ilvl="1">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1)"/>
      <w:numFmt w:val="decimal"/>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endash "/>
      <w:numFmt w:val="bullet"/>
      <w:start w:val="1"/>
    </w:lvl>
  </w:abstractNum>
  <w:abstractNum w:abstractNumId="32">
    <w:nsid w:val="235BA861"/>
    <w:multiLevelType w:val="hybridMultilevel"/>
    <w:lvl w:ilvl="0">
      <w:lvlJc w:val="left"/>
      <w:lvlText w:val="(%1)"/>
      <w:numFmt w:val="decimal"/>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1)"/>
      <w:numFmt w:val="lowerRoman"/>
      <w:start w:val="1"/>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1)"/>
      <w:numFmt w:val="lowerLetter"/>
      <w:start w:val="2"/>
    </w:lvl>
  </w:abstractNum>
  <w:abstractNum w:abstractNumId="40">
    <w:nsid w:val="61574095"/>
    <w:multiLevelType w:val="hybridMultilevel"/>
    <w:lvl w:ilvl="0">
      <w:lvlJc w:val="left"/>
      <w:lvlText w:val="(%1)"/>
      <w:numFmt w:val="decimal"/>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1)"/>
      <w:numFmt w:val="lowerRoman"/>
      <w:start w:val="1"/>
    </w:lvl>
  </w:abstractNum>
  <w:abstractNum w:abstractNumId="43">
    <w:nsid w:val="579BE4F1"/>
    <w:multiLevelType w:val="hybridMultilevel"/>
    <w:lvl w:ilvl="0">
      <w:lvlJc w:val="left"/>
      <w:lvlText w:val="(%1)"/>
      <w:numFmt w:val="lowerLetter"/>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1)"/>
      <w:numFmt w:val="lowerRoman"/>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1)"/>
      <w:numFmt w:val="lowerLetter"/>
      <w:start w:val="1"/>
    </w:lvl>
    <w:lvl w:ilvl="1">
      <w:lvlJc w:val="left"/>
      <w:lvlText w:val="(%2)"/>
      <w:numFmt w:val="lowerRoman"/>
      <w:start w:val="1"/>
    </w:lvl>
  </w:abstractNum>
  <w:abstractNum w:abstractNumId="52">
    <w:nsid w:val="5DB70AE5"/>
    <w:multiLevelType w:val="hybridMultilevel"/>
    <w:lvl w:ilvl="0">
      <w:lvlJc w:val="left"/>
      <w:lvlText w:val="(%1)"/>
      <w:numFmt w:val="lowerRoman"/>
      <w:start w:val="3"/>
    </w:lvl>
  </w:abstractNum>
  <w:abstractNum w:abstractNumId="53">
    <w:nsid w:val="100F8FCA"/>
    <w:multiLevelType w:val="hybridMultilevel"/>
    <w:lvl w:ilvl="0">
      <w:lvlJc w:val="left"/>
      <w:lvlText w:val="(%1)"/>
      <w:numFmt w:val="lowerLetter"/>
      <w:start w:val="6"/>
    </w:lvl>
  </w:abstractNum>
  <w:abstractNum w:abstractNumId="54">
    <w:nsid w:val="6590700B"/>
    <w:multiLevelType w:val="hybridMultilevel"/>
    <w:lvl w:ilvl="0">
      <w:lvlJc w:val="left"/>
      <w:lvlText w:val="(%1)"/>
      <w:numFmt w:val="lowerLetter"/>
      <w:start w:val="18"/>
    </w:lvl>
  </w:abstractNum>
  <w:abstractNum w:abstractNumId="55">
    <w:nsid w:val="15014ACB"/>
    <w:multiLevelType w:val="hybridMultilevel"/>
    <w:lvl w:ilvl="0">
      <w:lvlJc w:val="left"/>
      <w:lvlText w:val="(%1)"/>
      <w:numFmt w:val="lowerLetter"/>
      <w:start w:val="27"/>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3"/>
    </w:lvl>
  </w:abstractNum>
  <w:abstractNum w:abstractNumId="58">
    <w:nsid w:val="799D0247"/>
    <w:multiLevelType w:val="hybridMultilevel"/>
    <w:lvl w:ilvl="0">
      <w:lvlJc w:val="left"/>
      <w:lvlText w:val="%1"/>
      <w:numFmt w:val="lowerLetter"/>
      <w:start w:val="1"/>
    </w:lvl>
    <w:lvl w:ilvl="1">
      <w:lvlJc w:val="left"/>
      <w:lvlText w:val="(%2)"/>
      <w:numFmt w:val="lowerLetter"/>
      <w:start w:val="1"/>
    </w:lvl>
  </w:abstractNum>
  <w:abstractNum w:abstractNumId="59">
    <w:nsid w:val="6B94764"/>
    <w:multiLevelType w:val="hybridMultilevel"/>
    <w:lvl w:ilvl="0">
      <w:lvlJc w:val="left"/>
      <w:lvlText w:val="(%1)"/>
      <w:numFmt w:val="lowerLetter"/>
      <w:start w:val="35"/>
    </w:lvl>
    <w:lvl w:ilvl="1">
      <w:lvlJc w:val="left"/>
      <w:lvlText w:val="%2"/>
      <w:numFmt w:val="lowerLetter"/>
      <w:start w:val="1"/>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4"/>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Roman"/>
      <w:start w:val="4"/>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9">
    <w:nsid w:val="BF72B1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70">
    <w:nsid w:val="11447B7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1">
    <w:nsid w:val="42963E5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2">
    <w:nsid w:val="A0382C5"/>
    <w:multiLevelType w:val="hybridMultilevel"/>
    <w:lvl w:ilvl="0">
      <w:lvlJc w:val="left"/>
      <w:lvlText w:val="(%1)"/>
      <w:numFmt w:val="lowerRoman"/>
      <w:start w:val="2"/>
    </w:lvl>
  </w:abstractNum>
  <w:abstractNum w:abstractNumId="73">
    <w:nsid w:val="8F2B15E"/>
    <w:multiLevelType w:val="hybridMultilevel"/>
    <w:lvl w:ilvl="0">
      <w:lvlJc w:val="left"/>
      <w:lvlText w:val="(%1)"/>
      <w:numFmt w:val="lowerRoman"/>
      <w:start w:val="1"/>
    </w:lvl>
  </w:abstractNum>
  <w:abstractNum w:abstractNumId="74">
    <w:nsid w:val="1A32234B"/>
    <w:multiLevelType w:val="hybridMultilevel"/>
    <w:lvl w:ilvl="0">
      <w:lvlJc w:val="left"/>
      <w:lvlText w:val="(%1)"/>
      <w:numFmt w:val="lowerRoman"/>
      <w:start w:val="3"/>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lowerLetter"/>
      <w:start w:val="5"/>
    </w:lvl>
  </w:abstractNum>
  <w:abstractNum w:abstractNumId="78">
    <w:nsid w:val="60B6DF70"/>
    <w:multiLevelType w:val="hybridMultilevel"/>
    <w:lvl w:ilvl="0">
      <w:lvlJc w:val="left"/>
      <w:lvlText w:val="(%1)"/>
      <w:numFmt w:val="lowerLetter"/>
      <w:start w:val="1"/>
    </w:lvl>
    <w:lvl w:ilvl="1">
      <w:lvlJc w:val="left"/>
      <w:lvlText w:val="(%2)"/>
      <w:numFmt w:val="lowerRoman"/>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6"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7" Type="http://schemas.openxmlformats.org/officeDocument/2006/relationships/image" Target="media/image124.png"/><Relationship Id="rId140" Type="http://schemas.openxmlformats.org/officeDocument/2006/relationships/image" Target="media/image125.png"/><Relationship Id="rId142" Type="http://schemas.openxmlformats.org/officeDocument/2006/relationships/image" Target="media/image126.png"/><Relationship Id="rId145" Type="http://schemas.openxmlformats.org/officeDocument/2006/relationships/image" Target="media/image127.png"/><Relationship Id="rId147" Type="http://schemas.openxmlformats.org/officeDocument/2006/relationships/image" Target="media/image128.png"/><Relationship Id="rId150" Type="http://schemas.openxmlformats.org/officeDocument/2006/relationships/image" Target="media/image129.png"/><Relationship Id="rId152"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24" Type="http://schemas.openxmlformats.org/officeDocument/2006/relationships/hyperlink" Target="https://www.sec.gov/Archives/edgar/data/1590364/000114036122036824/ny20005522x1_defm14a.htm" TargetMode="External"/><Relationship Id="rId125" Type="http://schemas.openxmlformats.org/officeDocument/2006/relationships/hyperlink" Target="https://www.sec.gov/ix?doc=/Archives/edgar/data/0001590364/000114036122027698/brhc10040167_8k.htm" TargetMode="External"/><Relationship Id="rId127" Type="http://schemas.openxmlformats.org/officeDocument/2006/relationships/hyperlink" Target="https://www.sec.gov/ix?doc=/Archives/edgar/data/0001590364/000114036122041407/brhc10044100_8k.htm" TargetMode="External"/><Relationship Id="rId128" Type="http://schemas.openxmlformats.org/officeDocument/2006/relationships/hyperlink" Target="https://www.sec.gov/ix?doc=/Archives/edgar/data/1590364/000114036122041407/brhc10044100_8k.htm" TargetMode="External"/><Relationship Id="rId132" Type="http://schemas.openxmlformats.org/officeDocument/2006/relationships/hyperlink" Target="https://www.sec.gov/Archives/edgar/data/1590364/000114036118038650/ex4_1.htm" TargetMode="External"/><Relationship Id="rId136" Type="http://schemas.openxmlformats.org/officeDocument/2006/relationships/hyperlink" Target="https://www.sec.gov/Archives/edgar/data/1590364/000114036119009546/nc10001919x3_ex4-1.htm" TargetMode="External"/><Relationship Id="rId138" Type="http://schemas.openxmlformats.org/officeDocument/2006/relationships/hyperlink" Target="https://www.sec.gov/Archives/edgar/data/1590364/000114036120029408/brhc10018302_ex4-1.htm" TargetMode="External"/><Relationship Id="rId139" Type="http://schemas.openxmlformats.org/officeDocument/2006/relationships/hyperlink" Target="https://www.sec.gov/Archives/edgar/data/0001590364/000114036122041407/brhc10044100_ex4-1.htm" TargetMode="External"/><Relationship Id="rId141" Type="http://schemas.openxmlformats.org/officeDocument/2006/relationships/hyperlink" Target="http://www.sec.gov/Archives/edgar/data/1590364/000114036121012434/nt10022837x5_ex4-1.htm" TargetMode="External"/><Relationship Id="rId143" Type="http://schemas.openxmlformats.org/officeDocument/2006/relationships/hyperlink" Target="http://www.sec.gov/Archives/edgar/data/1590364/000114036121032467/ny20000775x4_ex4-1.htm" TargetMode="External"/><Relationship Id="rId144" Type="http://schemas.openxmlformats.org/officeDocument/2006/relationships/hyperlink" Target="https://www.sec.gov/Archives/edgar/data/0001590364/000114036122041407/brhc10044100_ex4-3.htm" TargetMode="External"/><Relationship Id="rId146" Type="http://schemas.openxmlformats.org/officeDocument/2006/relationships/hyperlink" Target="https://www.sec.gov/Archives/edgar/data/1590364/000114036120016865/nt1003669x5_ex4-1.htm" TargetMode="External"/><Relationship Id="rId148" Type="http://schemas.openxmlformats.org/officeDocument/2006/relationships/hyperlink" Target="https://www.sec.gov/Archives/edgar/data/0001590364/000114036122041407/brhc10044100_ex4-2.htm" TargetMode="External"/><Relationship Id="rId149" Type="http://schemas.openxmlformats.org/officeDocument/2006/relationships/hyperlink" Target="https://www.sec.gov/Archives/edgar/data/0001590364/000114036122041407/brhc10044100_ex4-4.htm" TargetMode="External"/><Relationship Id="rId151" Type="http://schemas.openxmlformats.org/officeDocument/2006/relationships/hyperlink" Target="https://www.sec.gov/Archives/edgar/data/1590364/000114036122027698/brhc10040167_ex10-1.htm" TargetMode="External"/><Relationship Id="rId153" Type="http://schemas.openxmlformats.org/officeDocument/2006/relationships/hyperlink" Target="https://www.sec.gov/Archives/edgar/data/1590364/000114036122041421/brhc10044020_ex10-1.htm" TargetMode="External"/><Relationship Id="rId154" Type="http://schemas.openxmlformats.org/officeDocument/2006/relationships/hyperlink" Target="https://www.sec.gov/Archives/edgar/data/1590364/000114036122041421/brhc10044020_ex10-2.htm" TargetMode="External"/><Relationship Id="rId155" Type="http://schemas.openxmlformats.org/officeDocument/2006/relationships/hyperlink" Target="https://www.sec.gov/Archives/edgar/data/1942420/000114036122029494/ny20005018x1_ex10-5.htm" TargetMode="External"/><Relationship Id="rId156" Type="http://schemas.openxmlformats.org/officeDocument/2006/relationships/hyperlink" Target="https://www.sec.gov/Archives/edgar/data/1942420/000114036122029494/ny20005018x1_ex10-6.htm" TargetMode="External"/><Relationship Id="rId157" Type="http://schemas.openxmlformats.org/officeDocument/2006/relationships/hyperlink" Target="https://www.sec.gov/Archives/edgar/data/1942420/000114036122029494/ny20005018x1_ex10-7.htm" TargetMode="External"/><Relationship Id="rId161" Type="http://schemas.openxmlformats.org/officeDocument/2006/relationships/hyperlink" Target="https://www.sec.gov/Archives/edgar/data/1590364/000114036122034108/brhc1004207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2023-02-27T06:12:16Z</dcterms:created>
  <dcterms:modified xsi:type="dcterms:W3CDTF">2023-02-27T06:12:16Z</dcterms:modified>
</cp:coreProperties>
</file>