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534670</wp:posOffset>
            </wp:positionV>
            <wp:extent cx="710628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6285"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671830</wp:posOffset>
            </wp:positionV>
            <wp:extent cx="71062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13 or 15(d)</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 the Securities Exchange Act of 1934</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October 29, 2026</w:t>
      </w: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9"/>
          <w:szCs w:val="39"/>
          <w:b w:val="1"/>
          <w:bCs w:val="1"/>
          <w:color w:val="auto"/>
        </w:rPr>
        <w:t>FTAI Aviation Ltd.</w:t>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269"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6"/>
          <w:szCs w:val="16"/>
          <w:b w:val="1"/>
          <w:bCs w:val="1"/>
          <w:color w:val="auto"/>
        </w:rPr>
        <w:t>Cayman Islands</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6"/>
          <w:szCs w:val="16"/>
          <w:b w:val="1"/>
          <w:bCs w:val="1"/>
          <w:color w:val="auto"/>
        </w:rPr>
        <w:t>001-37386</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98-1420784</w:t>
      </w:r>
    </w:p>
    <w:p>
      <w:pPr>
        <w:spacing w:after="0" w:line="46" w:lineRule="exact"/>
        <w:rPr>
          <w:sz w:val="24"/>
          <w:szCs w:val="24"/>
          <w:color w:val="auto"/>
        </w:rPr>
      </w:pPr>
    </w:p>
    <w:p>
      <w:pPr>
        <w:sectPr>
          <w:pgSz w:w="11900" w:h="16838" w:orient="portrait"/>
          <w:cols w:equalWidth="0" w:num="3">
            <w:col w:w="4620" w:space="720"/>
            <w:col w:w="2520" w:space="720"/>
            <w:col w:w="2660"/>
          </w:cols>
          <w:pgMar w:left="320" w:top="1440" w:right="339" w:bottom="1440" w:gutter="0" w:footer="0" w:header="0"/>
          <w:type w:val="continuous"/>
        </w:sectPr>
      </w:pPr>
    </w:p>
    <w:p>
      <w:pPr>
        <w:ind w:left="500"/>
        <w:spacing w:after="0"/>
        <w:rPr>
          <w:sz w:val="20"/>
          <w:szCs w:val="20"/>
          <w:color w:val="auto"/>
        </w:rPr>
      </w:pPr>
      <w:r>
        <w:rPr>
          <w:rFonts w:ascii="Times New Roman" w:cs="Times New Roman" w:eastAsia="Times New Roman" w:hAnsi="Times New Roman"/>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4040" w:space="720"/>
            <w:col w:w="2320" w:space="720"/>
            <w:col w:w="3440"/>
          </w:cols>
          <w:pgMar w:left="320" w:top="1440" w:right="339" w:bottom="1440" w:gutter="0" w:footer="0" w:header="0"/>
          <w:type w:val="continuous"/>
        </w:sectPr>
      </w:pPr>
    </w:p>
    <w:p>
      <w:pPr>
        <w:spacing w:after="0" w:line="1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405 West 13th Street, 3rd Floor, New York, New York 10014 (Address of Principal</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Executive Offices) (Zip Code)</w:t>
      </w:r>
    </w:p>
    <w:p>
      <w:pPr>
        <w:spacing w:after="0" w:line="252"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6"/>
          <w:szCs w:val="16"/>
          <w:b w:val="1"/>
          <w:bCs w:val="1"/>
          <w:color w:val="auto"/>
        </w:rPr>
        <w:t>(332) 239-7600</w:t>
      </w:r>
    </w:p>
    <w:p>
      <w:pPr>
        <w:spacing w:after="0" w:line="28"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(Former Name or Former Address, if Changed Since Last Report)</w:t>
      </w:r>
    </w:p>
    <w:p>
      <w:pPr>
        <w:spacing w:after="0" w:line="2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4" w:lineRule="exact"/>
        <w:rPr>
          <w:sz w:val="24"/>
          <w:szCs w:val="24"/>
          <w:color w:val="auto"/>
        </w:rPr>
      </w:pPr>
    </w:p>
    <w:p>
      <w:pPr>
        <w:ind w:left="400" w:hanging="311"/>
        <w:spacing w:after="0"/>
        <w:tabs>
          <w:tab w:leader="none" w:pos="4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24" w:lineRule="exact"/>
        <w:rPr>
          <w:rFonts w:ascii="MS PGothic" w:cs="MS PGothic" w:eastAsia="MS PGothic" w:hAnsi="MS PGothic"/>
          <w:sz w:val="16"/>
          <w:szCs w:val="16"/>
          <w:color w:val="auto"/>
        </w:rPr>
      </w:pPr>
    </w:p>
    <w:p>
      <w:pPr>
        <w:ind w:left="400" w:hanging="311"/>
        <w:spacing w:after="0"/>
        <w:tabs>
          <w:tab w:leader="none" w:pos="4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5" w:lineRule="exact"/>
        <w:rPr>
          <w:rFonts w:ascii="MS PGothic" w:cs="MS PGothic" w:eastAsia="MS PGothic" w:hAnsi="MS PGothic"/>
          <w:sz w:val="16"/>
          <w:szCs w:val="16"/>
          <w:color w:val="auto"/>
        </w:rPr>
      </w:pPr>
    </w:p>
    <w:p>
      <w:pPr>
        <w:ind w:left="400" w:hanging="311"/>
        <w:spacing w:after="0"/>
        <w:tabs>
          <w:tab w:leader="none" w:pos="4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5" w:lineRule="exact"/>
        <w:rPr>
          <w:rFonts w:ascii="MS PGothic" w:cs="MS PGothic" w:eastAsia="MS PGothic" w:hAnsi="MS PGothic"/>
          <w:sz w:val="16"/>
          <w:szCs w:val="16"/>
          <w:color w:val="auto"/>
        </w:rPr>
      </w:pPr>
    </w:p>
    <w:p>
      <w:pPr>
        <w:ind w:left="400" w:hanging="311"/>
        <w:spacing w:after="0"/>
        <w:tabs>
          <w:tab w:leader="none" w:pos="4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57" w:lineRule="exact"/>
        <w:rPr>
          <w:sz w:val="24"/>
          <w:szCs w:val="24"/>
          <w:color w:val="auto"/>
        </w:rPr>
      </w:pPr>
    </w:p>
    <w:p>
      <w:pPr>
        <w:ind w:left="40" w:right="100"/>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ind w:left="4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1" w:lineRule="exact"/>
        <w:rPr>
          <w:sz w:val="24"/>
          <w:szCs w:val="24"/>
          <w:color w:val="auto"/>
        </w:rPr>
      </w:pPr>
    </w:p>
    <w:p>
      <w:pPr>
        <w:ind w:left="40" w:right="540"/>
        <w:spacing w:after="0" w:line="197"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32"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120" w:type="dxa"/>
            <w:vAlign w:val="bottom"/>
          </w:tcPr>
          <w:p>
            <w:pPr>
              <w:spacing w:after="0"/>
              <w:rPr>
                <w:sz w:val="18"/>
                <w:szCs w:val="18"/>
                <w:color w:val="auto"/>
              </w:rPr>
            </w:pPr>
          </w:p>
        </w:tc>
        <w:tc>
          <w:tcPr>
            <w:tcW w:w="63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Title of each class:</w:t>
            </w: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Trading Symbol:</w:t>
            </w:r>
          </w:p>
        </w:tc>
        <w:tc>
          <w:tcPr>
            <w:tcW w:w="32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rPr>
              <w:t>Name of exchange on which registered:</w:t>
            </w:r>
          </w:p>
        </w:tc>
      </w:tr>
      <w:tr>
        <w:trPr>
          <w:trHeight w:val="207"/>
        </w:trPr>
        <w:tc>
          <w:tcPr>
            <w:tcW w:w="120" w:type="dxa"/>
            <w:vAlign w:val="bottom"/>
          </w:tcPr>
          <w:p>
            <w:pPr>
              <w:spacing w:after="0"/>
              <w:rPr>
                <w:sz w:val="17"/>
                <w:szCs w:val="17"/>
                <w:color w:val="auto"/>
              </w:rPr>
            </w:pPr>
          </w:p>
        </w:tc>
        <w:tc>
          <w:tcPr>
            <w:tcW w:w="6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Ordinary shares, $0.01 par value per share</w:t>
            </w:r>
          </w:p>
        </w:tc>
        <w:tc>
          <w:tcPr>
            <w:tcW w:w="100" w:type="dxa"/>
            <w:vAlign w:val="bottom"/>
          </w:tcPr>
          <w:p>
            <w:pPr>
              <w:spacing w:after="0"/>
              <w:rPr>
                <w:sz w:val="17"/>
                <w:szCs w:val="17"/>
                <w:color w:val="auto"/>
              </w:rPr>
            </w:pPr>
          </w:p>
        </w:tc>
        <w:tc>
          <w:tcPr>
            <w:tcW w:w="1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FTAI</w:t>
            </w:r>
          </w:p>
        </w:tc>
        <w:tc>
          <w:tcPr>
            <w:tcW w:w="80" w:type="dxa"/>
            <w:vAlign w:val="bottom"/>
          </w:tcPr>
          <w:p>
            <w:pPr>
              <w:spacing w:after="0"/>
              <w:rPr>
                <w:sz w:val="17"/>
                <w:szCs w:val="17"/>
                <w:color w:val="auto"/>
              </w:rPr>
            </w:pPr>
          </w:p>
        </w:tc>
        <w:tc>
          <w:tcPr>
            <w:tcW w:w="3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120" w:type="dxa"/>
            <w:vAlign w:val="bottom"/>
          </w:tcPr>
          <w:p>
            <w:pPr>
              <w:spacing w:after="0"/>
              <w:rPr>
                <w:sz w:val="18"/>
                <w:szCs w:val="18"/>
                <w:color w:val="auto"/>
              </w:rPr>
            </w:pPr>
          </w:p>
        </w:tc>
        <w:tc>
          <w:tcPr>
            <w:tcW w:w="63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9.50% Fixed-Rate Reset Series D Cumulative Perpetual Redeemable Preferred Shares</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6"/>
              </w:rPr>
              <w:t>FTAIM</w:t>
            </w:r>
          </w:p>
        </w:tc>
        <w:tc>
          <w:tcPr>
            <w:tcW w:w="32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color w:val="auto"/>
              </w:rPr>
              <w:t>The Nasdaq Global Select Market</w:t>
            </w:r>
          </w:p>
        </w:tc>
      </w:tr>
      <w:tr>
        <w:trPr>
          <w:trHeight w:val="627"/>
        </w:trPr>
        <w:tc>
          <w:tcPr>
            <w:tcW w:w="120" w:type="dxa"/>
            <w:vAlign w:val="bottom"/>
            <w:tcBorders>
              <w:bottom w:val="single" w:sz="8" w:color="auto"/>
            </w:tcBorders>
          </w:tcPr>
          <w:p>
            <w:pPr>
              <w:spacing w:after="0"/>
              <w:rPr>
                <w:sz w:val="24"/>
                <w:szCs w:val="24"/>
                <w:color w:val="auto"/>
              </w:rPr>
            </w:pPr>
          </w:p>
        </w:tc>
        <w:tc>
          <w:tcPr>
            <w:tcW w:w="6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35"/>
        </w:trPr>
        <w:tc>
          <w:tcPr>
            <w:tcW w:w="120" w:type="dxa"/>
            <w:vAlign w:val="bottom"/>
            <w:tcBorders>
              <w:bottom w:val="single" w:sz="8" w:color="auto"/>
            </w:tcBorders>
          </w:tcPr>
          <w:p>
            <w:pPr>
              <w:spacing w:after="0"/>
              <w:rPr>
                <w:sz w:val="11"/>
                <w:szCs w:val="11"/>
                <w:color w:val="auto"/>
              </w:rPr>
            </w:pPr>
          </w:p>
        </w:tc>
        <w:tc>
          <w:tcPr>
            <w:tcW w:w="62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69"/>
        </w:trPr>
        <w:tc>
          <w:tcPr>
            <w:tcW w:w="120" w:type="dxa"/>
            <w:vAlign w:val="bottom"/>
            <w:tcBorders>
              <w:bottom w:val="single" w:sz="8" w:color="auto"/>
            </w:tcBorders>
          </w:tcPr>
          <w:p>
            <w:pPr>
              <w:spacing w:after="0"/>
              <w:rPr>
                <w:sz w:val="14"/>
                <w:szCs w:val="14"/>
                <w:color w:val="auto"/>
              </w:rPr>
            </w:pPr>
          </w:p>
        </w:tc>
        <w:tc>
          <w:tcPr>
            <w:tcW w:w="6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35"/>
        </w:trPr>
        <w:tc>
          <w:tcPr>
            <w:tcW w:w="120" w:type="dxa"/>
            <w:vAlign w:val="bottom"/>
            <w:tcBorders>
              <w:bottom w:val="single" w:sz="8" w:color="9A9A9A"/>
            </w:tcBorders>
          </w:tcPr>
          <w:p>
            <w:pPr>
              <w:spacing w:after="0"/>
              <w:rPr>
                <w:sz w:val="24"/>
                <w:szCs w:val="24"/>
                <w:color w:val="auto"/>
              </w:rPr>
            </w:pPr>
          </w:p>
        </w:tc>
        <w:tc>
          <w:tcPr>
            <w:tcW w:w="6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ind w:left="40"/>
        <w:spacing w:after="0"/>
        <w:tabs>
          <w:tab w:leader="none" w:pos="840" w:val="left"/>
        </w:tabs>
        <w:rPr>
          <w:sz w:val="20"/>
          <w:szCs w:val="20"/>
          <w:color w:val="auto"/>
        </w:rPr>
      </w:pPr>
      <w:r>
        <w:rPr>
          <w:rFonts w:ascii="Times New Roman" w:cs="Times New Roman" w:eastAsia="Times New Roman" w:hAnsi="Times New Roman"/>
          <w:sz w:val="16"/>
          <w:szCs w:val="16"/>
          <w:b w:val="1"/>
          <w:bCs w:val="1"/>
          <w:color w:val="auto"/>
        </w:rPr>
        <w:t>Item 2.02</w:t>
        <w:tab/>
        <w:t>Results of Operations and Financial Condition.</w:t>
      </w:r>
    </w:p>
    <w:p>
      <w:pPr>
        <w:spacing w:after="0" w:line="372" w:lineRule="exact"/>
        <w:rPr>
          <w:sz w:val="20"/>
          <w:szCs w:val="20"/>
          <w:color w:val="auto"/>
        </w:rPr>
      </w:pPr>
    </w:p>
    <w:p>
      <w:pPr>
        <w:ind w:left="40" w:right="420" w:firstLine="583"/>
        <w:spacing w:after="0" w:line="272" w:lineRule="auto"/>
        <w:rPr>
          <w:sz w:val="20"/>
          <w:szCs w:val="20"/>
          <w:color w:val="auto"/>
        </w:rPr>
      </w:pPr>
      <w:r>
        <w:rPr>
          <w:rFonts w:ascii="Times New Roman" w:cs="Times New Roman" w:eastAsia="Times New Roman" w:hAnsi="Times New Roman"/>
          <w:sz w:val="16"/>
          <w:szCs w:val="16"/>
          <w:color w:val="auto"/>
        </w:rPr>
        <w:t>On October 29, 2026, FTAI Aviation Ltd. (“FTAI” or the “Company”) issued a press release announcing the Company's results for its fiscal quarter ended September 30, 2026. A copy of the Company's press release is attached to this Current Report on Form 8-K (the “Current Report”) as Exhibit 99.1 and is incorporated herein solely for purposes of this Item 2.02 disclosure.</w:t>
      </w:r>
    </w:p>
    <w:p>
      <w:pPr>
        <w:spacing w:after="0" w:line="63" w:lineRule="exact"/>
        <w:rPr>
          <w:sz w:val="20"/>
          <w:szCs w:val="20"/>
          <w:color w:val="auto"/>
        </w:rPr>
      </w:pPr>
    </w:p>
    <w:p>
      <w:pPr>
        <w:jc w:val="both"/>
        <w:ind w:right="440" w:firstLine="648"/>
        <w:spacing w:after="0" w:line="272" w:lineRule="auto"/>
        <w:rPr>
          <w:sz w:val="20"/>
          <w:szCs w:val="20"/>
          <w:color w:val="auto"/>
        </w:rPr>
      </w:pPr>
      <w:r>
        <w:rPr>
          <w:rFonts w:ascii="Times New Roman" w:cs="Times New Roman" w:eastAsia="Times New Roman" w:hAnsi="Times New Roman"/>
          <w:sz w:val="16"/>
          <w:szCs w:val="16"/>
          <w:color w:val="auto"/>
        </w:rPr>
        <w:t>This Current Report, including the exhibit attached hereto, is being furnished and shall not be deemed to be filed for purposes of Section 18 of the Securities Exchange Act of 1934, as amended (the “Exchange Act”), or otherwise subject to the liabilities of that section, nor shall it be incorporated by reference into any of the Company's filings under the Securities Act of 1933, as amended, of the Exchange Act, unless expressly set forth as being incorporated by reference into such filing.</w:t>
      </w:r>
    </w:p>
    <w:p>
      <w:pPr>
        <w:spacing w:after="0" w:line="200" w:lineRule="exact"/>
        <w:rPr>
          <w:sz w:val="20"/>
          <w:szCs w:val="20"/>
          <w:color w:val="auto"/>
        </w:rPr>
      </w:pPr>
    </w:p>
    <w:p>
      <w:pPr>
        <w:spacing w:after="0" w:line="320" w:lineRule="exact"/>
        <w:rPr>
          <w:sz w:val="20"/>
          <w:szCs w:val="20"/>
          <w:color w:val="auto"/>
        </w:rPr>
      </w:pPr>
    </w:p>
    <w:p>
      <w:pPr>
        <w:ind w:left="80"/>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Item 9.01</w:t>
        <w:tab/>
        <w:t>Financial Statements and Exhibits.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0" w:type="dxa"/>
            <w:vAlign w:val="bottom"/>
          </w:tcPr>
          <w:p>
            <w:pPr>
              <w:spacing w:after="0"/>
              <w:rPr>
                <w:sz w:val="18"/>
                <w:szCs w:val="18"/>
                <w:color w:val="auto"/>
              </w:rPr>
            </w:pPr>
          </w:p>
        </w:tc>
        <w:tc>
          <w:tcPr>
            <w:tcW w:w="130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(d) Exhibits.</w:t>
            </w:r>
          </w:p>
        </w:tc>
        <w:tc>
          <w:tcPr>
            <w:tcW w:w="9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99"/>
        </w:trPr>
        <w:tc>
          <w:tcPr>
            <w:tcW w:w="80" w:type="dxa"/>
            <w:vAlign w:val="bottom"/>
          </w:tcPr>
          <w:p>
            <w:pPr>
              <w:spacing w:after="0"/>
              <w:rPr>
                <w:sz w:val="24"/>
                <w:szCs w:val="24"/>
                <w:color w:val="auto"/>
              </w:rPr>
            </w:pPr>
          </w:p>
        </w:tc>
        <w:tc>
          <w:tcPr>
            <w:tcW w:w="1300" w:type="dxa"/>
            <w:vAlign w:val="bottom"/>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Exhibit Number</w:t>
            </w:r>
          </w:p>
        </w:tc>
        <w:tc>
          <w:tcPr>
            <w:tcW w:w="9860" w:type="dxa"/>
            <w:vAlign w:val="bottom"/>
            <w:gridSpan w:val="3"/>
          </w:tcPr>
          <w:p>
            <w:pPr>
              <w:ind w:left="448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76"/>
        </w:trPr>
        <w:tc>
          <w:tcPr>
            <w:tcW w:w="80" w:type="dxa"/>
            <w:vAlign w:val="bottom"/>
          </w:tcPr>
          <w:p>
            <w:pPr>
              <w:spacing w:after="0"/>
              <w:rPr>
                <w:sz w:val="15"/>
                <w:szCs w:val="15"/>
                <w:color w:val="auto"/>
              </w:rPr>
            </w:pPr>
          </w:p>
        </w:tc>
        <w:tc>
          <w:tcPr>
            <w:tcW w:w="760" w:type="dxa"/>
            <w:vAlign w:val="bottom"/>
            <w:tcBorders>
              <w:top w:val="single" w:sz="8" w:color="auto"/>
            </w:tcBorders>
            <w:gridSpan w:val="2"/>
          </w:tcPr>
          <w:p>
            <w:pPr>
              <w:jc w:val="center"/>
              <w:spacing w:after="0" w:line="175" w:lineRule="exact"/>
              <w:rPr>
                <w:sz w:val="20"/>
                <w:szCs w:val="20"/>
                <w:color w:val="auto"/>
              </w:rPr>
            </w:pPr>
            <w:r>
              <w:rPr>
                <w:rFonts w:ascii="Times New Roman" w:cs="Times New Roman" w:eastAsia="Times New Roman" w:hAnsi="Times New Roman"/>
                <w:sz w:val="16"/>
                <w:szCs w:val="16"/>
                <w:color w:val="0000FF"/>
              </w:rPr>
              <w:t>99.</w:t>
            </w:r>
            <w:r>
              <w:rPr>
                <w:rFonts w:ascii="Times New Roman" w:cs="Times New Roman" w:eastAsia="Times New Roman" w:hAnsi="Times New Roman"/>
                <w:sz w:val="16"/>
                <w:szCs w:val="16"/>
                <w:u w:val="single" w:color="auto"/>
                <w:color w:val="0000FF"/>
              </w:rPr>
              <w:t>1</w:t>
            </w:r>
          </w:p>
        </w:tc>
        <w:tc>
          <w:tcPr>
            <w:tcW w:w="4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760" w:type="dxa"/>
            <w:vAlign w:val="bottom"/>
            <w:tcBorders>
              <w:top w:val="single" w:sz="8" w:color="auto"/>
            </w:tcBorders>
          </w:tcPr>
          <w:p>
            <w:pPr>
              <w:ind w:left="20"/>
              <w:spacing w:after="0" w:line="175" w:lineRule="exact"/>
              <w:rPr>
                <w:sz w:val="20"/>
                <w:szCs w:val="20"/>
                <w:color w:val="auto"/>
              </w:rPr>
            </w:pPr>
            <w:r>
              <w:rPr>
                <w:rFonts w:ascii="Times New Roman" w:cs="Times New Roman" w:eastAsia="Times New Roman" w:hAnsi="Times New Roman"/>
                <w:sz w:val="16"/>
                <w:szCs w:val="16"/>
                <w:color w:val="auto"/>
              </w:rPr>
              <w:t>Press release, dated October 29, 2026, issued by FTAI Aviation Ltd.</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1"/>
        </w:trPr>
        <w:tc>
          <w:tcPr>
            <w:tcW w:w="560" w:type="dxa"/>
            <w:vAlign w:val="bottom"/>
            <w:gridSpan w:val="2"/>
          </w:tcPr>
          <w:p>
            <w:pPr>
              <w:spacing w:after="0"/>
              <w:rPr>
                <w:sz w:val="20"/>
                <w:szCs w:val="20"/>
                <w:color w:val="auto"/>
              </w:rPr>
            </w:pPr>
          </w:p>
        </w:tc>
        <w:tc>
          <w:tcPr>
            <w:tcW w:w="28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auto"/>
                <w:w w:val="99"/>
              </w:rPr>
              <w:t>104</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Cover Page Interactive Data File - the cover page XBRL tags are embedded within the Inline XBRL document.</w:t>
            </w:r>
          </w:p>
        </w:tc>
      </w:tr>
      <w:tr>
        <w:trPr>
          <w:trHeight w:val="161"/>
        </w:trPr>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453"/>
        </w:trPr>
        <w:tc>
          <w:tcPr>
            <w:tcW w:w="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7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55" w:right="33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77" w:lineRule="exact"/>
        <w:rPr>
          <w:sz w:val="20"/>
          <w:szCs w:val="20"/>
          <w:color w:val="auto"/>
        </w:rPr>
      </w:pPr>
    </w:p>
    <w:p>
      <w:pPr>
        <w:ind w:right="500" w:firstLine="583"/>
        <w:spacing w:after="0" w:line="28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205" w:lineRule="exact"/>
        <w:rPr>
          <w:sz w:val="20"/>
          <w:szCs w:val="20"/>
          <w:color w:val="auto"/>
        </w:rPr>
      </w:pPr>
    </w:p>
    <w:tbl>
      <w:tblPr>
        <w:tblLayout w:type="fixed"/>
        <w:tblInd w:w="5800" w:type="dxa"/>
        <w:tblCellMar>
          <w:top w:w="0" w:type="dxa"/>
          <w:left w:w="0" w:type="dxa"/>
          <w:bottom w:w="0" w:type="dxa"/>
          <w:right w:w="0" w:type="dxa"/>
        </w:tblCellMar>
      </w:tblPr>
      <w:tr>
        <w:trPr>
          <w:trHeight w:val="210"/>
        </w:trPr>
        <w:tc>
          <w:tcPr>
            <w:tcW w:w="1340" w:type="dxa"/>
            <w:vAlign w:val="bottom"/>
          </w:tcPr>
          <w:p>
            <w:pPr>
              <w:spacing w:after="0"/>
              <w:rPr>
                <w:sz w:val="20"/>
                <w:szCs w:val="20"/>
                <w:color w:val="auto"/>
              </w:rPr>
            </w:pPr>
            <w:r>
              <w:rPr>
                <w:rFonts w:ascii="Times New Roman" w:cs="Times New Roman" w:eastAsia="Times New Roman" w:hAnsi="Times New Roman"/>
                <w:sz w:val="16"/>
                <w:szCs w:val="16"/>
                <w:color w:val="auto"/>
              </w:rPr>
              <w:t>FTAI Aviation Ltd.</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438"/>
        </w:trPr>
        <w:tc>
          <w:tcPr>
            <w:tcW w:w="134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By:</w:t>
            </w:r>
          </w:p>
        </w:tc>
        <w:tc>
          <w:tcPr>
            <w:tcW w:w="40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/s/ Nicholas McAleese</w:t>
            </w:r>
          </w:p>
        </w:tc>
      </w:tr>
      <w:tr>
        <w:trPr>
          <w:trHeight w:val="28"/>
        </w:trPr>
        <w:tc>
          <w:tcPr>
            <w:tcW w:w="1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top w:val="single" w:sz="8" w:color="auto"/>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237"/>
        </w:trPr>
        <w:tc>
          <w:tcPr>
            <w:tcW w:w="134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Name:</w:t>
            </w:r>
          </w:p>
        </w:tc>
        <w:tc>
          <w:tcPr>
            <w:tcW w:w="40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Nicholas McAleese</w:t>
            </w:r>
          </w:p>
        </w:tc>
      </w:tr>
      <w:tr>
        <w:trPr>
          <w:trHeight w:val="216"/>
        </w:trPr>
        <w:tc>
          <w:tcPr>
            <w:tcW w:w="134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Title:</w:t>
            </w:r>
          </w:p>
        </w:tc>
        <w:tc>
          <w:tcPr>
            <w:tcW w:w="40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October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363220</wp:posOffset>
            </wp:positionV>
            <wp:extent cx="712343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23430" cy="17145"/>
                    </a:xfrm>
                    <a:prstGeom prst="rect">
                      <a:avLst/>
                    </a:prstGeom>
                    <a:noFill/>
                  </pic:spPr>
                </pic:pic>
              </a:graphicData>
            </a:graphic>
          </wp:anchor>
        </w:drawing>
      </w:r>
    </w:p>
    <w:p>
      <w:pPr>
        <w:sectPr>
          <w:pgSz w:w="11900" w:h="16838" w:orient="portrait"/>
          <w:cols w:equalWidth="0" w:num="1">
            <w:col w:w="11180"/>
          </w:cols>
          <w:pgMar w:left="360" w:top="434" w:right="3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2117090" cy="8229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117090"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FTAI Aviation Ltd. Reports Strong Third Quarter 2026 Performance and Announces $500.0 Million Accelerated Share Repurchase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2026 Highlights</w:t>
      </w:r>
    </w:p>
    <w:p>
      <w:pPr>
        <w:spacing w:after="0" w:line="63" w:lineRule="exact"/>
        <w:rPr>
          <w:sz w:val="20"/>
          <w:szCs w:val="20"/>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income attributable to shareholders up 26.8% from Q2 2026 to $149.1 million</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Adjusted EBITDA up 14.8% from Q2 2026 to $348.3 million</w:t>
      </w:r>
    </w:p>
    <w:p>
      <w:pPr>
        <w:spacing w:after="0" w:line="63" w:lineRule="exact"/>
        <w:rPr>
          <w:rFonts w:ascii="Arial" w:cs="Arial" w:eastAsia="Arial" w:hAnsi="Arial"/>
          <w:sz w:val="18"/>
          <w:szCs w:val="18"/>
          <w:color w:val="auto"/>
        </w:rPr>
      </w:pPr>
    </w:p>
    <w:p>
      <w:pPr>
        <w:ind w:left="340" w:right="380" w:hanging="332"/>
        <w:spacing w:after="0" w:line="281"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Announced a $500 million accelerated share repurchase, doubled authorization to $1.0 billion and repurchased $80 million of shares since authorization in September</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Reaffirmed 2026 and 2027 Adjusted EBITDA guidance across all business lines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Declared a $0.50 quarterly dividend per ordinary share</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NEW YORK, October 29, 2026 (GLOBE NEWSWIRE) </w:t>
      </w:r>
      <w:r>
        <w:rPr>
          <w:rFonts w:ascii="Arial" w:cs="Arial" w:eastAsia="Arial" w:hAnsi="Arial"/>
          <w:sz w:val="18"/>
          <w:szCs w:val="18"/>
          <w:color w:val="auto"/>
        </w:rPr>
        <w:t>– FTAI Aviation Ltd. (Nasdaq: FTAI) (the “Company” or “FTAI”) today reported</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results for the third quarter 2026. The Company’s consolidated comparative financial statements and key performance measures are attached as an exhibit to this press release.</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“FTAI delivered another strong quarter. Aerospace Products delivered outstanding growth with margins in line with our guidance, SCI’s new vehicle is now investing, and the Mod-1 has cleared its critical testing milestones ahead of first deliveries next year,” said Joe Adams, Chairman and CEO. “We have momentum across every part of the business and clear visibility into 2027, which is why our Board doubled our share repurchase authorization to $1.0 billion and why we announced an accelerated share repurchase alongside our regular quarterly dividend.”</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Aerospace Products</w:t>
      </w:r>
    </w:p>
    <w:p>
      <w:pPr>
        <w:spacing w:after="0" w:line="63" w:lineRule="exact"/>
        <w:rPr>
          <w:sz w:val="20"/>
          <w:szCs w:val="20"/>
          <w:color w:val="auto"/>
        </w:rPr>
      </w:pPr>
    </w:p>
    <w:p>
      <w:pPr>
        <w:ind w:left="340" w:hanging="332"/>
        <w:spacing w:after="0" w:line="251"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Generated Aerospace Products revenue of $910.0 million and Adjusted EBITDA of $282.4 million in Q3 2026, increases of 76% and 57%, respectively, compared to Q3 2025</w:t>
      </w:r>
      <w:r>
        <w:rPr>
          <w:rFonts w:ascii="Arial" w:cs="Arial" w:eastAsia="Arial" w:hAnsi="Arial"/>
          <w:sz w:val="23"/>
          <w:szCs w:val="23"/>
          <w:color w:val="auto"/>
          <w:vertAlign w:val="superscript"/>
        </w:rPr>
        <w:t>(1)</w:t>
      </w: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Delivered an Adjusted EBITDA margin of 31%, in line with the Company's 30% margin guidance</w:t>
      </w:r>
      <w:r>
        <w:rPr>
          <w:rFonts w:ascii="Arial" w:cs="Arial" w:eastAsia="Arial" w:hAnsi="Arial"/>
          <w:sz w:val="23"/>
          <w:szCs w:val="23"/>
          <w:color w:val="auto"/>
          <w:vertAlign w:val="superscript"/>
        </w:rPr>
        <w:t>(1)(2)</w:t>
      </w:r>
    </w:p>
    <w:p>
      <w:pPr>
        <w:spacing w:after="0" w:line="15"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Produced 311 CFM56 modules across the global MRE network in Q3 2026, up 50% compared to Q3 2025</w:t>
      </w:r>
    </w:p>
    <w:p>
      <w:pPr>
        <w:spacing w:after="0" w:line="42"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Year-to-date production now totals 877 modules toward the 2026 outlook of 1,200 modules</w:t>
      </w:r>
      <w:r>
        <w:rPr>
          <w:rFonts w:ascii="Arial" w:cs="Arial" w:eastAsia="Arial" w:hAnsi="Arial"/>
          <w:sz w:val="23"/>
          <w:szCs w:val="23"/>
          <w:color w:val="auto"/>
          <w:vertAlign w:val="superscript"/>
        </w:rPr>
        <w:t>(2)</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Aviation Leasing (and Strategic Capital)</w:t>
      </w:r>
    </w:p>
    <w:p>
      <w:pPr>
        <w:spacing w:after="0" w:line="63" w:lineRule="exact"/>
        <w:rPr>
          <w:sz w:val="20"/>
          <w:szCs w:val="20"/>
          <w:color w:val="auto"/>
        </w:rPr>
      </w:pPr>
    </w:p>
    <w:p>
      <w:pPr>
        <w:ind w:left="340" w:hanging="332"/>
        <w:spacing w:after="0" w:line="256"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Strategic Capital now represents more than 50% of Aviation Leasing, reflecting the success of the Company's planned transition to an asset-light model</w:t>
      </w:r>
      <w:r>
        <w:rPr>
          <w:rFonts w:ascii="Arial" w:cs="Arial" w:eastAsia="Arial" w:hAnsi="Arial"/>
          <w:sz w:val="23"/>
          <w:szCs w:val="23"/>
          <w:color w:val="auto"/>
          <w:vertAlign w:val="superscript"/>
        </w:rPr>
        <w:t>(2)</w:t>
      </w:r>
    </w:p>
    <w:p>
      <w:pPr>
        <w:spacing w:after="0" w:line="1" w:lineRule="exact"/>
        <w:rPr>
          <w:rFonts w:ascii="Arial" w:cs="Arial" w:eastAsia="Arial" w:hAnsi="Arial"/>
          <w:sz w:val="18"/>
          <w:szCs w:val="18"/>
          <w:color w:val="auto"/>
        </w:rPr>
      </w:pPr>
    </w:p>
    <w:p>
      <w:pPr>
        <w:ind w:left="340" w:hanging="332"/>
        <w:spacing w:after="0" w:line="247"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SCI I (“2025 SPV”) has closed 212 of 301 committed aircraft through September 30, 2026 and is expected to close substantially all committed aircraft by year end; paid a 5.0% distribution in Q3 2026, bringing year to date distributions to 17.5% of commitments</w:t>
      </w:r>
      <w:r>
        <w:rPr>
          <w:rFonts w:ascii="Arial" w:cs="Arial" w:eastAsia="Arial" w:hAnsi="Arial"/>
          <w:sz w:val="23"/>
          <w:szCs w:val="23"/>
          <w:color w:val="auto"/>
          <w:vertAlign w:val="superscript"/>
        </w:rPr>
        <w:t>(2)</w:t>
      </w:r>
    </w:p>
    <w:p>
      <w:pPr>
        <w:ind w:left="340" w:hanging="332"/>
        <w:spacing w:after="0" w:line="265"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SCI II ("2026 SPV") started investing in September 2026 and ended the quarter with 109 aircraft committed; closed on its $2.0 billion committed warehouse facility in August</w:t>
      </w:r>
      <w:r>
        <w:rPr>
          <w:rFonts w:ascii="Arial" w:cs="Arial" w:eastAsia="Arial" w:hAnsi="Arial"/>
          <w:sz w:val="23"/>
          <w:szCs w:val="23"/>
          <w:color w:val="auto"/>
          <w:vertAlign w:val="superscript"/>
        </w:rPr>
        <w:t>(2)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w:t>
      </w:r>
    </w:p>
    <w:p>
      <w:pPr>
        <w:spacing w:after="0" w:line="61"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More than 100 units under contract for delivery in 2027 and 2028 to customers in the U.S. and Canada</w:t>
      </w:r>
      <w:r>
        <w:rPr>
          <w:rFonts w:ascii="Arial" w:cs="Arial" w:eastAsia="Arial" w:hAnsi="Arial"/>
          <w:sz w:val="23"/>
          <w:szCs w:val="23"/>
          <w:color w:val="auto"/>
          <w:vertAlign w:val="superscript"/>
        </w:rPr>
        <w:t>(2)</w:t>
      </w:r>
    </w:p>
    <w:p>
      <w:pPr>
        <w:spacing w:after="0" w:line="25" w:lineRule="exact"/>
        <w:rPr>
          <w:rFonts w:ascii="Arial" w:cs="Arial" w:eastAsia="Arial" w:hAnsi="Arial"/>
          <w:sz w:val="18"/>
          <w:szCs w:val="18"/>
          <w:color w:val="auto"/>
        </w:rPr>
      </w:pPr>
    </w:p>
    <w:p>
      <w:pPr>
        <w:ind w:left="340" w:hanging="332"/>
        <w:spacing w:after="0" w:line="247"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Completed the Mod-1's critical testing milestones, meeting its targets of 25MW for peak power and 23MW for continuous baseload power on both natural gas and liquid fuel</w:t>
      </w:r>
      <w:r>
        <w:rPr>
          <w:rFonts w:ascii="Arial" w:cs="Arial" w:eastAsia="Arial" w:hAnsi="Arial"/>
          <w:sz w:val="23"/>
          <w:szCs w:val="23"/>
          <w:color w:val="auto"/>
          <w:vertAlign w:val="superscript"/>
        </w:rPr>
        <w:t>(2)</w:t>
      </w:r>
    </w:p>
    <w:p>
      <w:pPr>
        <w:ind w:left="340" w:hanging="332"/>
        <w:spacing w:after="0" w:line="271"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Entered into a joint venture to develop a mobile combined cycle add-on that increases Mod-1 output by 9MW and raises efficiency to above 50% with no additional fuel, emissions or water; first test units expected in the second half of 2027</w:t>
      </w:r>
      <w:r>
        <w:rPr>
          <w:rFonts w:ascii="Arial" w:cs="Arial" w:eastAsia="Arial" w:hAnsi="Arial"/>
          <w:sz w:val="23"/>
          <w:szCs w:val="23"/>
          <w:color w:val="auto"/>
          <w:vertAlign w:val="superscript"/>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Third Quarter 2026 Dividends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Company’s Board of Directors (the “Board”) declared a cash dividend on its ordinary shares of $0.50 per share for the quarter ended September 30, 2026, payable on November 23, 2026 to the holders of record on November 10, 2026.</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Additionally, the Board declared cash dividends on its Fixed-Rate Reset Series D Cumulative Perpetual Redeemable Preferred Shares (“Series D Preferred Shares”) of $0.59375 per share for the quarter ended September 30, 2026, payable on December 15, 2026 to the holders of record on December 1, 2026.</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 and Accelerated Share Repurchase</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October 27, 2026, the Board approved a $ 500.0 million increase to the Company’s share repurchase program, bringing the total authorization to $1.0 billion. Under the program, which was initially authorized on September 15, 2026, the Company has repurchased approximately $80.0 million of its ordinary shares to date at a weighted average price of $178.73 per share, including $50.0 million during the third quarter of 2026.</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the increased authorization, the Company intends to enter into an accelerated share repurchase agreement (the “ASR”) with Royal Bank of Canada to repurchase $500.0 million of its ordinary shares. The Company expects to complete the transaction during the fourth quarter of 2026. Following completion of the ASR, approximately $420.0 million will remain available under the share repurchase program which will expire in 2027.</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223" w:lineRule="exact"/>
        <w:rPr>
          <w:sz w:val="20"/>
          <w:szCs w:val="20"/>
          <w:color w:val="auto"/>
        </w:rPr>
      </w:pPr>
    </w:p>
    <w:tbl>
      <w:tblPr>
        <w:tblLayout w:type="fixed"/>
        <w:tblInd w:w="340" w:type="dxa"/>
        <w:tblCellMar>
          <w:top w:w="0" w:type="dxa"/>
          <w:left w:w="0" w:type="dxa"/>
          <w:bottom w:w="0" w:type="dxa"/>
          <w:right w:w="0" w:type="dxa"/>
        </w:tblCellMar>
      </w:tblPr>
      <w:tr>
        <w:trPr>
          <w:trHeight w:val="188"/>
        </w:trPr>
        <w:tc>
          <w:tcPr>
            <w:tcW w:w="694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 except per share data)</w:t>
            </w:r>
          </w:p>
        </w:tc>
        <w:tc>
          <w:tcPr>
            <w:tcW w:w="3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97"/>
        </w:trPr>
        <w:tc>
          <w:tcPr>
            <w:tcW w:w="6940" w:type="dxa"/>
            <w:vAlign w:val="bottom"/>
            <w:gridSpan w:val="2"/>
          </w:tcPr>
          <w:p>
            <w:pPr>
              <w:ind w:left="20"/>
              <w:spacing w:after="0" w:line="197" w:lineRule="exact"/>
              <w:rPr>
                <w:sz w:val="20"/>
                <w:szCs w:val="20"/>
                <w:color w:val="auto"/>
              </w:rPr>
            </w:pPr>
            <w:r>
              <w:rPr>
                <w:rFonts w:ascii="Arial" w:cs="Arial" w:eastAsia="Arial" w:hAnsi="Arial"/>
                <w:sz w:val="18"/>
                <w:szCs w:val="18"/>
                <w:b w:val="1"/>
                <w:bCs w:val="1"/>
                <w:color w:val="auto"/>
              </w:rPr>
              <w:t>Selected Financial Results</w:t>
            </w:r>
          </w:p>
        </w:tc>
        <w:tc>
          <w:tcPr>
            <w:tcW w:w="340" w:type="dxa"/>
            <w:vAlign w:val="bottom"/>
          </w:tcPr>
          <w:p>
            <w:pPr>
              <w:spacing w:after="0"/>
              <w:rPr>
                <w:sz w:val="17"/>
                <w:szCs w:val="17"/>
                <w:color w:val="auto"/>
              </w:rPr>
            </w:pPr>
          </w:p>
        </w:tc>
        <w:tc>
          <w:tcPr>
            <w:tcW w:w="1520" w:type="dxa"/>
            <w:vAlign w:val="bottom"/>
            <w:gridSpan w:val="2"/>
          </w:tcPr>
          <w:p>
            <w:pPr>
              <w:ind w:left="200"/>
              <w:spacing w:after="0" w:line="197" w:lineRule="exact"/>
              <w:rPr>
                <w:sz w:val="20"/>
                <w:szCs w:val="20"/>
                <w:color w:val="auto"/>
              </w:rPr>
            </w:pPr>
            <w:r>
              <w:rPr>
                <w:rFonts w:ascii="Arial" w:cs="Arial" w:eastAsia="Arial" w:hAnsi="Arial"/>
                <w:sz w:val="18"/>
                <w:szCs w:val="18"/>
                <w:b w:val="1"/>
                <w:bCs w:val="1"/>
                <w:color w:val="auto"/>
              </w:rPr>
              <w:t>Q3 2026</w:t>
            </w:r>
          </w:p>
        </w:tc>
        <w:tc>
          <w:tcPr>
            <w:tcW w:w="340" w:type="dxa"/>
            <w:vAlign w:val="bottom"/>
          </w:tcPr>
          <w:p>
            <w:pPr>
              <w:spacing w:after="0"/>
              <w:rPr>
                <w:sz w:val="17"/>
                <w:szCs w:val="17"/>
                <w:color w:val="auto"/>
              </w:rPr>
            </w:pPr>
          </w:p>
        </w:tc>
        <w:tc>
          <w:tcPr>
            <w:tcW w:w="1440" w:type="dxa"/>
            <w:vAlign w:val="bottom"/>
          </w:tcPr>
          <w:p>
            <w:pPr>
              <w:jc w:val="right"/>
              <w:ind w:right="450"/>
              <w:spacing w:after="0" w:line="197" w:lineRule="exact"/>
              <w:rPr>
                <w:sz w:val="20"/>
                <w:szCs w:val="20"/>
                <w:color w:val="auto"/>
              </w:rPr>
            </w:pPr>
            <w:r>
              <w:rPr>
                <w:rFonts w:ascii="Arial" w:cs="Arial" w:eastAsia="Arial" w:hAnsi="Arial"/>
                <w:sz w:val="18"/>
                <w:szCs w:val="18"/>
                <w:b w:val="1"/>
                <w:bCs w:val="1"/>
                <w:color w:val="auto"/>
              </w:rPr>
              <w:t>Q3 2025</w:t>
            </w:r>
          </w:p>
        </w:tc>
      </w:tr>
      <w:tr>
        <w:trPr>
          <w:trHeight w:val="20"/>
        </w:trPr>
        <w:tc>
          <w:tcPr>
            <w:tcW w:w="2280" w:type="dxa"/>
            <w:vAlign w:val="bottom"/>
            <w:tcBorders>
              <w:top w:val="single" w:sz="8" w:color="auto"/>
              <w:bottom w:val="single" w:sz="8" w:color="CCEEFF"/>
            </w:tcBorders>
          </w:tcPr>
          <w:p>
            <w:pPr>
              <w:spacing w:after="0" w:line="20" w:lineRule="exact"/>
              <w:rPr>
                <w:sz w:val="1"/>
                <w:szCs w:val="1"/>
                <w:color w:val="auto"/>
              </w:rPr>
            </w:pPr>
          </w:p>
        </w:tc>
        <w:tc>
          <w:tcPr>
            <w:tcW w:w="46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23"/>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Attributable to Shareholders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w:t>
            </w:r>
          </w:p>
        </w:tc>
      </w:tr>
      <w:tr>
        <w:trPr>
          <w:trHeight w:val="229"/>
        </w:trPr>
        <w:tc>
          <w:tcPr>
            <w:tcW w:w="69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Aerospace Products Adjusted EBITDA </w:t>
            </w:r>
            <w:r>
              <w:rPr>
                <w:rFonts w:ascii="Arial" w:cs="Arial" w:eastAsia="Arial" w:hAnsi="Arial"/>
                <w:sz w:val="23"/>
                <w:szCs w:val="23"/>
                <w:color w:val="auto"/>
                <w:vertAlign w:val="superscript"/>
              </w:rPr>
              <w:t>(1)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282.4</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180.4</w:t>
            </w:r>
          </w:p>
        </w:tc>
      </w:tr>
      <w:tr>
        <w:trPr>
          <w:trHeight w:val="230"/>
        </w:trPr>
        <w:tc>
          <w:tcPr>
            <w:tcW w:w="69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Aviation Leasing Adjusted EBITDA </w:t>
            </w:r>
            <w:r>
              <w:rPr>
                <w:rFonts w:ascii="Arial" w:cs="Arial" w:eastAsia="Arial" w:hAnsi="Arial"/>
                <w:sz w:val="23"/>
                <w:szCs w:val="23"/>
                <w:color w:val="auto"/>
                <w:vertAlign w:val="superscript"/>
              </w:rPr>
              <w:t>(1)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w:t>
            </w:r>
          </w:p>
        </w:tc>
      </w:tr>
      <w:tr>
        <w:trPr>
          <w:trHeight w:val="229"/>
        </w:trPr>
        <w:tc>
          <w:tcPr>
            <w:tcW w:w="69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Corporate &amp; Other Adjusted EBITDA </w:t>
            </w:r>
            <w:r>
              <w:rPr>
                <w:rFonts w:ascii="Arial" w:cs="Arial" w:eastAsia="Arial" w:hAnsi="Arial"/>
                <w:sz w:val="23"/>
                <w:szCs w:val="23"/>
                <w:color w:val="auto"/>
                <w:vertAlign w:val="superscript"/>
              </w:rPr>
              <w:t>(1) (3)</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(38.1)</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30"/>
        </w:trPr>
        <w:tc>
          <w:tcPr>
            <w:tcW w:w="69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Consolidated Adjusted EBITDA </w:t>
            </w:r>
            <w:r>
              <w:rPr>
                <w:rFonts w:ascii="Arial" w:cs="Arial" w:eastAsia="Arial" w:hAnsi="Arial"/>
                <w:sz w:val="23"/>
                <w:szCs w:val="23"/>
                <w:color w:val="auto"/>
                <w:vertAlign w:val="superscript"/>
              </w:rPr>
              <w:t>(1)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297.4</w:t>
            </w:r>
          </w:p>
        </w:tc>
      </w:tr>
      <w:tr>
        <w:trPr>
          <w:trHeight w:val="230"/>
        </w:trPr>
        <w:tc>
          <w:tcPr>
            <w:tcW w:w="6940" w:type="dxa"/>
            <w:vAlign w:val="bottom"/>
            <w:gridSpan w:val="2"/>
          </w:tcPr>
          <w:p>
            <w:pPr>
              <w:ind w:left="20"/>
              <w:spacing w:after="0"/>
              <w:rPr>
                <w:sz w:val="20"/>
                <w:szCs w:val="20"/>
                <w:color w:val="auto"/>
              </w:rPr>
            </w:pPr>
            <w:r>
              <w:rPr>
                <w:rFonts w:ascii="Arial" w:cs="Arial" w:eastAsia="Arial" w:hAnsi="Arial"/>
                <w:sz w:val="18"/>
                <w:szCs w:val="18"/>
                <w:color w:val="auto"/>
              </w:rPr>
              <w:t>Basic Earnings per Ordinary Share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1.45</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30"/>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Diluted Earnings per Ordinary Share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r>
    </w:tbl>
    <w:p>
      <w:pPr>
        <w:spacing w:after="0" w:line="166" w:lineRule="exact"/>
        <w:rPr>
          <w:sz w:val="20"/>
          <w:szCs w:val="20"/>
          <w:color w:val="auto"/>
        </w:rPr>
      </w:pPr>
    </w:p>
    <w:p>
      <w:pPr>
        <w:ind w:left="560" w:hanging="210"/>
        <w:spacing w:after="0"/>
        <w:tabs>
          <w:tab w:leader="none" w:pos="560" w:val="left"/>
        </w:tabs>
        <w:numPr>
          <w:ilvl w:val="0"/>
          <w:numId w:val="6"/>
        </w:numPr>
        <w:rPr>
          <w:rFonts w:ascii="Arial" w:cs="Arial" w:eastAsia="Arial" w:hAnsi="Arial"/>
          <w:sz w:val="14"/>
          <w:szCs w:val="14"/>
          <w:color w:val="auto"/>
        </w:rPr>
      </w:pPr>
      <w:r>
        <w:rPr>
          <w:rFonts w:ascii="Arial" w:cs="Arial" w:eastAsia="Arial" w:hAnsi="Arial"/>
          <w:sz w:val="14"/>
          <w:szCs w:val="14"/>
          <w:color w:val="auto"/>
        </w:rPr>
        <w:t>For definitions and reconciliations of non-GAAP measures, please refer to the exhibit to this press release.</w:t>
      </w:r>
    </w:p>
    <w:p>
      <w:pPr>
        <w:spacing w:after="0" w:line="68" w:lineRule="exact"/>
        <w:rPr>
          <w:rFonts w:ascii="Arial" w:cs="Arial" w:eastAsia="Arial" w:hAnsi="Arial"/>
          <w:sz w:val="14"/>
          <w:szCs w:val="14"/>
          <w:color w:val="auto"/>
        </w:rPr>
      </w:pPr>
    </w:p>
    <w:p>
      <w:pPr>
        <w:ind w:left="560" w:hanging="210"/>
        <w:spacing w:after="0"/>
        <w:tabs>
          <w:tab w:leader="none" w:pos="56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This is a forward-looking statement. Please see Cautionary Note Regarding Forward-Looking Statements below.</w:t>
      </w:r>
    </w:p>
    <w:p>
      <w:pPr>
        <w:spacing w:after="0" w:line="68" w:lineRule="exact"/>
        <w:rPr>
          <w:rFonts w:ascii="Arial" w:cs="Arial" w:eastAsia="Arial" w:hAnsi="Arial"/>
          <w:sz w:val="14"/>
          <w:szCs w:val="14"/>
          <w:color w:val="auto"/>
        </w:rPr>
      </w:pPr>
    </w:p>
    <w:p>
      <w:pPr>
        <w:ind w:left="560" w:hanging="210"/>
        <w:spacing w:after="0"/>
        <w:tabs>
          <w:tab w:leader="none" w:pos="56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Eliminations of $(5.1) million and $(3.9) million for the three months ended September 30, 2026 and 2025, respectively.</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87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Additional Information</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For additional information that management believes to be useful for investors, please refer to the presentation posted on the Investor Center section of the Company’s website, </w:t>
      </w:r>
      <w:r>
        <w:rPr>
          <w:rFonts w:ascii="Arial" w:cs="Arial" w:eastAsia="Arial" w:hAnsi="Arial"/>
          <w:sz w:val="18"/>
          <w:szCs w:val="18"/>
          <w:color w:val="0E32E1"/>
        </w:rPr>
        <w:t>https://www.ftaiaviation.com</w:t>
      </w:r>
      <w:r>
        <w:rPr>
          <w:rFonts w:ascii="Arial" w:cs="Arial" w:eastAsia="Arial" w:hAnsi="Arial"/>
          <w:sz w:val="18"/>
          <w:szCs w:val="18"/>
          <w:color w:val="auto"/>
        </w:rPr>
        <w:t>, and the Company’s Annual Report on Form 10-K and Quarterly Report on Form 10-Q, when available on the Company’s website. Nothing on the Company’s website is included or incorporated by reference herein.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1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In addition, management will host a conference call on Thursday, October 29, 2026 at 8:00 A.M. Eastern Time. The conference call may be accessed by registering via the following link </w:t>
      </w:r>
      <w:r>
        <w:rPr>
          <w:rFonts w:ascii="Arial" w:cs="Arial" w:eastAsia="Arial" w:hAnsi="Arial"/>
          <w:sz w:val="18"/>
          <w:szCs w:val="18"/>
          <w:color w:val="0E32E1"/>
        </w:rPr>
        <w:t>https://edge.media-server.com/mmc/pfjygn2vk.</w:t>
      </w:r>
      <w:r>
        <w:rPr>
          <w:rFonts w:ascii="Arial" w:cs="Arial" w:eastAsia="Arial" w:hAnsi="Arial"/>
          <w:sz w:val="18"/>
          <w:szCs w:val="18"/>
          <w:color w:val="auto"/>
        </w:rPr>
        <w:t xml:space="preserve"> Once registered, participants will receive a dial-in and unique pin to access the call.</w:t>
      </w:r>
    </w:p>
    <w:p>
      <w:pPr>
        <w:spacing w:after="0" w:line="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A simultaneous webcast of the conference call will be available to the public on a listen-only basis at </w:t>
      </w:r>
      <w:r>
        <w:rPr>
          <w:rFonts w:ascii="Arial" w:cs="Arial" w:eastAsia="Arial" w:hAnsi="Arial"/>
          <w:sz w:val="18"/>
          <w:szCs w:val="18"/>
          <w:color w:val="0E32E1"/>
        </w:rPr>
        <w:t>https://www.ftaiaviation.com</w:t>
      </w:r>
      <w:r>
        <w:rPr>
          <w:rFonts w:ascii="Arial" w:cs="Arial" w:eastAsia="Arial" w:hAnsi="Arial"/>
          <w:sz w:val="18"/>
          <w:szCs w:val="18"/>
          <w:color w:val="auto"/>
        </w:rPr>
        <w:t>. Please allow extra time prior to the call to visit the site and download the necessary software required to listen to the internet broadcast.</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A replay of the conference call will be available after 11:30 A.M. on Thursday, October 29, 2026 through 11:30 A.M. on Thursday, November 5, 2026 on </w:t>
      </w:r>
      <w:r>
        <w:rPr>
          <w:rFonts w:ascii="Arial" w:cs="Arial" w:eastAsia="Arial" w:hAnsi="Arial"/>
          <w:sz w:val="18"/>
          <w:szCs w:val="18"/>
          <w:color w:val="0E32E1"/>
        </w:rPr>
        <w:t>https://ir.ftaiaviation.com/news-events/event-calendar</w:t>
      </w:r>
      <w:r>
        <w:rPr>
          <w:rFonts w:ascii="Arial" w:cs="Arial" w:eastAsia="Arial" w:hAnsi="Arial"/>
          <w:sz w:val="18"/>
          <w:szCs w:val="18"/>
          <w:color w:val="auto"/>
        </w:rPr>
        <w:t>.</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information contained on, or accessible through, any websites included in this press release is not incorporated by reference into, and should not be considered a part of, this press release.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FTAI Aviation Ltd.</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FTAI combines advanced turbine technology and asset ownership to power the world’s most essential markets. Additional information is available at </w:t>
      </w:r>
      <w:r>
        <w:rPr>
          <w:rFonts w:ascii="Arial" w:cs="Arial" w:eastAsia="Arial" w:hAnsi="Arial"/>
          <w:sz w:val="18"/>
          <w:szCs w:val="18"/>
          <w:color w:val="0E32E1"/>
        </w:rPr>
        <w:t>https://www.ftaiaviation.com.</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7" w:lineRule="exact"/>
        <w:rPr>
          <w:sz w:val="20"/>
          <w:szCs w:val="20"/>
          <w:color w:val="auto"/>
        </w:rPr>
      </w:pPr>
    </w:p>
    <w:p>
      <w:pPr>
        <w:ind w:right="40"/>
        <w:spacing w:after="0"/>
        <w:rPr>
          <w:sz w:val="20"/>
          <w:szCs w:val="20"/>
          <w:color w:val="auto"/>
        </w:rPr>
      </w:pPr>
      <w:r>
        <w:rPr>
          <w:rFonts w:ascii="Arial" w:cs="Arial" w:eastAsia="Arial" w:hAnsi="Arial"/>
          <w:sz w:val="18"/>
          <w:szCs w:val="18"/>
          <w:color w:val="auto"/>
        </w:rPr>
        <w:t>Certain statements in this press release may constitute forward-looking statements within the meaning of the Private Securities Litigation Reform Act of 1995, including, but not limited to, whether FTAI will be able to expand market share, annual module production outlooks, FTAI Power’s ability to meet Mod-1 delivery targets and the expected timing of combined cycle test units, the ability to convert Mod-1s under contract to actual sales, the ability of the 2025 SPV to close on committed aircraft and of the 2026 SPV to deploy capital, the timing and completion of the accelerated share repurchase and any further repurchases under the share repurchase program, 2026 or 2027 Adjusted EBITDA guidance and the ability to deliver sustained growth and long-term value for our shareholders. These statements are based on management's current expectations and beliefs and are subject to a number of trends and uncertainties that could cause actual results to differ materially from those described in the forward-looking statements, many of which are beyond the Company’s control. The Company can give no assurance that its expectations will be attained and such differences may be material. Accordingly, you should not place undue reliance on any forward-looking statements contained in this press release. For a discussion of some of the risks and important factors that could affect such forward-looking statements, see the sections entitled “Risk Factors” and “Management’s Discussion and Analysis of Financial Condition and Results of Operations” in the Company’s most recent Annual Report on Form 10-K and Quarterly Reports on Form 10-Q, which are available on the Company’s website (www.ftaiaviation.com). In addition, new risks and uncertainties emerge from time to time, and it is not possible for the Company to predict or assess the impact of every factor that may cause its actual results to differ from those contained in any forward-looking statements. Such forward-looking statements speak only as of the date of this press release. The Company expressly disclaims any obligation to release publicly any updates or revisions to any forward-looking statements contained herein to reflect any change in the Company's expectations with regard thereto or change in events, conditions, or circumstances on which any statement is based. This release shall not constitute an offer to sell or the solicitation of an offer to buy any securities.</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For further information, please contact: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117" w:lineRule="exact"/>
        <w:rPr>
          <w:sz w:val="20"/>
          <w:szCs w:val="20"/>
          <w:color w:val="auto"/>
        </w:rPr>
      </w:pPr>
    </w:p>
    <w:p>
      <w:pPr>
        <w:sectPr>
          <w:pgSz w:w="11900" w:h="16838" w:orient="portrait"/>
          <w:cols w:equalWidth="0" w:num="2">
            <w:col w:w="5120" w:space="720"/>
            <w:col w:w="5400"/>
          </w:cols>
          <w:pgMar w:left="320" w:top="931"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Charlie Arestia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Tim Lynch / Kelly Sullivan</w:t>
      </w:r>
    </w:p>
    <w:p>
      <w:pPr>
        <w:spacing w:after="0" w:line="43" w:lineRule="exact"/>
        <w:rPr>
          <w:sz w:val="20"/>
          <w:szCs w:val="20"/>
          <w:color w:val="auto"/>
        </w:rPr>
      </w:pPr>
    </w:p>
    <w:p>
      <w:pPr>
        <w:sectPr>
          <w:pgSz w:w="11900" w:h="16838" w:orient="portrait"/>
          <w:cols w:equalWidth="0" w:num="2">
            <w:col w:w="5120" w:space="720"/>
            <w:col w:w="5400"/>
          </w:cols>
          <w:pgMar w:left="320" w:top="931"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Investor Relations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Joele Frank, Wilkinson Brimmer Katcher</w:t>
      </w:r>
    </w:p>
    <w:p>
      <w:pPr>
        <w:spacing w:after="0" w:line="9" w:lineRule="exact"/>
        <w:rPr>
          <w:sz w:val="20"/>
          <w:szCs w:val="20"/>
          <w:color w:val="auto"/>
        </w:rPr>
      </w:pPr>
    </w:p>
    <w:p>
      <w:pPr>
        <w:sectPr>
          <w:pgSz w:w="11900" w:h="16838" w:orient="portrait"/>
          <w:cols w:equalWidth="0" w:num="2">
            <w:col w:w="5120" w:space="720"/>
            <w:col w:w="5400"/>
          </w:cols>
          <w:pgMar w:left="320" w:top="931"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FTAI Aviation Ltd.</w:t>
      </w:r>
    </w:p>
    <w:p>
      <w:pPr>
        <w:spacing w:after="0" w:line="20" w:lineRule="exact"/>
        <w:rPr>
          <w:sz w:val="20"/>
          <w:szCs w:val="20"/>
          <w:color w:val="auto"/>
        </w:rPr>
      </w:pPr>
      <w:r>
        <w:rPr>
          <w:sz w:val="20"/>
          <w:szCs w:val="20"/>
          <w:color w:val="auto"/>
        </w:rPr>
        <w:br w:type="column"/>
      </w:r>
    </w:p>
    <w:p>
      <w:pPr>
        <w:jc w:val="center"/>
        <w:ind w:right="4160"/>
        <w:spacing w:after="0"/>
        <w:rPr>
          <w:sz w:val="20"/>
          <w:szCs w:val="20"/>
          <w:color w:val="auto"/>
        </w:rPr>
      </w:pPr>
      <w:r>
        <w:rPr>
          <w:rFonts w:ascii="Arial" w:cs="Arial" w:eastAsia="Arial" w:hAnsi="Arial"/>
          <w:sz w:val="18"/>
          <w:szCs w:val="18"/>
          <w:color w:val="auto"/>
        </w:rPr>
        <w:t>(212) 355-4449</w:t>
      </w:r>
    </w:p>
    <w:p>
      <w:pPr>
        <w:spacing w:after="0" w:line="9" w:lineRule="exact"/>
        <w:rPr>
          <w:sz w:val="20"/>
          <w:szCs w:val="20"/>
          <w:color w:val="auto"/>
        </w:rPr>
      </w:pPr>
    </w:p>
    <w:p>
      <w:pPr>
        <w:sectPr>
          <w:pgSz w:w="11900" w:h="16838" w:orient="portrait"/>
          <w:cols w:equalWidth="0" w:num="2">
            <w:col w:w="5120" w:space="720"/>
            <w:col w:w="5400"/>
          </w:cols>
          <w:pgMar w:left="320" w:top="931" w:right="33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(646) 276-4418</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8"/>
          <w:szCs w:val="18"/>
          <w:color w:val="0000FF"/>
        </w:rPr>
        <w:t>ir@ftaiaviation.com</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40"/>
          </w:cols>
          <w:pgMar w:left="320" w:top="931"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color w:val="auto"/>
        </w:rPr>
        <w:t>Exhibit - Financial Statements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FTAI AVIATION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(Dollar amounts in thousands, except share and per share data)</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10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7"/>
                <w:szCs w:val="17"/>
                <w:color w:val="auto"/>
              </w:rPr>
            </w:pPr>
          </w:p>
        </w:tc>
        <w:tc>
          <w:tcPr>
            <w:tcW w:w="3000" w:type="dxa"/>
            <w:vAlign w:val="bottom"/>
            <w:gridSpan w:val="4"/>
          </w:tcPr>
          <w:p>
            <w:pPr>
              <w:jc w:val="right"/>
              <w:ind w:right="388"/>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6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2025</w:t>
            </w:r>
          </w:p>
        </w:tc>
      </w:tr>
      <w:tr>
        <w:trPr>
          <w:trHeight w:val="183"/>
        </w:trPr>
        <w:tc>
          <w:tcPr>
            <w:tcW w:w="46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02"/>
        </w:trPr>
        <w:tc>
          <w:tcPr>
            <w:tcW w:w="4600" w:type="dxa"/>
            <w:vAlign w:val="bottom"/>
          </w:tcPr>
          <w:p>
            <w:pPr>
              <w:ind w:left="20"/>
              <w:spacing w:after="0"/>
              <w:rPr>
                <w:sz w:val="20"/>
                <w:szCs w:val="20"/>
                <w:color w:val="auto"/>
              </w:rPr>
            </w:pPr>
            <w:r>
              <w:rPr>
                <w:rFonts w:ascii="Arial" w:cs="Arial" w:eastAsia="Arial" w:hAnsi="Arial"/>
                <w:sz w:val="14"/>
                <w:szCs w:val="14"/>
                <w:color w:val="auto"/>
              </w:rPr>
              <w:t>Aerospace products revenue</w:t>
            </w: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780,598</w:t>
            </w:r>
          </w:p>
        </w:tc>
        <w:tc>
          <w:tcPr>
            <w:tcW w:w="10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459,206</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b w:val="1"/>
                <w:bCs w:val="1"/>
                <w:color w:val="auto"/>
              </w:rPr>
              <w:t>1,995,412</w:t>
            </w:r>
          </w:p>
        </w:tc>
        <w:tc>
          <w:tcPr>
            <w:tcW w:w="80" w:type="dxa"/>
            <w:vAlign w:val="bottom"/>
          </w:tcPr>
          <w:p>
            <w:pPr>
              <w:spacing w:after="0"/>
              <w:rPr>
                <w:sz w:val="17"/>
                <w:szCs w:val="17"/>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1,144,317</w:t>
            </w:r>
          </w:p>
        </w:tc>
      </w:tr>
      <w:tr>
        <w:trPr>
          <w:trHeight w:val="203"/>
        </w:trPr>
        <w:tc>
          <w:tcPr>
            <w:tcW w:w="4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MRE Contract revenue - affiliate</w:t>
            </w: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129,408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58,663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533,437</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228,886</w:t>
            </w:r>
          </w:p>
        </w:tc>
      </w:tr>
      <w:tr>
        <w:trPr>
          <w:trHeight w:val="202"/>
        </w:trPr>
        <w:tc>
          <w:tcPr>
            <w:tcW w:w="4600" w:type="dxa"/>
            <w:vAlign w:val="bottom"/>
          </w:tcPr>
          <w:p>
            <w:pPr>
              <w:ind w:left="20"/>
              <w:spacing w:after="0"/>
              <w:rPr>
                <w:sz w:val="20"/>
                <w:szCs w:val="20"/>
                <w:color w:val="auto"/>
              </w:rPr>
            </w:pPr>
            <w:r>
              <w:rPr>
                <w:rFonts w:ascii="Arial" w:cs="Arial" w:eastAsia="Arial" w:hAnsi="Arial"/>
                <w:sz w:val="14"/>
                <w:szCs w:val="14"/>
                <w:color w:val="auto"/>
              </w:rPr>
              <w:t>Lease income</w:t>
            </w: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25,281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55,072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b w:val="1"/>
                <w:bCs w:val="1"/>
                <w:color w:val="auto"/>
              </w:rPr>
              <w:t>92,938</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185,951</w:t>
            </w:r>
          </w:p>
        </w:tc>
      </w:tr>
      <w:tr>
        <w:trPr>
          <w:trHeight w:val="203"/>
        </w:trPr>
        <w:tc>
          <w:tcPr>
            <w:tcW w:w="4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Maintenance revenue</w:t>
            </w: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27,292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52,370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83,684</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175,081</w:t>
            </w:r>
          </w:p>
        </w:tc>
      </w:tr>
      <w:tr>
        <w:trPr>
          <w:trHeight w:val="202"/>
        </w:trPr>
        <w:tc>
          <w:tcPr>
            <w:tcW w:w="4600" w:type="dxa"/>
            <w:vAlign w:val="bottom"/>
          </w:tcPr>
          <w:p>
            <w:pPr>
              <w:ind w:left="20"/>
              <w:spacing w:after="0"/>
              <w:rPr>
                <w:sz w:val="20"/>
                <w:szCs w:val="20"/>
                <w:color w:val="auto"/>
              </w:rPr>
            </w:pPr>
            <w:r>
              <w:rPr>
                <w:rFonts w:ascii="Arial" w:cs="Arial" w:eastAsia="Arial" w:hAnsi="Arial"/>
                <w:sz w:val="14"/>
                <w:szCs w:val="14"/>
                <w:color w:val="auto"/>
              </w:rPr>
              <w:t>Asset sales revenue</w:t>
            </w: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5,886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38,461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b w:val="1"/>
                <w:bCs w:val="1"/>
                <w:color w:val="auto"/>
              </w:rPr>
              <w:t>32,995</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105,315</w:t>
            </w:r>
          </w:p>
        </w:tc>
      </w:tr>
      <w:tr>
        <w:trPr>
          <w:trHeight w:val="203"/>
        </w:trPr>
        <w:tc>
          <w:tcPr>
            <w:tcW w:w="4600" w:type="dxa"/>
            <w:vAlign w:val="bottom"/>
            <w:shd w:val="clear" w:color="auto" w:fill="CCEEFF"/>
          </w:tcPr>
          <w:p>
            <w:pPr>
              <w:ind w:left="20"/>
              <w:spacing w:after="0" w:line="203" w:lineRule="exact"/>
              <w:rPr>
                <w:sz w:val="20"/>
                <w:szCs w:val="20"/>
                <w:color w:val="auto"/>
              </w:rPr>
            </w:pPr>
            <w:r>
              <w:rPr>
                <w:rFonts w:ascii="Arial" w:cs="Arial" w:eastAsia="Arial" w:hAnsi="Arial"/>
                <w:sz w:val="14"/>
                <w:szCs w:val="14"/>
                <w:color w:val="auto"/>
              </w:rPr>
              <w:t xml:space="preserve">Other revenue </w:t>
            </w:r>
            <w:r>
              <w:rPr>
                <w:rFonts w:ascii="Arial" w:cs="Arial" w:eastAsia="Arial" w:hAnsi="Arial"/>
                <w:sz w:val="18"/>
                <w:szCs w:val="18"/>
                <w:color w:val="auto"/>
                <w:vertAlign w:val="superscript"/>
              </w:rPr>
              <w:t>(1)</w:t>
            </w:r>
          </w:p>
        </w:tc>
        <w:tc>
          <w:tcPr>
            <w:tcW w:w="2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9,192</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3,292</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22,973</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5,831</w:t>
            </w:r>
          </w:p>
        </w:tc>
      </w:tr>
      <w:tr>
        <w:trPr>
          <w:trHeight w:val="195"/>
        </w:trPr>
        <w:tc>
          <w:tcPr>
            <w:tcW w:w="4600" w:type="dxa"/>
            <w:vAlign w:val="bottom"/>
          </w:tcPr>
          <w:p>
            <w:pPr>
              <w:ind w:left="20"/>
              <w:spacing w:after="0"/>
              <w:rPr>
                <w:sz w:val="20"/>
                <w:szCs w:val="20"/>
                <w:color w:val="auto"/>
              </w:rPr>
            </w:pPr>
            <w:r>
              <w:rPr>
                <w:rFonts w:ascii="Arial" w:cs="Arial" w:eastAsia="Arial" w:hAnsi="Arial"/>
                <w:sz w:val="14"/>
                <w:szCs w:val="14"/>
                <w:color w:val="auto"/>
              </w:rPr>
              <w:t>Total revenues</w:t>
            </w: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977,657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667,064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b w:val="1"/>
                <w:bCs w:val="1"/>
                <w:color w:val="auto"/>
              </w:rPr>
              <w:t>2,761,439</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1,845,381</w:t>
            </w:r>
          </w:p>
        </w:tc>
      </w:tr>
      <w:tr>
        <w:trPr>
          <w:trHeight w:val="217"/>
        </w:trPr>
        <w:tc>
          <w:tcPr>
            <w:tcW w:w="4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01"/>
        </w:trPr>
        <w:tc>
          <w:tcPr>
            <w:tcW w:w="460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4"/>
        </w:trPr>
        <w:tc>
          <w:tcPr>
            <w:tcW w:w="4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sales</w:t>
            </w: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623,821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362,922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1,783,871</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980,894</w:t>
            </w:r>
          </w:p>
        </w:tc>
      </w:tr>
      <w:tr>
        <w:trPr>
          <w:trHeight w:val="201"/>
        </w:trPr>
        <w:tc>
          <w:tcPr>
            <w:tcW w:w="460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62,327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39,092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b w:val="1"/>
                <w:bCs w:val="1"/>
                <w:color w:val="auto"/>
              </w:rPr>
              <w:t>175,434</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105,858</w:t>
            </w:r>
          </w:p>
        </w:tc>
      </w:tr>
      <w:tr>
        <w:trPr>
          <w:trHeight w:val="204"/>
        </w:trPr>
        <w:tc>
          <w:tcPr>
            <w:tcW w:w="4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22,014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41,461</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1"/>
        </w:trPr>
        <w:tc>
          <w:tcPr>
            <w:tcW w:w="460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2,305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1,829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b w:val="1"/>
                <w:bCs w:val="1"/>
                <w:color w:val="auto"/>
              </w:rPr>
              <w:t>6,963</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7,387</w:t>
            </w:r>
          </w:p>
        </w:tc>
      </w:tr>
      <w:tr>
        <w:trPr>
          <w:trHeight w:val="204"/>
        </w:trPr>
        <w:tc>
          <w:tcPr>
            <w:tcW w:w="4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5,030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7,066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27,090</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18,847</w:t>
            </w:r>
          </w:p>
        </w:tc>
      </w:tr>
      <w:tr>
        <w:trPr>
          <w:trHeight w:val="201"/>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Depreciation and amortization</w:t>
            </w: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43,295</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55,278</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142,570</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170,076</w:t>
            </w:r>
          </w:p>
        </w:tc>
      </w:tr>
      <w:tr>
        <w:trPr>
          <w:trHeight w:val="197"/>
        </w:trPr>
        <w:tc>
          <w:tcPr>
            <w:tcW w:w="4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expenses</w:t>
            </w: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758,792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466,187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2,177,389</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1,283,062</w:t>
            </w:r>
          </w:p>
        </w:tc>
      </w:tr>
      <w:tr>
        <w:trPr>
          <w:trHeight w:val="270"/>
        </w:trPr>
        <w:tc>
          <w:tcPr>
            <w:tcW w:w="4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03"/>
        </w:trPr>
        <w:tc>
          <w:tcPr>
            <w:tcW w:w="46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(expense) income</w:t>
            </w: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02"/>
        </w:trPr>
        <w:tc>
          <w:tcPr>
            <w:tcW w:w="460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(65,119)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(60,784)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(190,628)</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(186,789)</w:t>
            </w:r>
          </w:p>
        </w:tc>
      </w:tr>
      <w:tr>
        <w:trPr>
          <w:trHeight w:val="203"/>
        </w:trPr>
        <w:tc>
          <w:tcPr>
            <w:tcW w:w="4600" w:type="dxa"/>
            <w:vAlign w:val="bottom"/>
            <w:shd w:val="clear" w:color="auto" w:fill="CCEEFF"/>
          </w:tcPr>
          <w:p>
            <w:pPr>
              <w:ind w:left="20"/>
              <w:spacing w:after="0" w:line="203" w:lineRule="exact"/>
              <w:rPr>
                <w:sz w:val="20"/>
                <w:szCs w:val="20"/>
                <w:color w:val="auto"/>
              </w:rPr>
            </w:pPr>
            <w:r>
              <w:rPr>
                <w:rFonts w:ascii="Arial" w:cs="Arial" w:eastAsia="Arial" w:hAnsi="Arial"/>
                <w:sz w:val="14"/>
                <w:szCs w:val="14"/>
                <w:color w:val="auto"/>
              </w:rPr>
              <w:t xml:space="preserve">Equity in earnings (losses) of unconsolidated entities </w:t>
            </w:r>
            <w:r>
              <w:rPr>
                <w:rFonts w:ascii="Arial" w:cs="Arial" w:eastAsia="Arial" w:hAnsi="Arial"/>
                <w:sz w:val="18"/>
                <w:szCs w:val="18"/>
                <w:color w:val="auto"/>
                <w:vertAlign w:val="superscript"/>
              </w:rPr>
              <w:t>(2)</w:t>
            </w: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16,933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24,540</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(16,841)</w:t>
            </w:r>
          </w:p>
        </w:tc>
      </w:tr>
      <w:tr>
        <w:trPr>
          <w:trHeight w:val="201"/>
        </w:trPr>
        <w:tc>
          <w:tcPr>
            <w:tcW w:w="4600" w:type="dxa"/>
            <w:vAlign w:val="bottom"/>
          </w:tcPr>
          <w:p>
            <w:pPr>
              <w:ind w:left="20"/>
              <w:spacing w:after="0"/>
              <w:rPr>
                <w:sz w:val="20"/>
                <w:szCs w:val="20"/>
                <w:color w:val="auto"/>
              </w:rPr>
            </w:pPr>
            <w:r>
              <w:rPr>
                <w:rFonts w:ascii="Arial" w:cs="Arial" w:eastAsia="Arial" w:hAnsi="Arial"/>
                <w:sz w:val="14"/>
                <w:szCs w:val="14"/>
                <w:color w:val="auto"/>
              </w:rPr>
              <w:t>Gain on sale to the 2025 Partnership - affiliate</w:t>
            </w:r>
          </w:p>
        </w:tc>
        <w:tc>
          <w:tcPr>
            <w:tcW w:w="260" w:type="dxa"/>
            <w:vAlign w:val="bottom"/>
          </w:tcPr>
          <w:p>
            <w:pPr>
              <w:spacing w:after="0"/>
              <w:rPr>
                <w:sz w:val="17"/>
                <w:szCs w:val="17"/>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4,609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b w:val="1"/>
                <w:bCs w:val="1"/>
                <w:color w:val="auto"/>
              </w:rPr>
              <w:t>17,633</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50,083</w:t>
            </w:r>
          </w:p>
        </w:tc>
      </w:tr>
      <w:tr>
        <w:trPr>
          <w:trHeight w:val="203"/>
        </w:trPr>
        <w:tc>
          <w:tcPr>
            <w:tcW w:w="4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w:t>
            </w:r>
          </w:p>
        </w:tc>
        <w:tc>
          <w:tcPr>
            <w:tcW w:w="2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2,168</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3,570</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57,324</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63,797</w:t>
            </w:r>
          </w:p>
        </w:tc>
      </w:tr>
      <w:tr>
        <w:trPr>
          <w:trHeight w:val="195"/>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other expense</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(46,018)</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(56,829)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(91,131)</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(89,750)</w:t>
            </w:r>
          </w:p>
        </w:tc>
      </w:tr>
      <w:tr>
        <w:trPr>
          <w:trHeight w:val="197"/>
        </w:trPr>
        <w:tc>
          <w:tcPr>
            <w:tcW w:w="46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Income before income taxes</w:t>
            </w: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172,847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144,048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492,919</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472,569</w:t>
            </w:r>
          </w:p>
        </w:tc>
      </w:tr>
      <w:tr>
        <w:trPr>
          <w:trHeight w:val="202"/>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Provision for income taxes</w:t>
            </w: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22,239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26,330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79,318</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87,067</w:t>
            </w:r>
          </w:p>
        </w:tc>
      </w:tr>
      <w:tr>
        <w:trPr>
          <w:trHeight w:val="197"/>
        </w:trPr>
        <w:tc>
          <w:tcPr>
            <w:tcW w:w="46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w:t>
            </w:r>
          </w:p>
        </w:tc>
        <w:tc>
          <w:tcPr>
            <w:tcW w:w="2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150,608</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117,718</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413,601</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385,502</w:t>
            </w:r>
          </w:p>
        </w:tc>
      </w:tr>
      <w:tr>
        <w:trPr>
          <w:trHeight w:val="195"/>
        </w:trPr>
        <w:tc>
          <w:tcPr>
            <w:tcW w:w="4600" w:type="dxa"/>
            <w:vAlign w:val="bottom"/>
          </w:tcPr>
          <w:p>
            <w:pPr>
              <w:ind w:left="20"/>
              <w:spacing w:after="0"/>
              <w:rPr>
                <w:sz w:val="20"/>
                <w:szCs w:val="20"/>
                <w:color w:val="auto"/>
              </w:rPr>
            </w:pPr>
            <w:r>
              <w:rPr>
                <w:rFonts w:ascii="Arial" w:cs="Arial" w:eastAsia="Arial" w:hAnsi="Arial"/>
                <w:sz w:val="14"/>
                <w:szCs w:val="14"/>
                <w:color w:val="auto"/>
              </w:rPr>
              <w:t>Less: Dividends on preferred shares</w:t>
            </w: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1,544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3,709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b w:val="1"/>
                <w:bCs w:val="1"/>
                <w:color w:val="auto"/>
              </w:rPr>
              <w:t>8,962</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13,533</w:t>
            </w:r>
          </w:p>
        </w:tc>
      </w:tr>
      <w:tr>
        <w:trPr>
          <w:trHeight w:val="203"/>
        </w:trPr>
        <w:tc>
          <w:tcPr>
            <w:tcW w:w="4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Loss on redemption of preferred shares</w:t>
            </w:r>
          </w:p>
        </w:tc>
        <w:tc>
          <w:tcPr>
            <w:tcW w:w="2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3,800</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6,327</w:t>
            </w:r>
          </w:p>
        </w:tc>
      </w:tr>
      <w:tr>
        <w:trPr>
          <w:trHeight w:val="197"/>
        </w:trPr>
        <w:tc>
          <w:tcPr>
            <w:tcW w:w="4600" w:type="dxa"/>
            <w:vAlign w:val="bottom"/>
          </w:tcPr>
          <w:p>
            <w:pPr>
              <w:ind w:left="20"/>
              <w:spacing w:after="0"/>
              <w:rPr>
                <w:sz w:val="20"/>
                <w:szCs w:val="20"/>
                <w:color w:val="auto"/>
              </w:rPr>
            </w:pPr>
            <w:r>
              <w:rPr>
                <w:rFonts w:ascii="Arial" w:cs="Arial" w:eastAsia="Arial" w:hAnsi="Arial"/>
                <w:sz w:val="14"/>
                <w:szCs w:val="14"/>
                <w:b w:val="1"/>
                <w:bCs w:val="1"/>
                <w:color w:val="auto"/>
              </w:rPr>
              <w:t>Net income attributable to shareholders</w:t>
            </w: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149,064</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114,009</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400,839</w:t>
            </w:r>
          </w:p>
        </w:tc>
        <w:tc>
          <w:tcPr>
            <w:tcW w:w="8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365,642</w:t>
            </w: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7"/>
        </w:trPr>
        <w:tc>
          <w:tcPr>
            <w:tcW w:w="46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02"/>
        </w:trPr>
        <w:tc>
          <w:tcPr>
            <w:tcW w:w="4600" w:type="dxa"/>
            <w:vAlign w:val="bottom"/>
          </w:tcPr>
          <w:p>
            <w:pPr>
              <w:ind w:left="20"/>
              <w:spacing w:after="0"/>
              <w:rPr>
                <w:sz w:val="20"/>
                <w:szCs w:val="20"/>
                <w:color w:val="auto"/>
              </w:rPr>
            </w:pPr>
            <w:r>
              <w:rPr>
                <w:rFonts w:ascii="Arial" w:cs="Arial" w:eastAsia="Arial" w:hAnsi="Arial"/>
                <w:sz w:val="14"/>
                <w:szCs w:val="14"/>
                <w:b w:val="1"/>
                <w:bCs w:val="1"/>
                <w:color w:val="auto"/>
              </w:rPr>
              <w:t>Earnings per share:</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Basic</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3.91</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w:t>
            </w:r>
          </w:p>
        </w:tc>
      </w:tr>
      <w:tr>
        <w:trPr>
          <w:trHeight w:val="202"/>
        </w:trPr>
        <w:tc>
          <w:tcPr>
            <w:tcW w:w="4600" w:type="dxa"/>
            <w:vAlign w:val="bottom"/>
          </w:tcPr>
          <w:p>
            <w:pPr>
              <w:ind w:left="20"/>
              <w:spacing w:after="0"/>
              <w:rPr>
                <w:sz w:val="20"/>
                <w:szCs w:val="20"/>
                <w:color w:val="auto"/>
              </w:rPr>
            </w:pPr>
            <w:r>
              <w:rPr>
                <w:rFonts w:ascii="Arial" w:cs="Arial" w:eastAsia="Arial" w:hAnsi="Arial"/>
                <w:sz w:val="14"/>
                <w:szCs w:val="14"/>
                <w:color w:val="auto"/>
              </w:rPr>
              <w:t>Diluted</w:t>
            </w: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1.43</w:t>
            </w:r>
          </w:p>
        </w:tc>
        <w:tc>
          <w:tcPr>
            <w:tcW w:w="10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b w:val="1"/>
                <w:bCs w:val="1"/>
                <w:color w:val="auto"/>
              </w:rPr>
              <w:t>3.85</w:t>
            </w:r>
          </w:p>
        </w:tc>
        <w:tc>
          <w:tcPr>
            <w:tcW w:w="80" w:type="dxa"/>
            <w:vAlign w:val="bottom"/>
          </w:tcPr>
          <w:p>
            <w:pPr>
              <w:spacing w:after="0"/>
              <w:rPr>
                <w:sz w:val="17"/>
                <w:szCs w:val="17"/>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3.52</w:t>
            </w:r>
          </w:p>
        </w:tc>
      </w:tr>
      <w:tr>
        <w:trPr>
          <w:trHeight w:val="271"/>
        </w:trPr>
        <w:tc>
          <w:tcPr>
            <w:tcW w:w="46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02"/>
        </w:trPr>
        <w:tc>
          <w:tcPr>
            <w:tcW w:w="4600" w:type="dxa"/>
            <w:vAlign w:val="bottom"/>
          </w:tcPr>
          <w:p>
            <w:pPr>
              <w:ind w:left="20"/>
              <w:spacing w:after="0"/>
              <w:rPr>
                <w:sz w:val="20"/>
                <w:szCs w:val="20"/>
                <w:color w:val="auto"/>
              </w:rPr>
            </w:pPr>
            <w:r>
              <w:rPr>
                <w:rFonts w:ascii="Arial" w:cs="Arial" w:eastAsia="Arial" w:hAnsi="Arial"/>
                <w:sz w:val="14"/>
                <w:szCs w:val="14"/>
                <w:b w:val="1"/>
                <w:bCs w:val="1"/>
                <w:color w:val="auto"/>
              </w:rPr>
              <w:t>Weighted average shares outstanding:</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Basic</w:t>
            </w: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102,667,105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102,569,415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102,613,229</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102,560,285</w:t>
            </w:r>
          </w:p>
        </w:tc>
      </w:tr>
      <w:tr>
        <w:trPr>
          <w:trHeight w:val="200"/>
        </w:trPr>
        <w:tc>
          <w:tcPr>
            <w:tcW w:w="4600" w:type="dxa"/>
            <w:vAlign w:val="bottom"/>
          </w:tcPr>
          <w:p>
            <w:pPr>
              <w:ind w:left="20"/>
              <w:spacing w:after="0"/>
              <w:rPr>
                <w:sz w:val="20"/>
                <w:szCs w:val="20"/>
                <w:color w:val="auto"/>
              </w:rPr>
            </w:pPr>
            <w:r>
              <w:rPr>
                <w:rFonts w:ascii="Arial" w:cs="Arial" w:eastAsia="Arial" w:hAnsi="Arial"/>
                <w:sz w:val="14"/>
                <w:szCs w:val="14"/>
                <w:color w:val="auto"/>
              </w:rPr>
              <w:t>Diluted</w:t>
            </w: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104,106,460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103,966,650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b w:val="1"/>
                <w:bCs w:val="1"/>
                <w:color w:val="auto"/>
              </w:rPr>
              <w:t>104,059,963</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103,951,713</w:t>
            </w:r>
          </w:p>
        </w:tc>
      </w:tr>
    </w:tbl>
    <w:p>
      <w:pPr>
        <w:spacing w:after="0" w:line="182" w:lineRule="exact"/>
        <w:rPr>
          <w:sz w:val="20"/>
          <w:szCs w:val="20"/>
          <w:color w:val="auto"/>
        </w:rPr>
      </w:pPr>
    </w:p>
    <w:p>
      <w:pPr>
        <w:ind w:left="340" w:right="20" w:hanging="332"/>
        <w:spacing w:after="0" w:line="305" w:lineRule="auto"/>
        <w:tabs>
          <w:tab w:leader="none" w:pos="327"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servicing fees of $4,704 and $17,553 for the three and nine months ended September 30, 2026, respectively (2025 - $3,035 and $5,635, respectively), from the SCI Partnerships.</w:t>
      </w:r>
    </w:p>
    <w:p>
      <w:pPr>
        <w:spacing w:after="0" w:line="49" w:lineRule="exact"/>
        <w:rPr>
          <w:rFonts w:ascii="Arial" w:cs="Arial" w:eastAsia="Arial" w:hAnsi="Arial"/>
          <w:sz w:val="14"/>
          <w:szCs w:val="14"/>
          <w:color w:val="auto"/>
        </w:rPr>
      </w:pPr>
    </w:p>
    <w:p>
      <w:pPr>
        <w:ind w:left="340" w:hanging="332"/>
        <w:spacing w:after="0" w:line="305" w:lineRule="auto"/>
        <w:tabs>
          <w:tab w:leader="none" w:pos="327"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the profit elimination of $(5,055) and $(21,652) for the three and nine months ended September 30, 2026, respectively (2025 - $(3,908) and $(15,793), respectively), for sales to the SCI Partnerships.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2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FTAI AVIATION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(Dollar amounts in thousands, except share and per share data)</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September 30, 2026</w:t>
            </w:r>
          </w:p>
        </w:tc>
        <w:tc>
          <w:tcPr>
            <w:tcW w:w="180" w:type="dxa"/>
            <w:vAlign w:val="bottom"/>
          </w:tcPr>
          <w:p>
            <w:pPr>
              <w:spacing w:after="0"/>
              <w:rPr>
                <w:sz w:val="17"/>
                <w:szCs w:val="17"/>
                <w:color w:val="auto"/>
              </w:rPr>
            </w:pPr>
          </w:p>
        </w:tc>
        <w:tc>
          <w:tcPr>
            <w:tcW w:w="1680" w:type="dxa"/>
            <w:vAlign w:val="bottom"/>
          </w:tcPr>
          <w:p>
            <w:pPr>
              <w:jc w:val="right"/>
              <w:ind w:right="208"/>
              <w:spacing w:after="0"/>
              <w:rPr>
                <w:sz w:val="20"/>
                <w:szCs w:val="20"/>
                <w:color w:val="auto"/>
              </w:rPr>
            </w:pPr>
            <w:r>
              <w:rPr>
                <w:rFonts w:ascii="Arial" w:cs="Arial" w:eastAsia="Arial" w:hAnsi="Arial"/>
                <w:sz w:val="14"/>
                <w:szCs w:val="14"/>
                <w:b w:val="1"/>
                <w:bCs w:val="1"/>
                <w:color w:val="auto"/>
              </w:rPr>
              <w:t>December 31, 2025</w:t>
            </w:r>
          </w:p>
        </w:tc>
        <w:tc>
          <w:tcPr>
            <w:tcW w:w="0" w:type="dxa"/>
            <w:vAlign w:val="bottom"/>
          </w:tcPr>
          <w:p>
            <w:pPr>
              <w:spacing w:after="0"/>
              <w:rPr>
                <w:sz w:val="1"/>
                <w:szCs w:val="1"/>
                <w:color w:val="auto"/>
              </w:rPr>
            </w:pPr>
          </w:p>
        </w:tc>
      </w:tr>
      <w:tr>
        <w:trPr>
          <w:trHeight w:val="183"/>
        </w:trPr>
        <w:tc>
          <w:tcPr>
            <w:tcW w:w="7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80" w:type="dxa"/>
            <w:vAlign w:val="bottom"/>
            <w:tcBorders>
              <w:top w:val="single" w:sz="8" w:color="auto"/>
            </w:tcBorders>
            <w:shd w:val="clear" w:color="auto" w:fill="CCEEFF"/>
          </w:tcPr>
          <w:p>
            <w:pPr>
              <w:spacing w:after="0"/>
              <w:rPr>
                <w:sz w:val="15"/>
                <w:szCs w:val="15"/>
                <w:color w:val="auto"/>
              </w:rPr>
            </w:pPr>
          </w:p>
        </w:tc>
        <w:tc>
          <w:tcPr>
            <w:tcW w:w="16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6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7400" w:type="dxa"/>
            <w:vAlign w:val="bottom"/>
          </w:tcPr>
          <w:p>
            <w:pPr>
              <w:ind w:left="140"/>
              <w:spacing w:after="0"/>
              <w:rPr>
                <w:sz w:val="20"/>
                <w:szCs w:val="20"/>
                <w:color w:val="auto"/>
              </w:rPr>
            </w:pPr>
            <w:r>
              <w:rPr>
                <w:rFonts w:ascii="Arial" w:cs="Arial" w:eastAsia="Arial" w:hAnsi="Arial"/>
                <w:sz w:val="14"/>
                <w:szCs w:val="14"/>
                <w:b w:val="1"/>
                <w:bCs w:val="1"/>
                <w:color w:val="auto"/>
              </w:rPr>
              <w:t>Current Assets</w:t>
            </w: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and cash equivalents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385,624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300,476</w:t>
            </w:r>
          </w:p>
        </w:tc>
        <w:tc>
          <w:tcPr>
            <w:tcW w:w="0" w:type="dxa"/>
            <w:vAlign w:val="bottom"/>
          </w:tcPr>
          <w:p>
            <w:pPr>
              <w:spacing w:after="0"/>
              <w:rPr>
                <w:sz w:val="1"/>
                <w:szCs w:val="1"/>
                <w:color w:val="auto"/>
              </w:rPr>
            </w:pPr>
          </w:p>
        </w:tc>
      </w:tr>
      <w:tr>
        <w:trPr>
          <w:trHeight w:val="203"/>
        </w:trPr>
        <w:tc>
          <w:tcPr>
            <w:tcW w:w="7400" w:type="dxa"/>
            <w:vAlign w:val="bottom"/>
          </w:tcPr>
          <w:p>
            <w:pPr>
              <w:ind w:left="140"/>
              <w:spacing w:after="0" w:line="202" w:lineRule="exact"/>
              <w:rPr>
                <w:sz w:val="20"/>
                <w:szCs w:val="20"/>
                <w:color w:val="auto"/>
              </w:rPr>
            </w:pPr>
            <w:r>
              <w:rPr>
                <w:rFonts w:ascii="Arial" w:cs="Arial" w:eastAsia="Arial" w:hAnsi="Arial"/>
                <w:sz w:val="14"/>
                <w:szCs w:val="14"/>
                <w:color w:val="auto"/>
              </w:rPr>
              <w:t xml:space="preserve">Accounts receivable, net </w:t>
            </w:r>
            <w:r>
              <w:rPr>
                <w:rFonts w:ascii="Arial" w:cs="Arial" w:eastAsia="Arial" w:hAnsi="Arial"/>
                <w:sz w:val="18"/>
                <w:szCs w:val="18"/>
                <w:color w:val="auto"/>
                <w:vertAlign w:val="superscript"/>
              </w:rPr>
              <w:t>(1)</w:t>
            </w:r>
          </w:p>
        </w:tc>
        <w:tc>
          <w:tcPr>
            <w:tcW w:w="1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b w:val="1"/>
                <w:bCs w:val="1"/>
                <w:color w:val="auto"/>
              </w:rPr>
              <w:t>155,638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209,907</w:t>
            </w:r>
          </w:p>
        </w:tc>
        <w:tc>
          <w:tcPr>
            <w:tcW w:w="0" w:type="dxa"/>
            <w:vAlign w:val="bottom"/>
          </w:tcPr>
          <w:p>
            <w:pPr>
              <w:spacing w:after="0"/>
              <w:rPr>
                <w:sz w:val="1"/>
                <w:szCs w:val="1"/>
                <w:color w:val="auto"/>
              </w:rPr>
            </w:pPr>
          </w:p>
        </w:tc>
      </w:tr>
      <w:tr>
        <w:trPr>
          <w:trHeight w:val="203"/>
        </w:trPr>
        <w:tc>
          <w:tcPr>
            <w:tcW w:w="7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Inventory, net</w:t>
            </w:r>
          </w:p>
        </w:tc>
        <w:tc>
          <w:tcPr>
            <w:tcW w:w="1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1,932,298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1,193,773</w:t>
            </w:r>
          </w:p>
        </w:tc>
        <w:tc>
          <w:tcPr>
            <w:tcW w:w="0" w:type="dxa"/>
            <w:vAlign w:val="bottom"/>
          </w:tcPr>
          <w:p>
            <w:pPr>
              <w:spacing w:after="0"/>
              <w:rPr>
                <w:sz w:val="1"/>
                <w:szCs w:val="1"/>
                <w:color w:val="auto"/>
              </w:rPr>
            </w:pPr>
          </w:p>
        </w:tc>
      </w:tr>
      <w:tr>
        <w:trPr>
          <w:trHeight w:val="203"/>
        </w:trPr>
        <w:tc>
          <w:tcPr>
            <w:tcW w:w="7400" w:type="dxa"/>
            <w:vAlign w:val="bottom"/>
            <w:tcBorders>
              <w:bottom w:val="single" w:sz="8" w:color="CCEEFF"/>
            </w:tcBorders>
          </w:tcPr>
          <w:p>
            <w:pPr>
              <w:ind w:left="140"/>
              <w:spacing w:after="0" w:line="202" w:lineRule="exact"/>
              <w:rPr>
                <w:sz w:val="20"/>
                <w:szCs w:val="20"/>
                <w:color w:val="auto"/>
              </w:rPr>
            </w:pPr>
            <w:r>
              <w:rPr>
                <w:rFonts w:ascii="Arial" w:cs="Arial" w:eastAsia="Arial" w:hAnsi="Arial"/>
                <w:sz w:val="14"/>
                <w:szCs w:val="14"/>
                <w:color w:val="auto"/>
              </w:rPr>
              <w:t xml:space="preserve">Other current assets </w:t>
            </w:r>
            <w:r>
              <w:rPr>
                <w:rFonts w:ascii="Arial" w:cs="Arial" w:eastAsia="Arial" w:hAnsi="Arial"/>
                <w:sz w:val="18"/>
                <w:szCs w:val="18"/>
                <w:color w:val="auto"/>
                <w:vertAlign w:val="superscript"/>
              </w:rPr>
              <w:t>(2)</w:t>
            </w:r>
          </w:p>
        </w:tc>
        <w:tc>
          <w:tcPr>
            <w:tcW w:w="1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470,130</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408,364</w:t>
            </w:r>
          </w:p>
        </w:tc>
        <w:tc>
          <w:tcPr>
            <w:tcW w:w="0" w:type="dxa"/>
            <w:vAlign w:val="bottom"/>
          </w:tcPr>
          <w:p>
            <w:pPr>
              <w:spacing w:after="0"/>
              <w:rPr>
                <w:sz w:val="1"/>
                <w:szCs w:val="1"/>
                <w:color w:val="auto"/>
              </w:rPr>
            </w:pPr>
          </w:p>
        </w:tc>
      </w:tr>
      <w:tr>
        <w:trPr>
          <w:trHeight w:val="196"/>
        </w:trPr>
        <w:tc>
          <w:tcPr>
            <w:tcW w:w="740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Total current assets</w:t>
            </w:r>
          </w:p>
        </w:tc>
        <w:tc>
          <w:tcPr>
            <w:tcW w:w="1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2,943,690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2,112,520</w:t>
            </w:r>
          </w:p>
        </w:tc>
        <w:tc>
          <w:tcPr>
            <w:tcW w:w="0" w:type="dxa"/>
            <w:vAlign w:val="bottom"/>
          </w:tcPr>
          <w:p>
            <w:pPr>
              <w:spacing w:after="0"/>
              <w:rPr>
                <w:sz w:val="1"/>
                <w:szCs w:val="1"/>
                <w:color w:val="auto"/>
              </w:rPr>
            </w:pPr>
          </w:p>
        </w:tc>
      </w:tr>
      <w:tr>
        <w:trPr>
          <w:trHeight w:val="202"/>
        </w:trPr>
        <w:tc>
          <w:tcPr>
            <w:tcW w:w="7400" w:type="dxa"/>
            <w:vAlign w:val="bottom"/>
          </w:tcPr>
          <w:p>
            <w:pPr>
              <w:ind w:left="140"/>
              <w:spacing w:after="0"/>
              <w:rPr>
                <w:sz w:val="20"/>
                <w:szCs w:val="20"/>
                <w:color w:val="auto"/>
              </w:rPr>
            </w:pPr>
            <w:r>
              <w:rPr>
                <w:rFonts w:ascii="Arial" w:cs="Arial" w:eastAsia="Arial" w:hAnsi="Arial"/>
                <w:sz w:val="14"/>
                <w:szCs w:val="14"/>
                <w:color w:val="auto"/>
              </w:rPr>
              <w:t>Leasing equipment, net</w:t>
            </w:r>
          </w:p>
        </w:tc>
        <w:tc>
          <w:tcPr>
            <w:tcW w:w="1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b w:val="1"/>
                <w:bCs w:val="1"/>
                <w:color w:val="auto"/>
              </w:rPr>
              <w:t>1,035,039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1,545,804</w:t>
            </w:r>
          </w:p>
        </w:tc>
        <w:tc>
          <w:tcPr>
            <w:tcW w:w="0" w:type="dxa"/>
            <w:vAlign w:val="bottom"/>
          </w:tcPr>
          <w:p>
            <w:pPr>
              <w:spacing w:after="0"/>
              <w:rPr>
                <w:sz w:val="1"/>
                <w:szCs w:val="1"/>
                <w:color w:val="auto"/>
              </w:rPr>
            </w:pPr>
          </w:p>
        </w:tc>
      </w:tr>
      <w:tr>
        <w:trPr>
          <w:trHeight w:val="203"/>
        </w:trPr>
        <w:tc>
          <w:tcPr>
            <w:tcW w:w="7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Property, plant, and equipment, net</w:t>
            </w:r>
          </w:p>
        </w:tc>
        <w:tc>
          <w:tcPr>
            <w:tcW w:w="1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180,771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120,068</w:t>
            </w:r>
          </w:p>
        </w:tc>
        <w:tc>
          <w:tcPr>
            <w:tcW w:w="0" w:type="dxa"/>
            <w:vAlign w:val="bottom"/>
          </w:tcPr>
          <w:p>
            <w:pPr>
              <w:spacing w:after="0"/>
              <w:rPr>
                <w:sz w:val="1"/>
                <w:szCs w:val="1"/>
                <w:color w:val="auto"/>
              </w:rPr>
            </w:pPr>
          </w:p>
        </w:tc>
      </w:tr>
      <w:tr>
        <w:trPr>
          <w:trHeight w:val="202"/>
        </w:trPr>
        <w:tc>
          <w:tcPr>
            <w:tcW w:w="7400" w:type="dxa"/>
            <w:vAlign w:val="bottom"/>
          </w:tcPr>
          <w:p>
            <w:pPr>
              <w:ind w:left="140"/>
              <w:spacing w:after="0"/>
              <w:rPr>
                <w:sz w:val="20"/>
                <w:szCs w:val="20"/>
                <w:color w:val="auto"/>
              </w:rPr>
            </w:pPr>
            <w:r>
              <w:rPr>
                <w:rFonts w:ascii="Arial" w:cs="Arial" w:eastAsia="Arial" w:hAnsi="Arial"/>
                <w:sz w:val="14"/>
                <w:szCs w:val="14"/>
                <w:color w:val="auto"/>
              </w:rPr>
              <w:t>Investments</w:t>
            </w:r>
          </w:p>
        </w:tc>
        <w:tc>
          <w:tcPr>
            <w:tcW w:w="1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b w:val="1"/>
                <w:bCs w:val="1"/>
                <w:color w:val="auto"/>
              </w:rPr>
              <w:t>400,883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314,156</w:t>
            </w:r>
          </w:p>
        </w:tc>
        <w:tc>
          <w:tcPr>
            <w:tcW w:w="0" w:type="dxa"/>
            <w:vAlign w:val="bottom"/>
          </w:tcPr>
          <w:p>
            <w:pPr>
              <w:spacing w:after="0"/>
              <w:rPr>
                <w:sz w:val="1"/>
                <w:szCs w:val="1"/>
                <w:color w:val="auto"/>
              </w:rPr>
            </w:pPr>
          </w:p>
        </w:tc>
      </w:tr>
      <w:tr>
        <w:trPr>
          <w:trHeight w:val="203"/>
        </w:trPr>
        <w:tc>
          <w:tcPr>
            <w:tcW w:w="7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Intangible assets, net</w:t>
            </w:r>
          </w:p>
        </w:tc>
        <w:tc>
          <w:tcPr>
            <w:tcW w:w="1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12,478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19,929</w:t>
            </w:r>
          </w:p>
        </w:tc>
        <w:tc>
          <w:tcPr>
            <w:tcW w:w="0" w:type="dxa"/>
            <w:vAlign w:val="bottom"/>
          </w:tcPr>
          <w:p>
            <w:pPr>
              <w:spacing w:after="0"/>
              <w:rPr>
                <w:sz w:val="1"/>
                <w:szCs w:val="1"/>
                <w:color w:val="auto"/>
              </w:rPr>
            </w:pPr>
          </w:p>
        </w:tc>
      </w:tr>
      <w:tr>
        <w:trPr>
          <w:trHeight w:val="202"/>
        </w:trPr>
        <w:tc>
          <w:tcPr>
            <w:tcW w:w="7400" w:type="dxa"/>
            <w:vAlign w:val="bottom"/>
          </w:tcPr>
          <w:p>
            <w:pPr>
              <w:ind w:left="140"/>
              <w:spacing w:after="0"/>
              <w:rPr>
                <w:sz w:val="20"/>
                <w:szCs w:val="20"/>
                <w:color w:val="auto"/>
              </w:rPr>
            </w:pPr>
            <w:r>
              <w:rPr>
                <w:rFonts w:ascii="Arial" w:cs="Arial" w:eastAsia="Arial" w:hAnsi="Arial"/>
                <w:sz w:val="14"/>
                <w:szCs w:val="14"/>
                <w:color w:val="auto"/>
              </w:rPr>
              <w:t>Goodwill</w:t>
            </w:r>
          </w:p>
        </w:tc>
        <w:tc>
          <w:tcPr>
            <w:tcW w:w="1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b w:val="1"/>
                <w:bCs w:val="1"/>
                <w:color w:val="auto"/>
              </w:rPr>
              <w:t>94,221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94,221</w:t>
            </w:r>
          </w:p>
        </w:tc>
        <w:tc>
          <w:tcPr>
            <w:tcW w:w="0" w:type="dxa"/>
            <w:vAlign w:val="bottom"/>
          </w:tcPr>
          <w:p>
            <w:pPr>
              <w:spacing w:after="0"/>
              <w:rPr>
                <w:sz w:val="1"/>
                <w:szCs w:val="1"/>
                <w:color w:val="auto"/>
              </w:rPr>
            </w:pPr>
          </w:p>
        </w:tc>
      </w:tr>
      <w:tr>
        <w:trPr>
          <w:trHeight w:val="203"/>
        </w:trPr>
        <w:tc>
          <w:tcPr>
            <w:tcW w:w="7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non-current assets</w:t>
            </w:r>
          </w:p>
        </w:tc>
        <w:tc>
          <w:tcPr>
            <w:tcW w:w="18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139,249</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167,060</w:t>
            </w:r>
          </w:p>
        </w:tc>
        <w:tc>
          <w:tcPr>
            <w:tcW w:w="0" w:type="dxa"/>
            <w:vAlign w:val="bottom"/>
          </w:tcPr>
          <w:p>
            <w:pPr>
              <w:spacing w:after="0"/>
              <w:rPr>
                <w:sz w:val="1"/>
                <w:szCs w:val="1"/>
                <w:color w:val="auto"/>
              </w:rPr>
            </w:pPr>
          </w:p>
        </w:tc>
      </w:tr>
      <w:tr>
        <w:trPr>
          <w:trHeight w:val="197"/>
        </w:trPr>
        <w:tc>
          <w:tcPr>
            <w:tcW w:w="7400" w:type="dxa"/>
            <w:vAlign w:val="bottom"/>
          </w:tcPr>
          <w:p>
            <w:pPr>
              <w:ind w:left="20"/>
              <w:spacing w:after="0"/>
              <w:rPr>
                <w:sz w:val="20"/>
                <w:szCs w:val="20"/>
                <w:color w:val="auto"/>
              </w:rPr>
            </w:pPr>
            <w:r>
              <w:rPr>
                <w:rFonts w:ascii="Arial" w:cs="Arial" w:eastAsia="Arial" w:hAnsi="Arial"/>
                <w:sz w:val="14"/>
                <w:szCs w:val="14"/>
                <w:b w:val="1"/>
                <w:bCs w:val="1"/>
                <w:color w:val="auto"/>
              </w:rPr>
              <w:t>Total assets</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4,806,331</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4,373,758</w:t>
            </w:r>
          </w:p>
        </w:tc>
        <w:tc>
          <w:tcPr>
            <w:tcW w:w="0" w:type="dxa"/>
            <w:vAlign w:val="bottom"/>
          </w:tcPr>
          <w:p>
            <w:pPr>
              <w:spacing w:after="0"/>
              <w:rPr>
                <w:sz w:val="1"/>
                <w:szCs w:val="1"/>
                <w:color w:val="auto"/>
              </w:rPr>
            </w:pPr>
          </w:p>
        </w:tc>
      </w:tr>
      <w:tr>
        <w:trPr>
          <w:trHeight w:val="20"/>
        </w:trPr>
        <w:tc>
          <w:tcPr>
            <w:tcW w:w="74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7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7400" w:type="dxa"/>
            <w:vAlign w:val="bottom"/>
          </w:tcPr>
          <w:p>
            <w:pPr>
              <w:ind w:left="20"/>
              <w:spacing w:after="0"/>
              <w:rPr>
                <w:sz w:val="20"/>
                <w:szCs w:val="20"/>
                <w:color w:val="auto"/>
              </w:rPr>
            </w:pPr>
            <w:r>
              <w:rPr>
                <w:rFonts w:ascii="Arial" w:cs="Arial" w:eastAsia="Arial" w:hAnsi="Arial"/>
                <w:sz w:val="14"/>
                <w:szCs w:val="14"/>
                <w:b w:val="1"/>
                <w:bCs w:val="1"/>
                <w:color w:val="auto"/>
              </w:rPr>
              <w:t>Liabilities</w:t>
            </w: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Current Liabilities</w:t>
            </w:r>
          </w:p>
        </w:tc>
        <w:tc>
          <w:tcPr>
            <w:tcW w:w="18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400" w:type="dxa"/>
            <w:vAlign w:val="bottom"/>
          </w:tcPr>
          <w:p>
            <w:pPr>
              <w:ind w:left="140"/>
              <w:spacing w:after="0"/>
              <w:rPr>
                <w:sz w:val="20"/>
                <w:szCs w:val="20"/>
                <w:color w:val="auto"/>
              </w:rPr>
            </w:pPr>
            <w:r>
              <w:rPr>
                <w:rFonts w:ascii="Arial" w:cs="Arial" w:eastAsia="Arial" w:hAnsi="Arial"/>
                <w:sz w:val="14"/>
                <w:szCs w:val="14"/>
                <w:color w:val="auto"/>
              </w:rPr>
              <w:t>Accounts payable</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680" w:type="dxa"/>
            <w:vAlign w:val="bottom"/>
          </w:tcPr>
          <w:p>
            <w:pPr>
              <w:jc w:val="right"/>
              <w:spacing w:after="0"/>
              <w:rPr>
                <w:sz w:val="20"/>
                <w:szCs w:val="20"/>
                <w:color w:val="auto"/>
              </w:rPr>
            </w:pPr>
            <w:r>
              <w:rPr>
                <w:rFonts w:ascii="Arial" w:cs="Arial" w:eastAsia="Arial" w:hAnsi="Arial"/>
                <w:sz w:val="14"/>
                <w:szCs w:val="14"/>
                <w:b w:val="1"/>
                <w:bCs w:val="1"/>
                <w:color w:val="auto"/>
              </w:rPr>
              <w:t>179,867</w:t>
            </w:r>
          </w:p>
        </w:tc>
        <w:tc>
          <w:tcPr>
            <w:tcW w:w="12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80" w:type="dxa"/>
            <w:vAlign w:val="bottom"/>
          </w:tcPr>
          <w:p>
            <w:pPr>
              <w:jc w:val="right"/>
              <w:spacing w:after="0"/>
              <w:rPr>
                <w:sz w:val="20"/>
                <w:szCs w:val="20"/>
                <w:color w:val="auto"/>
              </w:rPr>
            </w:pPr>
            <w:r>
              <w:rPr>
                <w:rFonts w:ascii="Arial" w:cs="Arial" w:eastAsia="Arial" w:hAnsi="Arial"/>
                <w:sz w:val="14"/>
                <w:szCs w:val="14"/>
                <w:color w:val="auto"/>
              </w:rPr>
              <w:t>208,224</w:t>
            </w:r>
          </w:p>
        </w:tc>
        <w:tc>
          <w:tcPr>
            <w:tcW w:w="0" w:type="dxa"/>
            <w:vAlign w:val="bottom"/>
          </w:tcPr>
          <w:p>
            <w:pPr>
              <w:spacing w:after="0"/>
              <w:rPr>
                <w:sz w:val="1"/>
                <w:szCs w:val="1"/>
                <w:color w:val="auto"/>
              </w:rPr>
            </w:pPr>
          </w:p>
        </w:tc>
      </w:tr>
      <w:tr>
        <w:trPr>
          <w:trHeight w:val="203"/>
        </w:trPr>
        <w:tc>
          <w:tcPr>
            <w:tcW w:w="7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Accrued liabilities</w:t>
            </w:r>
          </w:p>
        </w:tc>
        <w:tc>
          <w:tcPr>
            <w:tcW w:w="1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225,379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90,009</w:t>
            </w:r>
          </w:p>
        </w:tc>
        <w:tc>
          <w:tcPr>
            <w:tcW w:w="0" w:type="dxa"/>
            <w:vAlign w:val="bottom"/>
          </w:tcPr>
          <w:p>
            <w:pPr>
              <w:spacing w:after="0"/>
              <w:rPr>
                <w:sz w:val="1"/>
                <w:szCs w:val="1"/>
                <w:color w:val="auto"/>
              </w:rPr>
            </w:pPr>
          </w:p>
        </w:tc>
      </w:tr>
      <w:tr>
        <w:trPr>
          <w:trHeight w:val="202"/>
        </w:trPr>
        <w:tc>
          <w:tcPr>
            <w:tcW w:w="7400" w:type="dxa"/>
            <w:vAlign w:val="bottom"/>
          </w:tcPr>
          <w:p>
            <w:pPr>
              <w:ind w:left="140"/>
              <w:spacing w:after="0"/>
              <w:rPr>
                <w:sz w:val="20"/>
                <w:szCs w:val="20"/>
                <w:color w:val="auto"/>
              </w:rPr>
            </w:pPr>
            <w:r>
              <w:rPr>
                <w:rFonts w:ascii="Arial" w:cs="Arial" w:eastAsia="Arial" w:hAnsi="Arial"/>
                <w:sz w:val="14"/>
                <w:szCs w:val="14"/>
                <w:color w:val="auto"/>
              </w:rPr>
              <w:t>Current maintenance deposits</w:t>
            </w:r>
          </w:p>
        </w:tc>
        <w:tc>
          <w:tcPr>
            <w:tcW w:w="1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b w:val="1"/>
                <w:bCs w:val="1"/>
                <w:color w:val="auto"/>
              </w:rPr>
              <w:t>18,254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25,439</w:t>
            </w:r>
          </w:p>
        </w:tc>
        <w:tc>
          <w:tcPr>
            <w:tcW w:w="0" w:type="dxa"/>
            <w:vAlign w:val="bottom"/>
          </w:tcPr>
          <w:p>
            <w:pPr>
              <w:spacing w:after="0"/>
              <w:rPr>
                <w:sz w:val="1"/>
                <w:szCs w:val="1"/>
                <w:color w:val="auto"/>
              </w:rPr>
            </w:pPr>
          </w:p>
        </w:tc>
      </w:tr>
      <w:tr>
        <w:trPr>
          <w:trHeight w:val="203"/>
        </w:trPr>
        <w:tc>
          <w:tcPr>
            <w:tcW w:w="7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Current security deposits</w:t>
            </w:r>
          </w:p>
        </w:tc>
        <w:tc>
          <w:tcPr>
            <w:tcW w:w="1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10,094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14,001</w:t>
            </w:r>
          </w:p>
        </w:tc>
        <w:tc>
          <w:tcPr>
            <w:tcW w:w="0" w:type="dxa"/>
            <w:vAlign w:val="bottom"/>
          </w:tcPr>
          <w:p>
            <w:pPr>
              <w:spacing w:after="0"/>
              <w:rPr>
                <w:sz w:val="1"/>
                <w:szCs w:val="1"/>
                <w:color w:val="auto"/>
              </w:rPr>
            </w:pPr>
          </w:p>
        </w:tc>
      </w:tr>
      <w:tr>
        <w:trPr>
          <w:trHeight w:val="202"/>
        </w:trPr>
        <w:tc>
          <w:tcPr>
            <w:tcW w:w="7400" w:type="dxa"/>
            <w:vAlign w:val="bottom"/>
          </w:tcPr>
          <w:p>
            <w:pPr>
              <w:ind w:left="140"/>
              <w:spacing w:after="0"/>
              <w:rPr>
                <w:sz w:val="20"/>
                <w:szCs w:val="20"/>
                <w:color w:val="auto"/>
              </w:rPr>
            </w:pPr>
            <w:r>
              <w:rPr>
                <w:rFonts w:ascii="Arial" w:cs="Arial" w:eastAsia="Arial" w:hAnsi="Arial"/>
                <w:sz w:val="14"/>
                <w:szCs w:val="14"/>
                <w:color w:val="auto"/>
              </w:rPr>
              <w:t>Contract liabilities - affiliate</w:t>
            </w:r>
          </w:p>
        </w:tc>
        <w:tc>
          <w:tcPr>
            <w:tcW w:w="1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b w:val="1"/>
                <w:bCs w:val="1"/>
                <w:color w:val="auto"/>
              </w:rPr>
              <w:t>234,000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7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current liabilities</w:t>
            </w:r>
          </w:p>
        </w:tc>
        <w:tc>
          <w:tcPr>
            <w:tcW w:w="18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103,431</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62,202</w:t>
            </w:r>
          </w:p>
        </w:tc>
        <w:tc>
          <w:tcPr>
            <w:tcW w:w="0" w:type="dxa"/>
            <w:vAlign w:val="bottom"/>
          </w:tcPr>
          <w:p>
            <w:pPr>
              <w:spacing w:after="0"/>
              <w:rPr>
                <w:sz w:val="1"/>
                <w:szCs w:val="1"/>
                <w:color w:val="auto"/>
              </w:rPr>
            </w:pPr>
          </w:p>
        </w:tc>
      </w:tr>
      <w:tr>
        <w:trPr>
          <w:trHeight w:val="195"/>
        </w:trPr>
        <w:tc>
          <w:tcPr>
            <w:tcW w:w="7400" w:type="dxa"/>
            <w:vAlign w:val="bottom"/>
          </w:tcPr>
          <w:p>
            <w:pPr>
              <w:ind w:left="140"/>
              <w:spacing w:after="0"/>
              <w:rPr>
                <w:sz w:val="20"/>
                <w:szCs w:val="20"/>
                <w:color w:val="auto"/>
              </w:rPr>
            </w:pPr>
            <w:r>
              <w:rPr>
                <w:rFonts w:ascii="Arial" w:cs="Arial" w:eastAsia="Arial" w:hAnsi="Arial"/>
                <w:sz w:val="14"/>
                <w:szCs w:val="14"/>
                <w:b w:val="1"/>
                <w:bCs w:val="1"/>
                <w:color w:val="auto"/>
              </w:rPr>
              <w:t>Total current liabilities</w:t>
            </w:r>
          </w:p>
        </w:tc>
        <w:tc>
          <w:tcPr>
            <w:tcW w:w="1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b w:val="1"/>
                <w:bCs w:val="1"/>
                <w:color w:val="auto"/>
              </w:rPr>
              <w:t>771,025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399,875</w:t>
            </w:r>
          </w:p>
        </w:tc>
        <w:tc>
          <w:tcPr>
            <w:tcW w:w="0" w:type="dxa"/>
            <w:vAlign w:val="bottom"/>
          </w:tcPr>
          <w:p>
            <w:pPr>
              <w:spacing w:after="0"/>
              <w:rPr>
                <w:sz w:val="1"/>
                <w:szCs w:val="1"/>
                <w:color w:val="auto"/>
              </w:rPr>
            </w:pPr>
          </w:p>
        </w:tc>
      </w:tr>
      <w:tr>
        <w:trPr>
          <w:trHeight w:val="203"/>
        </w:trPr>
        <w:tc>
          <w:tcPr>
            <w:tcW w:w="7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Long-term debt, net</w:t>
            </w:r>
          </w:p>
        </w:tc>
        <w:tc>
          <w:tcPr>
            <w:tcW w:w="1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3,455,515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3,448,891</w:t>
            </w:r>
          </w:p>
        </w:tc>
        <w:tc>
          <w:tcPr>
            <w:tcW w:w="0" w:type="dxa"/>
            <w:vAlign w:val="bottom"/>
          </w:tcPr>
          <w:p>
            <w:pPr>
              <w:spacing w:after="0"/>
              <w:rPr>
                <w:sz w:val="1"/>
                <w:szCs w:val="1"/>
                <w:color w:val="auto"/>
              </w:rPr>
            </w:pPr>
          </w:p>
        </w:tc>
      </w:tr>
      <w:tr>
        <w:trPr>
          <w:trHeight w:val="202"/>
        </w:trPr>
        <w:tc>
          <w:tcPr>
            <w:tcW w:w="7400" w:type="dxa"/>
            <w:vAlign w:val="bottom"/>
          </w:tcPr>
          <w:p>
            <w:pPr>
              <w:ind w:left="140"/>
              <w:spacing w:after="0"/>
              <w:rPr>
                <w:sz w:val="20"/>
                <w:szCs w:val="20"/>
                <w:color w:val="auto"/>
              </w:rPr>
            </w:pPr>
            <w:r>
              <w:rPr>
                <w:rFonts w:ascii="Arial" w:cs="Arial" w:eastAsia="Arial" w:hAnsi="Arial"/>
                <w:sz w:val="14"/>
                <w:szCs w:val="14"/>
                <w:color w:val="auto"/>
              </w:rPr>
              <w:t>Non-current maintenance deposits</w:t>
            </w:r>
          </w:p>
        </w:tc>
        <w:tc>
          <w:tcPr>
            <w:tcW w:w="1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b w:val="1"/>
                <w:bCs w:val="1"/>
                <w:color w:val="auto"/>
              </w:rPr>
              <w:t>16,777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46,237</w:t>
            </w:r>
          </w:p>
        </w:tc>
        <w:tc>
          <w:tcPr>
            <w:tcW w:w="0" w:type="dxa"/>
            <w:vAlign w:val="bottom"/>
          </w:tcPr>
          <w:p>
            <w:pPr>
              <w:spacing w:after="0"/>
              <w:rPr>
                <w:sz w:val="1"/>
                <w:szCs w:val="1"/>
                <w:color w:val="auto"/>
              </w:rPr>
            </w:pPr>
          </w:p>
        </w:tc>
      </w:tr>
      <w:tr>
        <w:trPr>
          <w:trHeight w:val="203"/>
        </w:trPr>
        <w:tc>
          <w:tcPr>
            <w:tcW w:w="7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Non-current security deposits</w:t>
            </w:r>
          </w:p>
        </w:tc>
        <w:tc>
          <w:tcPr>
            <w:tcW w:w="1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6,989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15,211</w:t>
            </w:r>
          </w:p>
        </w:tc>
        <w:tc>
          <w:tcPr>
            <w:tcW w:w="0" w:type="dxa"/>
            <w:vAlign w:val="bottom"/>
          </w:tcPr>
          <w:p>
            <w:pPr>
              <w:spacing w:after="0"/>
              <w:rPr>
                <w:sz w:val="1"/>
                <w:szCs w:val="1"/>
                <w:color w:val="auto"/>
              </w:rPr>
            </w:pPr>
          </w:p>
        </w:tc>
      </w:tr>
      <w:tr>
        <w:trPr>
          <w:trHeight w:val="202"/>
        </w:trPr>
        <w:tc>
          <w:tcPr>
            <w:tcW w:w="74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non-current liabilities</w:t>
            </w:r>
          </w:p>
        </w:tc>
        <w:tc>
          <w:tcPr>
            <w:tcW w:w="1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122,669</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129,370</w:t>
            </w:r>
          </w:p>
        </w:tc>
        <w:tc>
          <w:tcPr>
            <w:tcW w:w="0" w:type="dxa"/>
            <w:vAlign w:val="bottom"/>
          </w:tcPr>
          <w:p>
            <w:pPr>
              <w:spacing w:after="0"/>
              <w:rPr>
                <w:sz w:val="1"/>
                <w:szCs w:val="1"/>
                <w:color w:val="auto"/>
              </w:rPr>
            </w:pPr>
          </w:p>
        </w:tc>
      </w:tr>
      <w:tr>
        <w:trPr>
          <w:trHeight w:val="196"/>
        </w:trPr>
        <w:tc>
          <w:tcPr>
            <w:tcW w:w="7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4,372,975</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4,039,584</w:t>
            </w:r>
          </w:p>
        </w:tc>
        <w:tc>
          <w:tcPr>
            <w:tcW w:w="0" w:type="dxa"/>
            <w:vAlign w:val="bottom"/>
          </w:tcPr>
          <w:p>
            <w:pPr>
              <w:spacing w:after="0"/>
              <w:rPr>
                <w:sz w:val="1"/>
                <w:szCs w:val="1"/>
                <w:color w:val="auto"/>
              </w:rPr>
            </w:pPr>
          </w:p>
        </w:tc>
      </w:tr>
      <w:tr>
        <w:trPr>
          <w:trHeight w:val="130"/>
        </w:trPr>
        <w:tc>
          <w:tcPr>
            <w:tcW w:w="7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7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Commitments and contingencies</w:t>
            </w:r>
          </w:p>
        </w:tc>
        <w:tc>
          <w:tcPr>
            <w:tcW w:w="18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7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Equity</w:t>
            </w:r>
          </w:p>
        </w:tc>
        <w:tc>
          <w:tcPr>
            <w:tcW w:w="18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7400" w:type="dxa"/>
            <w:vAlign w:val="bottom"/>
          </w:tcPr>
          <w:p>
            <w:pPr>
              <w:ind w:left="140"/>
              <w:spacing w:after="0" w:line="149" w:lineRule="exact"/>
              <w:rPr>
                <w:sz w:val="20"/>
                <w:szCs w:val="20"/>
                <w:color w:val="auto"/>
              </w:rPr>
            </w:pPr>
            <w:r>
              <w:rPr>
                <w:rFonts w:ascii="Arial" w:cs="Arial" w:eastAsia="Arial" w:hAnsi="Arial"/>
                <w:sz w:val="14"/>
                <w:szCs w:val="14"/>
                <w:color w:val="auto"/>
              </w:rPr>
              <w:t>Ordinary shares ($0.01 par value per share; 2,000,000,000 shares authorized; 102,448,764 and 102,573,283</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w:t>
            </w:r>
          </w:p>
        </w:tc>
        <w:tc>
          <w:tcPr>
            <w:tcW w:w="1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1,024</w:t>
            </w:r>
          </w:p>
        </w:tc>
        <w:tc>
          <w:tcPr>
            <w:tcW w:w="120" w:type="dxa"/>
            <w:vAlign w:val="bottom"/>
          </w:tcPr>
          <w:p>
            <w:pPr>
              <w:spacing w:after="0"/>
              <w:rPr>
                <w:sz w:val="12"/>
                <w:szCs w:val="12"/>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680" w:type="dxa"/>
            <w:vAlign w:val="bottom"/>
            <w:vMerge w:val="restart"/>
          </w:tcPr>
          <w:p>
            <w:pPr>
              <w:jc w:val="right"/>
              <w:spacing w:after="0"/>
              <w:rPr>
                <w:sz w:val="20"/>
                <w:szCs w:val="20"/>
                <w:color w:val="auto"/>
              </w:rPr>
            </w:pPr>
            <w:r>
              <w:rPr>
                <w:rFonts w:ascii="Arial" w:cs="Arial" w:eastAsia="Arial" w:hAnsi="Arial"/>
                <w:sz w:val="14"/>
                <w:szCs w:val="14"/>
                <w:color w:val="auto"/>
              </w:rPr>
              <w:t>1,026</w:t>
            </w:r>
          </w:p>
        </w:tc>
        <w:tc>
          <w:tcPr>
            <w:tcW w:w="0" w:type="dxa"/>
            <w:vAlign w:val="bottom"/>
          </w:tcPr>
          <w:p>
            <w:pPr>
              <w:spacing w:after="0"/>
              <w:rPr>
                <w:sz w:val="1"/>
                <w:szCs w:val="1"/>
                <w:color w:val="auto"/>
              </w:rPr>
            </w:pPr>
          </w:p>
        </w:tc>
      </w:tr>
      <w:tr>
        <w:trPr>
          <w:trHeight w:val="189"/>
        </w:trPr>
        <w:tc>
          <w:tcPr>
            <w:tcW w:w="7400" w:type="dxa"/>
            <w:vAlign w:val="bottom"/>
          </w:tcPr>
          <w:p>
            <w:pPr>
              <w:ind w:left="140"/>
              <w:spacing w:after="0"/>
              <w:rPr>
                <w:sz w:val="20"/>
                <w:szCs w:val="20"/>
                <w:color w:val="auto"/>
              </w:rPr>
            </w:pPr>
            <w:r>
              <w:rPr>
                <w:rFonts w:ascii="Arial" w:cs="Arial" w:eastAsia="Arial" w:hAnsi="Arial"/>
                <w:sz w:val="14"/>
                <w:szCs w:val="14"/>
                <w:color w:val="auto"/>
              </w:rPr>
              <w:t>shares issued and outstanding as of September 30, 2026 and December 31, 2025, respectively)</w:t>
            </w:r>
          </w:p>
        </w:tc>
        <w:tc>
          <w:tcPr>
            <w:tcW w:w="180" w:type="dxa"/>
            <w:vAlign w:val="bottom"/>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40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Preferred shares ($0.01 par value per share; 200,000,000 shares authorized; 2,600,000 and 6,800,000 shares</w:t>
            </w:r>
          </w:p>
        </w:tc>
        <w:tc>
          <w:tcPr>
            <w:tcW w:w="180" w:type="dxa"/>
            <w:vAlign w:val="bottom"/>
            <w:shd w:val="clear" w:color="auto" w:fill="CCEEFF"/>
          </w:tcPr>
          <w:p>
            <w:pPr>
              <w:spacing w:after="0"/>
              <w:rPr>
                <w:sz w:val="12"/>
                <w:szCs w:val="12"/>
                <w:color w:val="auto"/>
              </w:rPr>
            </w:pP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26</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89"/>
        </w:trPr>
        <w:tc>
          <w:tcPr>
            <w:tcW w:w="7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issued and outstanding as of September 30, 2026 and December 31, 2025, respectively)</w:t>
            </w:r>
          </w:p>
        </w:tc>
        <w:tc>
          <w:tcPr>
            <w:tcW w:w="180" w:type="dxa"/>
            <w:vAlign w:val="bottom"/>
            <w:shd w:val="clear" w:color="auto" w:fill="CCEEFF"/>
          </w:tcPr>
          <w:p>
            <w:pPr>
              <w:spacing w:after="0"/>
              <w:rPr>
                <w:sz w:val="16"/>
                <w:szCs w:val="16"/>
                <w:color w:val="auto"/>
              </w:rPr>
            </w:pPr>
          </w:p>
        </w:tc>
        <w:tc>
          <w:tcPr>
            <w:tcW w:w="16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400" w:type="dxa"/>
            <w:vAlign w:val="bottom"/>
          </w:tcPr>
          <w:p>
            <w:pPr>
              <w:ind w:left="140"/>
              <w:spacing w:after="0"/>
              <w:rPr>
                <w:sz w:val="20"/>
                <w:szCs w:val="20"/>
                <w:color w:val="auto"/>
              </w:rPr>
            </w:pPr>
            <w:r>
              <w:rPr>
                <w:rFonts w:ascii="Arial" w:cs="Arial" w:eastAsia="Arial" w:hAnsi="Arial"/>
                <w:sz w:val="14"/>
                <w:szCs w:val="14"/>
                <w:color w:val="auto"/>
              </w:rPr>
              <w:t>Additional paid in capital</w:t>
            </w:r>
          </w:p>
        </w:tc>
        <w:tc>
          <w:tcPr>
            <w:tcW w:w="180" w:type="dxa"/>
            <w:vAlign w:val="bottom"/>
          </w:tcPr>
          <w:p>
            <w:pPr>
              <w:spacing w:after="0"/>
              <w:rPr>
                <w:sz w:val="17"/>
                <w:szCs w:val="17"/>
                <w:color w:val="auto"/>
              </w:rPr>
            </w:pPr>
          </w:p>
        </w:tc>
        <w:tc>
          <w:tcPr>
            <w:tcW w:w="18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50,567</w:t>
            </w:r>
          </w:p>
        </w:tc>
        <w:tc>
          <w:tcPr>
            <w:tcW w:w="0" w:type="dxa"/>
            <w:vAlign w:val="bottom"/>
          </w:tcPr>
          <w:p>
            <w:pPr>
              <w:spacing w:after="0"/>
              <w:rPr>
                <w:sz w:val="1"/>
                <w:szCs w:val="1"/>
                <w:color w:val="auto"/>
              </w:rPr>
            </w:pPr>
          </w:p>
        </w:tc>
      </w:tr>
      <w:tr>
        <w:trPr>
          <w:trHeight w:val="204"/>
        </w:trPr>
        <w:tc>
          <w:tcPr>
            <w:tcW w:w="7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Retained earnings</w:t>
            </w:r>
          </w:p>
        </w:tc>
        <w:tc>
          <w:tcPr>
            <w:tcW w:w="18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432,306</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282,513</w:t>
            </w:r>
          </w:p>
        </w:tc>
        <w:tc>
          <w:tcPr>
            <w:tcW w:w="0" w:type="dxa"/>
            <w:vAlign w:val="bottom"/>
          </w:tcPr>
          <w:p>
            <w:pPr>
              <w:spacing w:after="0"/>
              <w:rPr>
                <w:sz w:val="1"/>
                <w:szCs w:val="1"/>
                <w:color w:val="auto"/>
              </w:rPr>
            </w:pPr>
          </w:p>
        </w:tc>
      </w:tr>
      <w:tr>
        <w:trPr>
          <w:trHeight w:val="195"/>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Shareholders' equity</w:t>
            </w:r>
          </w:p>
        </w:tc>
        <w:tc>
          <w:tcPr>
            <w:tcW w:w="1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433,356</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334,174</w:t>
            </w:r>
          </w:p>
        </w:tc>
        <w:tc>
          <w:tcPr>
            <w:tcW w:w="0" w:type="dxa"/>
            <w:vAlign w:val="bottom"/>
          </w:tcPr>
          <w:p>
            <w:pPr>
              <w:spacing w:after="0"/>
              <w:rPr>
                <w:sz w:val="1"/>
                <w:szCs w:val="1"/>
                <w:color w:val="auto"/>
              </w:rPr>
            </w:pPr>
          </w:p>
        </w:tc>
      </w:tr>
      <w:tr>
        <w:trPr>
          <w:trHeight w:val="222"/>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 and equity</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4,806,331</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4,373,758</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accounts receivable from the SCI Partnerships of $10,951 as of September 30, 2026 (December 31, 2025 - $47,294).</w:t>
      </w:r>
    </w:p>
    <w:p>
      <w:pPr>
        <w:spacing w:after="0" w:line="122" w:lineRule="exact"/>
        <w:rPr>
          <w:rFonts w:ascii="Arial" w:cs="Arial" w:eastAsia="Arial" w:hAnsi="Arial"/>
          <w:sz w:val="14"/>
          <w:szCs w:val="14"/>
          <w:color w:val="auto"/>
        </w:rPr>
      </w:pPr>
    </w:p>
    <w:p>
      <w:pPr>
        <w:ind w:left="320" w:hanging="312"/>
        <w:spacing w:after="0"/>
        <w:tabs>
          <w:tab w:leader="none" w:pos="32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receivables from the SCI Partnerships of $3,086 as of September 30, 2026 (December 31, 2025 - $20,681).</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93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Key Performance Measures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net income (loss), the Chief Operating Decision Maker (“CODM”), who is the Company’s Chief Executive Officer, utilizes Adjusted EBITDA as a key performance measure. Adjusted EBITDA is not a financial measure in accordance with U.S. generally accepted accounting principles (“U.S. GAAP”). This performance measure provides the CODM with the information necessary to assess operational performance and make resource and allocation decisions. We believe Adjusted EBITDA is a useful metric for investors and analysts for similar purposes of assessing our operational performance.</w:t>
      </w:r>
    </w:p>
    <w:p>
      <w:pPr>
        <w:spacing w:after="0" w:line="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Adjusted EBITDA is defined as net income (loss) attributable to shareholders, adjusted (a) to exclude the impact of provision for (benefit from) income taxes, equity-based compensation expense, acquisition and transaction expenses, losses on the modification or extinguishment of debt and preferred shares and capital lease obligations, asset impairment charges, incentive allocations, depreciation and amortization expense, interest expense and dividends on preferred shares, internalization fee to affiliate, FTAI Power pre-commercial research and development (b) to include the impact of our pro-rata share of Adjusted EBITDA from unconsolidated entities and (c) to exclude the impact of equity in earnings (losses) of unconsolidated entities, if any.</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Reconciliations of forward-looking non-GAAP financial measures to their most directly comparable GAAP financial measures are not included in this press release because the most directly comparable GAAP financial measures are not available on a forward-looking basis without unreasonable effort.</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sets forth a reconciliation of net income attributable to shareholders to Adjusted EBITDA for the three and nine months ended September 30, 2026 and 2025:</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6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8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6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8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1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2026</w:t>
            </w: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2026</w:t>
            </w: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7"/>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attributable to shareholders</w:t>
            </w: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149,064</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114,009</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35,055</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400,839</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365,642</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35,197</w:t>
            </w:r>
          </w:p>
        </w:tc>
        <w:tc>
          <w:tcPr>
            <w:tcW w:w="0" w:type="dxa"/>
            <w:vAlign w:val="bottom"/>
          </w:tcPr>
          <w:p>
            <w:pPr>
              <w:spacing w:after="0"/>
              <w:rPr>
                <w:sz w:val="1"/>
                <w:szCs w:val="1"/>
                <w:color w:val="auto"/>
              </w:rPr>
            </w:pPr>
          </w:p>
        </w:tc>
      </w:tr>
      <w:tr>
        <w:trPr>
          <w:trHeight w:val="201"/>
        </w:trPr>
        <w:tc>
          <w:tcPr>
            <w:tcW w:w="4120" w:type="dxa"/>
            <w:vAlign w:val="bottom"/>
          </w:tcPr>
          <w:p>
            <w:pPr>
              <w:ind w:left="20"/>
              <w:spacing w:after="0"/>
              <w:rPr>
                <w:sz w:val="20"/>
                <w:szCs w:val="20"/>
                <w:color w:val="auto"/>
              </w:rPr>
            </w:pPr>
            <w:r>
              <w:rPr>
                <w:rFonts w:ascii="Arial" w:cs="Arial" w:eastAsia="Arial" w:hAnsi="Arial"/>
                <w:sz w:val="14"/>
                <w:szCs w:val="14"/>
                <w:color w:val="auto"/>
              </w:rPr>
              <w:t>Add: Provision for income taxes</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22,239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26,330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(4,091)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79,318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87,067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(7,749)</w:t>
            </w:r>
          </w:p>
        </w:tc>
        <w:tc>
          <w:tcPr>
            <w:tcW w:w="0" w:type="dxa"/>
            <w:vAlign w:val="bottom"/>
          </w:tcPr>
          <w:p>
            <w:pPr>
              <w:spacing w:after="0"/>
              <w:rPr>
                <w:sz w:val="1"/>
                <w:szCs w:val="1"/>
                <w:color w:val="auto"/>
              </w:rPr>
            </w:pPr>
          </w:p>
        </w:tc>
      </w:tr>
      <w:tr>
        <w:trPr>
          <w:trHeight w:val="204"/>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7,767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5,655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21,446</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16,059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5,387</w:t>
            </w:r>
          </w:p>
        </w:tc>
        <w:tc>
          <w:tcPr>
            <w:tcW w:w="0" w:type="dxa"/>
            <w:vAlign w:val="bottom"/>
          </w:tcPr>
          <w:p>
            <w:pPr>
              <w:spacing w:after="0"/>
              <w:rPr>
                <w:sz w:val="1"/>
                <w:szCs w:val="1"/>
                <w:color w:val="auto"/>
              </w:rPr>
            </w:pPr>
          </w:p>
        </w:tc>
      </w:tr>
      <w:tr>
        <w:trPr>
          <w:trHeight w:val="202"/>
        </w:trPr>
        <w:tc>
          <w:tcPr>
            <w:tcW w:w="412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5,030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7,066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(2,036)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27,090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18,847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8,243</w:t>
            </w:r>
          </w:p>
        </w:tc>
        <w:tc>
          <w:tcPr>
            <w:tcW w:w="0" w:type="dxa"/>
            <w:vAlign w:val="bottom"/>
          </w:tcPr>
          <w:p>
            <w:pPr>
              <w:spacing w:after="0"/>
              <w:rPr>
                <w:sz w:val="1"/>
                <w:szCs w:val="1"/>
                <w:color w:val="auto"/>
              </w:rPr>
            </w:pPr>
          </w:p>
        </w:tc>
      </w:tr>
      <w:tr>
        <w:trPr>
          <w:trHeight w:val="154"/>
        </w:trPr>
        <w:tc>
          <w:tcPr>
            <w:tcW w:w="4120" w:type="dxa"/>
            <w:vAlign w:val="bottom"/>
            <w:shd w:val="clear" w:color="auto" w:fill="CCEEFF"/>
          </w:tcPr>
          <w:p>
            <w:pPr>
              <w:ind w:left="20"/>
              <w:spacing w:after="0" w:line="154" w:lineRule="exact"/>
              <w:rPr>
                <w:sz w:val="20"/>
                <w:szCs w:val="20"/>
                <w:color w:val="auto"/>
              </w:rPr>
            </w:pPr>
            <w:r>
              <w:rPr>
                <w:rFonts w:ascii="Arial" w:cs="Arial" w:eastAsia="Arial" w:hAnsi="Arial"/>
                <w:sz w:val="14"/>
                <w:szCs w:val="14"/>
                <w:color w:val="auto"/>
              </w:rPr>
              <w:t>Add: Losses on the modification or extinguishment of debt and</w:t>
            </w:r>
          </w:p>
        </w:tc>
        <w:tc>
          <w:tcPr>
            <w:tcW w:w="24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3,800</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6,327</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(2,527)</w:t>
            </w:r>
          </w:p>
        </w:tc>
        <w:tc>
          <w:tcPr>
            <w:tcW w:w="0" w:type="dxa"/>
            <w:vAlign w:val="bottom"/>
          </w:tcPr>
          <w:p>
            <w:pPr>
              <w:spacing w:after="0"/>
              <w:rPr>
                <w:sz w:val="1"/>
                <w:szCs w:val="1"/>
                <w:color w:val="auto"/>
              </w:rPr>
            </w:pPr>
          </w:p>
        </w:tc>
      </w:tr>
      <w:tr>
        <w:trPr>
          <w:trHeight w:val="185"/>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preferred shares and capital lease obligations</w:t>
            </w:r>
          </w:p>
        </w:tc>
        <w:tc>
          <w:tcPr>
            <w:tcW w:w="24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120" w:type="dxa"/>
            <w:vAlign w:val="bottom"/>
          </w:tcPr>
          <w:p>
            <w:pPr>
              <w:ind w:left="20"/>
              <w:spacing w:after="0"/>
              <w:rPr>
                <w:sz w:val="20"/>
                <w:szCs w:val="20"/>
                <w:color w:val="auto"/>
              </w:rPr>
            </w:pPr>
            <w:r>
              <w:rPr>
                <w:rFonts w:ascii="Arial" w:cs="Arial" w:eastAsia="Arial" w:hAnsi="Arial"/>
                <w:sz w:val="14"/>
                <w:szCs w:val="14"/>
                <w:color w:val="auto"/>
              </w:rPr>
              <w:t>Add: Asset impairment charges</w:t>
            </w:r>
          </w:p>
        </w:tc>
        <w:tc>
          <w:tcPr>
            <w:tcW w:w="2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Incentive allocations</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12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Add: Depreciation and amortization expense </w:t>
            </w:r>
            <w:r>
              <w:rPr>
                <w:rFonts w:ascii="Arial" w:cs="Arial" w:eastAsia="Arial" w:hAnsi="Arial"/>
                <w:sz w:val="18"/>
                <w:szCs w:val="18"/>
                <w:color w:val="auto"/>
                <w:vertAlign w:val="superscript"/>
              </w:rPr>
              <w:t>(1)</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49,183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67,855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(18,672)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160,814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201,919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(41,105)</w:t>
            </w:r>
          </w:p>
        </w:tc>
        <w:tc>
          <w:tcPr>
            <w:tcW w:w="0" w:type="dxa"/>
            <w:vAlign w:val="bottom"/>
          </w:tcPr>
          <w:p>
            <w:pPr>
              <w:spacing w:after="0"/>
              <w:rPr>
                <w:sz w:val="1"/>
                <w:szCs w:val="1"/>
                <w:color w:val="auto"/>
              </w:rPr>
            </w:pPr>
          </w:p>
        </w:tc>
      </w:tr>
      <w:tr>
        <w:trPr>
          <w:trHeight w:val="203"/>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Interest expense and dividends on preferred shares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66,663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64,493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199,591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200,322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(731)</w:t>
            </w:r>
          </w:p>
        </w:tc>
        <w:tc>
          <w:tcPr>
            <w:tcW w:w="0" w:type="dxa"/>
            <w:vAlign w:val="bottom"/>
          </w:tcPr>
          <w:p>
            <w:pPr>
              <w:spacing w:after="0"/>
              <w:rPr>
                <w:sz w:val="1"/>
                <w:szCs w:val="1"/>
                <w:color w:val="auto"/>
              </w:rPr>
            </w:pPr>
          </w:p>
        </w:tc>
      </w:tr>
      <w:tr>
        <w:trPr>
          <w:trHeight w:val="202"/>
        </w:trPr>
        <w:tc>
          <w:tcPr>
            <w:tcW w:w="4120" w:type="dxa"/>
            <w:vAlign w:val="bottom"/>
          </w:tcPr>
          <w:p>
            <w:pPr>
              <w:ind w:left="20"/>
              <w:spacing w:after="0"/>
              <w:rPr>
                <w:sz w:val="20"/>
                <w:szCs w:val="20"/>
                <w:color w:val="auto"/>
              </w:rPr>
            </w:pPr>
            <w:r>
              <w:rPr>
                <w:rFonts w:ascii="Arial" w:cs="Arial" w:eastAsia="Arial" w:hAnsi="Arial"/>
                <w:sz w:val="14"/>
                <w:szCs w:val="14"/>
                <w:color w:val="auto"/>
              </w:rPr>
              <w:t>Add: Internalization fee to affiliate</w:t>
            </w:r>
          </w:p>
        </w:tc>
        <w:tc>
          <w:tcPr>
            <w:tcW w:w="2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Add: FTAI Power pre-commercial research and development </w:t>
            </w:r>
            <w:r>
              <w:rPr>
                <w:rFonts w:ascii="Arial" w:cs="Arial" w:eastAsia="Arial" w:hAnsi="Arial"/>
                <w:sz w:val="18"/>
                <w:szCs w:val="18"/>
                <w:color w:val="auto"/>
                <w:vertAlign w:val="superscript"/>
              </w:rPr>
              <w:t>(2)</w:t>
            </w: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22,014</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22,014</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41,461</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41,461</w:t>
            </w:r>
          </w:p>
        </w:tc>
        <w:tc>
          <w:tcPr>
            <w:tcW w:w="0" w:type="dxa"/>
            <w:vAlign w:val="bottom"/>
          </w:tcPr>
          <w:p>
            <w:pPr>
              <w:spacing w:after="0"/>
              <w:rPr>
                <w:sz w:val="1"/>
                <w:szCs w:val="1"/>
                <w:color w:val="auto"/>
              </w:rPr>
            </w:pPr>
          </w:p>
        </w:tc>
      </w:tr>
      <w:tr>
        <w:trPr>
          <w:trHeight w:val="150"/>
        </w:trPr>
        <w:tc>
          <w:tcPr>
            <w:tcW w:w="4120" w:type="dxa"/>
            <w:vAlign w:val="bottom"/>
          </w:tcPr>
          <w:p>
            <w:pPr>
              <w:ind w:left="20"/>
              <w:spacing w:after="0" w:line="151" w:lineRule="exact"/>
              <w:rPr>
                <w:sz w:val="20"/>
                <w:szCs w:val="20"/>
                <w:color w:val="auto"/>
              </w:rPr>
            </w:pPr>
            <w:r>
              <w:rPr>
                <w:rFonts w:ascii="Arial" w:cs="Arial" w:eastAsia="Arial" w:hAnsi="Arial"/>
                <w:sz w:val="14"/>
                <w:szCs w:val="14"/>
                <w:color w:val="auto"/>
              </w:rPr>
              <w:t>Add: Pro-rata share of Adjusted EBITDA from unconsolidated</w:t>
            </w:r>
          </w:p>
        </w:tc>
        <w:tc>
          <w:tcPr>
            <w:tcW w:w="24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48,323</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11,657</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36,666</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96,596</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16,513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80,083</w:t>
            </w:r>
          </w:p>
        </w:tc>
        <w:tc>
          <w:tcPr>
            <w:tcW w:w="0" w:type="dxa"/>
            <w:vAlign w:val="bottom"/>
          </w:tcPr>
          <w:p>
            <w:pPr>
              <w:spacing w:after="0"/>
              <w:rPr>
                <w:sz w:val="1"/>
                <w:szCs w:val="1"/>
                <w:color w:val="auto"/>
              </w:rPr>
            </w:pPr>
          </w:p>
        </w:tc>
      </w:tr>
      <w:tr>
        <w:trPr>
          <w:trHeight w:val="201"/>
        </w:trPr>
        <w:tc>
          <w:tcPr>
            <w:tcW w:w="4120" w:type="dxa"/>
            <w:vAlign w:val="bottom"/>
          </w:tcPr>
          <w:p>
            <w:pPr>
              <w:ind w:left="20"/>
              <w:spacing w:after="0" w:line="201" w:lineRule="exact"/>
              <w:rPr>
                <w:sz w:val="20"/>
                <w:szCs w:val="20"/>
                <w:color w:val="auto"/>
              </w:rPr>
            </w:pPr>
            <w:r>
              <w:rPr>
                <w:rFonts w:ascii="Arial" w:cs="Arial" w:eastAsia="Arial" w:hAnsi="Arial"/>
                <w:sz w:val="14"/>
                <w:szCs w:val="14"/>
                <w:color w:val="auto"/>
              </w:rPr>
              <w:t xml:space="preserve">entities </w:t>
            </w:r>
            <w:r>
              <w:rPr>
                <w:rFonts w:ascii="Arial" w:cs="Arial" w:eastAsia="Arial" w:hAnsi="Arial"/>
                <w:sz w:val="18"/>
                <w:szCs w:val="18"/>
                <w:color w:val="auto"/>
                <w:vertAlign w:val="superscript"/>
              </w:rPr>
              <w:t>(3)</w:t>
            </w:r>
          </w:p>
        </w:tc>
        <w:tc>
          <w:tcPr>
            <w:tcW w:w="2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shd w:val="clear" w:color="auto" w:fill="CCEEFF"/>
          </w:tcPr>
          <w:p>
            <w:pPr>
              <w:ind w:left="20"/>
              <w:spacing w:after="0" w:line="202" w:lineRule="exact"/>
              <w:rPr>
                <w:sz w:val="20"/>
                <w:szCs w:val="20"/>
                <w:color w:val="auto"/>
              </w:rPr>
            </w:pPr>
            <w:r>
              <w:rPr>
                <w:rFonts w:ascii="Arial" w:cs="Arial" w:eastAsia="Arial" w:hAnsi="Arial"/>
                <w:sz w:val="14"/>
                <w:szCs w:val="14"/>
                <w:color w:val="auto"/>
              </w:rPr>
              <w:t xml:space="preserve">Less: Equity in (earnings) losses of unconsolidated entities </w:t>
            </w:r>
            <w:r>
              <w:rPr>
                <w:rFonts w:ascii="Arial" w:cs="Arial" w:eastAsia="Arial" w:hAnsi="Arial"/>
                <w:sz w:val="18"/>
                <w:szCs w:val="18"/>
                <w:color w:val="auto"/>
                <w:vertAlign w:val="superscript"/>
              </w:rPr>
              <w:t>(4)</w:t>
            </w: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(21,988)</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316</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(22,304)</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(46,192)</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1,048</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(47,240)</w:t>
            </w:r>
          </w:p>
        </w:tc>
        <w:tc>
          <w:tcPr>
            <w:tcW w:w="0" w:type="dxa"/>
            <w:vAlign w:val="bottom"/>
          </w:tcPr>
          <w:p>
            <w:pPr>
              <w:spacing w:after="0"/>
              <w:rPr>
                <w:sz w:val="1"/>
                <w:szCs w:val="1"/>
                <w:color w:val="auto"/>
              </w:rPr>
            </w:pPr>
          </w:p>
        </w:tc>
      </w:tr>
      <w:tr>
        <w:trPr>
          <w:trHeight w:val="196"/>
        </w:trPr>
        <w:tc>
          <w:tcPr>
            <w:tcW w:w="4120" w:type="dxa"/>
            <w:vAlign w:val="bottom"/>
          </w:tcPr>
          <w:p>
            <w:pPr>
              <w:ind w:left="20"/>
              <w:spacing w:after="0"/>
              <w:rPr>
                <w:sz w:val="20"/>
                <w:szCs w:val="20"/>
                <w:color w:val="auto"/>
              </w:rPr>
            </w:pPr>
            <w:r>
              <w:rPr>
                <w:rFonts w:ascii="Arial" w:cs="Arial" w:eastAsia="Arial" w:hAnsi="Arial"/>
                <w:sz w:val="14"/>
                <w:szCs w:val="14"/>
                <w:b w:val="1"/>
                <w:bCs w:val="1"/>
                <w:color w:val="auto"/>
              </w:rPr>
              <w:t>Adjusted EBITDA (non-GAAP)</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348,295</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297,381</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50,914</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984,763</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913,744</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71,019</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340" w:right="20" w:hanging="332"/>
        <w:spacing w:after="0" w:line="285" w:lineRule="auto"/>
        <w:tabs>
          <w:tab w:leader="none" w:pos="327"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the following items for the three months ended September 30, 2026: (i) depreciation and amortization expense of $43,295 (2025 - $55,278), (ii) lease intangible amortization of $(242) (2025 - $534) and (iii) amortization for lease incentives of $6,130 (2025 - $12,043).</w:t>
      </w:r>
    </w:p>
    <w:p>
      <w:pPr>
        <w:spacing w:after="0" w:line="9" w:lineRule="exact"/>
        <w:rPr>
          <w:rFonts w:ascii="Arial" w:cs="Arial" w:eastAsia="Arial" w:hAnsi="Arial"/>
          <w:sz w:val="14"/>
          <w:szCs w:val="14"/>
          <w:color w:val="auto"/>
        </w:rPr>
      </w:pPr>
    </w:p>
    <w:p>
      <w:pPr>
        <w:ind w:left="340"/>
        <w:spacing w:after="0" w:line="301" w:lineRule="auto"/>
        <w:rPr>
          <w:rFonts w:ascii="Arial" w:cs="Arial" w:eastAsia="Arial" w:hAnsi="Arial"/>
          <w:sz w:val="14"/>
          <w:szCs w:val="14"/>
          <w:color w:val="auto"/>
        </w:rPr>
      </w:pPr>
      <w:r>
        <w:rPr>
          <w:rFonts w:ascii="Arial" w:cs="Arial" w:eastAsia="Arial" w:hAnsi="Arial"/>
          <w:sz w:val="14"/>
          <w:szCs w:val="14"/>
          <w:color w:val="auto"/>
        </w:rPr>
        <w:t>Includes the following items for the nine months ended September 30, 2026: (i) depreciation and amortization expense of $142,570 (2025 - $170,076), (ii) lease intangible amortization of $6 (2025 - $5,893) and (iii) amortization for lease incentives of $18,238 (2025 - $25,950).</w:t>
      </w:r>
    </w:p>
    <w:p>
      <w:pPr>
        <w:spacing w:after="0" w:line="1" w:lineRule="exact"/>
        <w:rPr>
          <w:rFonts w:ascii="Arial" w:cs="Arial" w:eastAsia="Arial" w:hAnsi="Arial"/>
          <w:sz w:val="14"/>
          <w:szCs w:val="14"/>
          <w:color w:val="auto"/>
        </w:rPr>
      </w:pPr>
    </w:p>
    <w:p>
      <w:pPr>
        <w:ind w:left="340" w:hanging="332"/>
        <w:spacing w:after="0" w:line="291" w:lineRule="auto"/>
        <w:tabs>
          <w:tab w:leader="none" w:pos="327" w:val="left"/>
        </w:tabs>
        <w:numPr>
          <w:ilvl w:val="0"/>
          <w:numId w:val="9"/>
        </w:numPr>
        <w:rPr>
          <w:rFonts w:ascii="Arial" w:cs="Arial" w:eastAsia="Arial" w:hAnsi="Arial"/>
          <w:sz w:val="14"/>
          <w:szCs w:val="14"/>
          <w:color w:val="auto"/>
        </w:rPr>
      </w:pPr>
      <w:r>
        <w:rPr>
          <w:rFonts w:ascii="Arial" w:cs="Arial" w:eastAsia="Arial" w:hAnsi="Arial"/>
          <w:sz w:val="14"/>
          <w:szCs w:val="14"/>
          <w:color w:val="auto"/>
        </w:rPr>
        <w:t>Represents non-recurring research and development costs incurred for the design and testing related to the development of FTAI Power’s aeroderivative turbine that has not yet been commercially launched and has not generated revenue.</w:t>
      </w:r>
    </w:p>
    <w:p>
      <w:pPr>
        <w:spacing w:after="0" w:line="1" w:lineRule="exact"/>
        <w:rPr>
          <w:rFonts w:ascii="Arial" w:cs="Arial" w:eastAsia="Arial" w:hAnsi="Arial"/>
          <w:sz w:val="14"/>
          <w:szCs w:val="14"/>
          <w:color w:val="auto"/>
        </w:rPr>
      </w:pPr>
    </w:p>
    <w:p>
      <w:pPr>
        <w:ind w:left="340" w:right="20" w:hanging="332"/>
        <w:spacing w:after="0" w:line="301" w:lineRule="auto"/>
        <w:tabs>
          <w:tab w:leader="none" w:pos="327"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the following items for the three months ended September 30, 2026: (i) net income of $21,988 (2025 - net loss of $316), (ii) interest expense of $7,359 (2025 - $2,629), (iii) depreciation and amortization expense of $18,969 (2025 - $9,449), and (iv) tax expense of $7 (2025 - benefit of $105).</w:t>
      </w:r>
    </w:p>
    <w:p>
      <w:pPr>
        <w:spacing w:after="0" w:line="1" w:lineRule="exact"/>
        <w:rPr>
          <w:rFonts w:ascii="Arial" w:cs="Arial" w:eastAsia="Arial" w:hAnsi="Arial"/>
          <w:sz w:val="14"/>
          <w:szCs w:val="14"/>
          <w:color w:val="auto"/>
        </w:rPr>
      </w:pPr>
    </w:p>
    <w:p>
      <w:pPr>
        <w:jc w:val="both"/>
        <w:ind w:left="340"/>
        <w:spacing w:after="0" w:line="281" w:lineRule="auto"/>
        <w:rPr>
          <w:rFonts w:ascii="Arial" w:cs="Arial" w:eastAsia="Arial" w:hAnsi="Arial"/>
          <w:sz w:val="14"/>
          <w:szCs w:val="14"/>
          <w:color w:val="auto"/>
        </w:rPr>
      </w:pPr>
      <w:r>
        <w:rPr>
          <w:rFonts w:ascii="Arial" w:cs="Arial" w:eastAsia="Arial" w:hAnsi="Arial"/>
          <w:sz w:val="14"/>
          <w:szCs w:val="14"/>
          <w:color w:val="auto"/>
        </w:rPr>
        <w:t>Includes the following items for the nine months ended September 30, 2026: (i) net income of $46,192 (2025 - net loss of $1,048), (ii) interest expense of $16,626 (2025 - $4,119), (iii) depreciation and amortization expense of $33,716 (2025 - $13,077), (iv) acquisition and transaction expenses of $0 (2025 - $470), and (v) tax expense of $62 (2025 - benefit of $105).</w:t>
      </w:r>
    </w:p>
    <w:p>
      <w:pPr>
        <w:spacing w:after="0" w:line="1" w:lineRule="exact"/>
        <w:rPr>
          <w:rFonts w:ascii="Arial" w:cs="Arial" w:eastAsia="Arial" w:hAnsi="Arial"/>
          <w:sz w:val="14"/>
          <w:szCs w:val="14"/>
          <w:color w:val="auto"/>
        </w:rPr>
      </w:pPr>
    </w:p>
    <w:p>
      <w:pPr>
        <w:ind w:left="340" w:hanging="332"/>
        <w:spacing w:after="0" w:line="305" w:lineRule="auto"/>
        <w:tabs>
          <w:tab w:leader="none" w:pos="327" w:val="left"/>
        </w:tabs>
        <w:numPr>
          <w:ilvl w:val="0"/>
          <w:numId w:val="9"/>
        </w:numPr>
        <w:rPr>
          <w:rFonts w:ascii="Arial" w:cs="Arial" w:eastAsia="Arial" w:hAnsi="Arial"/>
          <w:sz w:val="14"/>
          <w:szCs w:val="14"/>
          <w:color w:val="auto"/>
        </w:rPr>
      </w:pPr>
      <w:r>
        <w:rPr>
          <w:rFonts w:ascii="Arial" w:cs="Arial" w:eastAsia="Arial" w:hAnsi="Arial"/>
          <w:sz w:val="14"/>
          <w:szCs w:val="14"/>
          <w:color w:val="auto"/>
        </w:rPr>
        <w:t>Excludes the profit elimination of $5,055 and $21,652 for the three and nine months ended September 30, 2026, respectively (2025 - $3,908 and $15,793, respectively ), for sales to the SCI Partnerships.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039" w:right="339" w:bottom="1440" w:gutter="0" w:footer="0" w:header="0"/>
        </w:sectPr>
      </w:pPr>
    </w:p>
    <w:bookmarkStart w:id="9" w:name="page10"/>
    <w:bookmarkEnd w:id="9"/>
    <w:p>
      <w:pPr>
        <w:spacing w:after="0" w:line="287" w:lineRule="auto"/>
        <w:rPr>
          <w:sz w:val="20"/>
          <w:szCs w:val="20"/>
          <w:color w:val="auto"/>
        </w:rPr>
      </w:pPr>
      <w:r>
        <w:rPr>
          <w:rFonts w:ascii="Arial" w:cs="Arial" w:eastAsia="Arial" w:hAnsi="Arial"/>
          <w:sz w:val="18"/>
          <w:szCs w:val="18"/>
          <w:color w:val="auto"/>
        </w:rPr>
        <w:t>The following table sets forth a reconciliation of net income attributable to shareholders to Adjusted EBITDA for Aerospace Products for the three and nine months ended September 30, 2026 and 2025:</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2380" w:type="dxa"/>
            <w:vAlign w:val="bottom"/>
            <w:gridSpan w:val="7"/>
          </w:tcPr>
          <w:p>
            <w:pPr>
              <w:ind w:left="20"/>
              <w:spacing w:after="0"/>
              <w:rPr>
                <w:sz w:val="20"/>
                <w:szCs w:val="20"/>
                <w:color w:val="auto"/>
              </w:rPr>
            </w:pPr>
            <w:r>
              <w:rPr>
                <w:rFonts w:ascii="Arial" w:cs="Arial" w:eastAsia="Arial" w:hAnsi="Arial"/>
                <w:sz w:val="14"/>
                <w:szCs w:val="14"/>
                <w:b w:val="1"/>
                <w:bCs w:val="1"/>
                <w:color w:val="auto"/>
              </w:rPr>
              <w:t>Three Months Ended September</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30,</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2026</w:t>
            </w:r>
          </w:p>
        </w:tc>
        <w:tc>
          <w:tcPr>
            <w:tcW w:w="6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7"/>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attributable to shareholders</w:t>
            </w: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225,514</w:t>
            </w: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148,594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76,920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603,493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388,819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214,674</w:t>
            </w:r>
          </w:p>
        </w:tc>
        <w:tc>
          <w:tcPr>
            <w:tcW w:w="0" w:type="dxa"/>
            <w:vAlign w:val="bottom"/>
          </w:tcPr>
          <w:p>
            <w:pPr>
              <w:spacing w:after="0"/>
              <w:rPr>
                <w:sz w:val="1"/>
                <w:szCs w:val="1"/>
                <w:color w:val="auto"/>
              </w:rPr>
            </w:pPr>
          </w:p>
        </w:tc>
      </w:tr>
      <w:tr>
        <w:trPr>
          <w:trHeight w:val="201"/>
        </w:trPr>
        <w:tc>
          <w:tcPr>
            <w:tcW w:w="4060" w:type="dxa"/>
            <w:vAlign w:val="bottom"/>
          </w:tcPr>
          <w:p>
            <w:pPr>
              <w:ind w:left="20"/>
              <w:spacing w:after="0"/>
              <w:rPr>
                <w:sz w:val="20"/>
                <w:szCs w:val="20"/>
                <w:color w:val="auto"/>
              </w:rPr>
            </w:pPr>
            <w:r>
              <w:rPr>
                <w:rFonts w:ascii="Arial" w:cs="Arial" w:eastAsia="Arial" w:hAnsi="Arial"/>
                <w:sz w:val="14"/>
                <w:szCs w:val="14"/>
                <w:color w:val="auto"/>
              </w:rPr>
              <w:t>Add: Provision for income taxes</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50,883</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26,815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24,068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134,550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72,017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62,533</w:t>
            </w:r>
          </w:p>
        </w:tc>
        <w:tc>
          <w:tcPr>
            <w:tcW w:w="0" w:type="dxa"/>
            <w:vAlign w:val="bottom"/>
          </w:tcPr>
          <w:p>
            <w:pPr>
              <w:spacing w:after="0"/>
              <w:rPr>
                <w:sz w:val="1"/>
                <w:szCs w:val="1"/>
                <w:color w:val="auto"/>
              </w:rPr>
            </w:pPr>
          </w:p>
        </w:tc>
      </w:tr>
      <w:tr>
        <w:trPr>
          <w:trHeight w:val="204"/>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238</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488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1"/>
        </w:trPr>
        <w:tc>
          <w:tcPr>
            <w:tcW w:w="406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124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599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(475)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253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3,145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(2,892)</w:t>
            </w:r>
          </w:p>
        </w:tc>
        <w:tc>
          <w:tcPr>
            <w:tcW w:w="0" w:type="dxa"/>
            <w:vAlign w:val="bottom"/>
          </w:tcPr>
          <w:p>
            <w:pPr>
              <w:spacing w:after="0"/>
              <w:rPr>
                <w:sz w:val="1"/>
                <w:szCs w:val="1"/>
                <w:color w:val="auto"/>
              </w:rPr>
            </w:pPr>
          </w:p>
        </w:tc>
      </w:tr>
      <w:tr>
        <w:trPr>
          <w:trHeight w:val="154"/>
        </w:trPr>
        <w:tc>
          <w:tcPr>
            <w:tcW w:w="4060" w:type="dxa"/>
            <w:vAlign w:val="bottom"/>
            <w:shd w:val="clear" w:color="auto" w:fill="CCEEFF"/>
          </w:tcPr>
          <w:p>
            <w:pPr>
              <w:ind w:left="20"/>
              <w:spacing w:after="0" w:line="154" w:lineRule="exact"/>
              <w:rPr>
                <w:sz w:val="20"/>
                <w:szCs w:val="20"/>
                <w:color w:val="auto"/>
              </w:rPr>
            </w:pPr>
            <w:r>
              <w:rPr>
                <w:rFonts w:ascii="Arial" w:cs="Arial" w:eastAsia="Arial" w:hAnsi="Arial"/>
                <w:sz w:val="14"/>
                <w:szCs w:val="14"/>
                <w:color w:val="auto"/>
              </w:rPr>
              <w:t>Add: Losses on the modification or extinguishment of debt and</w:t>
            </w:r>
          </w:p>
        </w:tc>
        <w:tc>
          <w:tcPr>
            <w:tcW w:w="24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preferred shares and capital lease obligations</w:t>
            </w:r>
          </w:p>
        </w:tc>
        <w:tc>
          <w:tcPr>
            <w:tcW w:w="24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060" w:type="dxa"/>
            <w:vAlign w:val="bottom"/>
          </w:tcPr>
          <w:p>
            <w:pPr>
              <w:ind w:left="20"/>
              <w:spacing w:after="0"/>
              <w:rPr>
                <w:sz w:val="20"/>
                <w:szCs w:val="20"/>
                <w:color w:val="auto"/>
              </w:rPr>
            </w:pPr>
            <w:r>
              <w:rPr>
                <w:rFonts w:ascii="Arial" w:cs="Arial" w:eastAsia="Arial" w:hAnsi="Arial"/>
                <w:sz w:val="14"/>
                <w:szCs w:val="14"/>
                <w:color w:val="auto"/>
              </w:rPr>
              <w:t>Add: Asset impairment charges</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Incentive allocations</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1"/>
        </w:trPr>
        <w:tc>
          <w:tcPr>
            <w:tcW w:w="4060" w:type="dxa"/>
            <w:vAlign w:val="bottom"/>
          </w:tcPr>
          <w:p>
            <w:pPr>
              <w:ind w:left="20"/>
              <w:spacing w:after="0"/>
              <w:rPr>
                <w:sz w:val="20"/>
                <w:szCs w:val="20"/>
                <w:color w:val="auto"/>
              </w:rPr>
            </w:pPr>
            <w:r>
              <w:rPr>
                <w:rFonts w:ascii="Arial" w:cs="Arial" w:eastAsia="Arial" w:hAnsi="Arial"/>
                <w:sz w:val="14"/>
                <w:szCs w:val="14"/>
                <w:color w:val="auto"/>
              </w:rPr>
              <w:t>Add: Depreciation and amortization expense</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4,942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3,930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1,012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14,523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11,218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3,305</w:t>
            </w:r>
          </w:p>
        </w:tc>
        <w:tc>
          <w:tcPr>
            <w:tcW w:w="0" w:type="dxa"/>
            <w:vAlign w:val="bottom"/>
          </w:tcPr>
          <w:p>
            <w:pPr>
              <w:spacing w:after="0"/>
              <w:rPr>
                <w:sz w:val="1"/>
                <w:szCs w:val="1"/>
                <w:color w:val="auto"/>
              </w:rPr>
            </w:pPr>
          </w:p>
        </w:tc>
      </w:tr>
      <w:tr>
        <w:trPr>
          <w:trHeight w:val="204"/>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Interest expense and dividends on preferred shares</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1"/>
        </w:trPr>
        <w:tc>
          <w:tcPr>
            <w:tcW w:w="4060" w:type="dxa"/>
            <w:vAlign w:val="bottom"/>
          </w:tcPr>
          <w:p>
            <w:pPr>
              <w:ind w:left="20"/>
              <w:spacing w:after="0"/>
              <w:rPr>
                <w:sz w:val="20"/>
                <w:szCs w:val="20"/>
                <w:color w:val="auto"/>
              </w:rPr>
            </w:pPr>
            <w:r>
              <w:rPr>
                <w:rFonts w:ascii="Arial" w:cs="Arial" w:eastAsia="Arial" w:hAnsi="Arial"/>
                <w:sz w:val="14"/>
                <w:szCs w:val="14"/>
                <w:color w:val="auto"/>
              </w:rPr>
              <w:t>Add: Internalization fee to affiliate</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1"/>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FTAI Power pre-commercial research and development</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0"/>
        </w:trPr>
        <w:tc>
          <w:tcPr>
            <w:tcW w:w="4060" w:type="dxa"/>
            <w:vAlign w:val="bottom"/>
          </w:tcPr>
          <w:p>
            <w:pPr>
              <w:ind w:left="20"/>
              <w:spacing w:after="0" w:line="151" w:lineRule="exact"/>
              <w:rPr>
                <w:sz w:val="20"/>
                <w:szCs w:val="20"/>
                <w:color w:val="auto"/>
              </w:rPr>
            </w:pPr>
            <w:r>
              <w:rPr>
                <w:rFonts w:ascii="Arial" w:cs="Arial" w:eastAsia="Arial" w:hAnsi="Arial"/>
                <w:sz w:val="14"/>
                <w:szCs w:val="14"/>
                <w:color w:val="auto"/>
              </w:rPr>
              <w:t>Add: Pro-rata share of Adjusted EBITDA from unconsolidated</w:t>
            </w:r>
          </w:p>
        </w:tc>
        <w:tc>
          <w:tcPr>
            <w:tcW w:w="24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2,109</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1,082</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1,027</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2,573</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2,134</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439</w:t>
            </w:r>
          </w:p>
        </w:tc>
        <w:tc>
          <w:tcPr>
            <w:tcW w:w="0" w:type="dxa"/>
            <w:vAlign w:val="bottom"/>
          </w:tcPr>
          <w:p>
            <w:pPr>
              <w:spacing w:after="0"/>
              <w:rPr>
                <w:sz w:val="1"/>
                <w:szCs w:val="1"/>
                <w:color w:val="auto"/>
              </w:rPr>
            </w:pPr>
          </w:p>
        </w:tc>
      </w:tr>
      <w:tr>
        <w:trPr>
          <w:trHeight w:val="201"/>
        </w:trPr>
        <w:tc>
          <w:tcPr>
            <w:tcW w:w="4060" w:type="dxa"/>
            <w:vAlign w:val="bottom"/>
          </w:tcPr>
          <w:p>
            <w:pPr>
              <w:ind w:left="20"/>
              <w:spacing w:after="0" w:line="201" w:lineRule="exact"/>
              <w:rPr>
                <w:sz w:val="20"/>
                <w:szCs w:val="20"/>
                <w:color w:val="auto"/>
              </w:rPr>
            </w:pPr>
            <w:r>
              <w:rPr>
                <w:rFonts w:ascii="Arial" w:cs="Arial" w:eastAsia="Arial" w:hAnsi="Arial"/>
                <w:sz w:val="14"/>
                <w:szCs w:val="14"/>
                <w:color w:val="auto"/>
              </w:rPr>
              <w:t xml:space="preserve">entities </w:t>
            </w:r>
            <w:r>
              <w:rPr>
                <w:rFonts w:ascii="Arial" w:cs="Arial" w:eastAsia="Arial" w:hAnsi="Arial"/>
                <w:sz w:val="18"/>
                <w:szCs w:val="18"/>
                <w:color w:val="auto"/>
                <w:vertAlign w:val="superscript"/>
              </w:rPr>
              <w:t>(1)</w:t>
            </w:r>
          </w:p>
        </w:tc>
        <w:tc>
          <w:tcPr>
            <w:tcW w:w="2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Equity in losses (earnings) of unconsolidated entities</w:t>
            </w: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(1,431)</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(767)</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(664)</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(1,209)</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(1,594)</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385</w:t>
            </w:r>
          </w:p>
        </w:tc>
        <w:tc>
          <w:tcPr>
            <w:tcW w:w="0" w:type="dxa"/>
            <w:vAlign w:val="bottom"/>
          </w:tcPr>
          <w:p>
            <w:pPr>
              <w:spacing w:after="0"/>
              <w:rPr>
                <w:sz w:val="1"/>
                <w:szCs w:val="1"/>
                <w:color w:val="auto"/>
              </w:rPr>
            </w:pPr>
          </w:p>
        </w:tc>
      </w:tr>
      <w:tr>
        <w:trPr>
          <w:trHeight w:val="197"/>
        </w:trPr>
        <w:tc>
          <w:tcPr>
            <w:tcW w:w="4060" w:type="dxa"/>
            <w:vAlign w:val="bottom"/>
          </w:tcPr>
          <w:p>
            <w:pPr>
              <w:ind w:left="20"/>
              <w:spacing w:after="0"/>
              <w:rPr>
                <w:sz w:val="20"/>
                <w:szCs w:val="20"/>
                <w:color w:val="auto"/>
              </w:rPr>
            </w:pPr>
            <w:r>
              <w:rPr>
                <w:rFonts w:ascii="Arial" w:cs="Arial" w:eastAsia="Arial" w:hAnsi="Arial"/>
                <w:sz w:val="14"/>
                <w:szCs w:val="14"/>
                <w:b w:val="1"/>
                <w:bCs w:val="1"/>
                <w:color w:val="auto"/>
              </w:rPr>
              <w:t>Adjusted EBITDA (non-GAAP)</w:t>
            </w:r>
          </w:p>
        </w:tc>
        <w:tc>
          <w:tcPr>
            <w:tcW w:w="24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282,379</w:t>
            </w:r>
          </w:p>
        </w:tc>
        <w:tc>
          <w:tcPr>
            <w:tcW w:w="40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180,421</w:t>
            </w:r>
          </w:p>
        </w:tc>
        <w:tc>
          <w:tcPr>
            <w:tcW w:w="12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101,958</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754,671</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476,230</w:t>
            </w:r>
          </w:p>
        </w:tc>
        <w:tc>
          <w:tcPr>
            <w:tcW w:w="12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278,441</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40" w:hanging="332"/>
        <w:spacing w:after="0" w:line="285" w:lineRule="auto"/>
        <w:tabs>
          <w:tab w:leader="none" w:pos="327"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the following items for the three months ended September 30, 2026: (i) net income of $1,431 (2025 - $767), (ii) depreciation and amortization expense of $671 (2025 - $420), and (iii) tax expense of $7 (2025 - benefit of $105).</w:t>
      </w:r>
    </w:p>
    <w:p>
      <w:pPr>
        <w:spacing w:after="0" w:line="63" w:lineRule="exact"/>
        <w:rPr>
          <w:rFonts w:ascii="Arial" w:cs="Arial" w:eastAsia="Arial" w:hAnsi="Arial"/>
          <w:sz w:val="14"/>
          <w:szCs w:val="14"/>
          <w:color w:val="auto"/>
        </w:rPr>
      </w:pPr>
    </w:p>
    <w:p>
      <w:pPr>
        <w:ind w:left="340"/>
        <w:spacing w:after="0" w:line="305" w:lineRule="auto"/>
        <w:rPr>
          <w:rFonts w:ascii="Arial" w:cs="Arial" w:eastAsia="Arial" w:hAnsi="Arial"/>
          <w:sz w:val="14"/>
          <w:szCs w:val="14"/>
          <w:color w:val="auto"/>
        </w:rPr>
      </w:pPr>
      <w:r>
        <w:rPr>
          <w:rFonts w:ascii="Arial" w:cs="Arial" w:eastAsia="Arial" w:hAnsi="Arial"/>
          <w:sz w:val="14"/>
          <w:szCs w:val="14"/>
          <w:color w:val="auto"/>
        </w:rPr>
        <w:t>Includes the following items for the nine months ended September 30, 2026: (i) net income of $1,209 (2025 - $1,594), (ii) depreciation and amortization expense of $1,302 (2025 - $645), and (iii) tax expense of $62 (2025 - benefit of $105).</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931" w:right="339" w:bottom="1440" w:gutter="0" w:footer="0" w:header="0"/>
        </w:sectPr>
      </w:pPr>
    </w:p>
    <w:bookmarkStart w:id="10" w:name="page11"/>
    <w:bookmarkEnd w:id="10"/>
    <w:p>
      <w:pPr>
        <w:spacing w:after="0" w:line="287" w:lineRule="auto"/>
        <w:rPr>
          <w:sz w:val="20"/>
          <w:szCs w:val="20"/>
          <w:color w:val="auto"/>
        </w:rPr>
      </w:pPr>
      <w:r>
        <w:rPr>
          <w:rFonts w:ascii="Arial" w:cs="Arial" w:eastAsia="Arial" w:hAnsi="Arial"/>
          <w:sz w:val="18"/>
          <w:szCs w:val="18"/>
          <w:color w:val="auto"/>
        </w:rPr>
        <w:t>The following table sets forth a reconciliation of net income attributable to shareholders to Adjusted EBITDA for Aviation Leasing for the three and nine months ended September 30, 2026 and 2025:</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2400" w:type="dxa"/>
            <w:vAlign w:val="bottom"/>
            <w:gridSpan w:val="7"/>
          </w:tcPr>
          <w:p>
            <w:pPr>
              <w:ind w:left="40"/>
              <w:spacing w:after="0"/>
              <w:rPr>
                <w:sz w:val="20"/>
                <w:szCs w:val="20"/>
                <w:color w:val="auto"/>
              </w:rPr>
            </w:pPr>
            <w:r>
              <w:rPr>
                <w:rFonts w:ascii="Arial" w:cs="Arial" w:eastAsia="Arial" w:hAnsi="Arial"/>
                <w:sz w:val="14"/>
                <w:szCs w:val="14"/>
                <w:b w:val="1"/>
                <w:bCs w:val="1"/>
                <w:color w:val="auto"/>
              </w:rPr>
              <w:t>Three Months Ended September</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8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30,</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8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2026</w:t>
            </w:r>
          </w:p>
        </w:tc>
        <w:tc>
          <w:tcPr>
            <w:tcW w:w="6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2026</w:t>
            </w:r>
          </w:p>
        </w:tc>
        <w:tc>
          <w:tcPr>
            <w:tcW w:w="1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7"/>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attributable to shareholders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25,148</w:t>
            </w:r>
          </w:p>
        </w:tc>
        <w:tc>
          <w:tcPr>
            <w:tcW w:w="4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41,612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(16,464)</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110,452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225,069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(114,617)</w:t>
            </w:r>
          </w:p>
        </w:tc>
        <w:tc>
          <w:tcPr>
            <w:tcW w:w="0" w:type="dxa"/>
            <w:vAlign w:val="bottom"/>
          </w:tcPr>
          <w:p>
            <w:pPr>
              <w:spacing w:after="0"/>
              <w:rPr>
                <w:sz w:val="1"/>
                <w:szCs w:val="1"/>
                <w:color w:val="auto"/>
              </w:rPr>
            </w:pPr>
          </w:p>
        </w:tc>
      </w:tr>
      <w:tr>
        <w:trPr>
          <w:trHeight w:val="202"/>
        </w:trPr>
        <w:tc>
          <w:tcPr>
            <w:tcW w:w="4120" w:type="dxa"/>
            <w:vAlign w:val="bottom"/>
          </w:tcPr>
          <w:p>
            <w:pPr>
              <w:ind w:left="20"/>
              <w:spacing w:after="0"/>
              <w:rPr>
                <w:sz w:val="20"/>
                <w:szCs w:val="20"/>
                <w:color w:val="auto"/>
              </w:rPr>
            </w:pPr>
            <w:r>
              <w:rPr>
                <w:rFonts w:ascii="Arial" w:cs="Arial" w:eastAsia="Arial" w:hAnsi="Arial"/>
                <w:sz w:val="14"/>
                <w:szCs w:val="14"/>
                <w:color w:val="auto"/>
              </w:rPr>
              <w:t>Add: Provision for income taxes</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8,373</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14,500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(6,127)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34,470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58,301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(23,831)</w:t>
            </w:r>
          </w:p>
        </w:tc>
        <w:tc>
          <w:tcPr>
            <w:tcW w:w="0" w:type="dxa"/>
            <w:vAlign w:val="bottom"/>
          </w:tcPr>
          <w:p>
            <w:pPr>
              <w:spacing w:after="0"/>
              <w:rPr>
                <w:sz w:val="1"/>
                <w:szCs w:val="1"/>
                <w:color w:val="auto"/>
              </w:rPr>
            </w:pPr>
          </w:p>
        </w:tc>
      </w:tr>
      <w:tr>
        <w:trPr>
          <w:trHeight w:val="203"/>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361</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886</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w:t>
            </w:r>
          </w:p>
        </w:tc>
        <w:tc>
          <w:tcPr>
            <w:tcW w:w="0" w:type="dxa"/>
            <w:vAlign w:val="bottom"/>
          </w:tcPr>
          <w:p>
            <w:pPr>
              <w:spacing w:after="0"/>
              <w:rPr>
                <w:sz w:val="1"/>
                <w:szCs w:val="1"/>
                <w:color w:val="auto"/>
              </w:rPr>
            </w:pPr>
          </w:p>
        </w:tc>
      </w:tr>
      <w:tr>
        <w:trPr>
          <w:trHeight w:val="202"/>
        </w:trPr>
        <w:tc>
          <w:tcPr>
            <w:tcW w:w="412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1,374</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3,571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(2,197)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7,408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7,053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355</w:t>
            </w:r>
          </w:p>
        </w:tc>
        <w:tc>
          <w:tcPr>
            <w:tcW w:w="0" w:type="dxa"/>
            <w:vAlign w:val="bottom"/>
          </w:tcPr>
          <w:p>
            <w:pPr>
              <w:spacing w:after="0"/>
              <w:rPr>
                <w:sz w:val="1"/>
                <w:szCs w:val="1"/>
                <w:color w:val="auto"/>
              </w:rPr>
            </w:pPr>
          </w:p>
        </w:tc>
      </w:tr>
      <w:tr>
        <w:trPr>
          <w:trHeight w:val="154"/>
        </w:trPr>
        <w:tc>
          <w:tcPr>
            <w:tcW w:w="4120" w:type="dxa"/>
            <w:vAlign w:val="bottom"/>
            <w:shd w:val="clear" w:color="auto" w:fill="CCEEFF"/>
          </w:tcPr>
          <w:p>
            <w:pPr>
              <w:ind w:left="20"/>
              <w:spacing w:after="0" w:line="154" w:lineRule="exact"/>
              <w:rPr>
                <w:sz w:val="20"/>
                <w:szCs w:val="20"/>
                <w:color w:val="auto"/>
              </w:rPr>
            </w:pPr>
            <w:r>
              <w:rPr>
                <w:rFonts w:ascii="Arial" w:cs="Arial" w:eastAsia="Arial" w:hAnsi="Arial"/>
                <w:sz w:val="14"/>
                <w:szCs w:val="14"/>
                <w:color w:val="auto"/>
              </w:rPr>
              <w:t>Add: Losses on the modification or extinguishment of debt and</w:t>
            </w:r>
          </w:p>
        </w:tc>
        <w:tc>
          <w:tcPr>
            <w:tcW w:w="24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preferred shares and capital lease obligations</w:t>
            </w:r>
          </w:p>
        </w:tc>
        <w:tc>
          <w:tcPr>
            <w:tcW w:w="24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120" w:type="dxa"/>
            <w:vAlign w:val="bottom"/>
          </w:tcPr>
          <w:p>
            <w:pPr>
              <w:ind w:left="20"/>
              <w:spacing w:after="0"/>
              <w:rPr>
                <w:sz w:val="20"/>
                <w:szCs w:val="20"/>
                <w:color w:val="auto"/>
              </w:rPr>
            </w:pPr>
            <w:r>
              <w:rPr>
                <w:rFonts w:ascii="Arial" w:cs="Arial" w:eastAsia="Arial" w:hAnsi="Arial"/>
                <w:sz w:val="14"/>
                <w:szCs w:val="14"/>
                <w:color w:val="auto"/>
              </w:rPr>
              <w:t>Add: Asset impairment charges</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Incentive allocations</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12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Add: Depreciation and amortization expense </w:t>
            </w:r>
            <w:r>
              <w:rPr>
                <w:rFonts w:ascii="Arial" w:cs="Arial" w:eastAsia="Arial" w:hAnsi="Arial"/>
                <w:sz w:val="18"/>
                <w:szCs w:val="18"/>
                <w:color w:val="auto"/>
                <w:vertAlign w:val="superscript"/>
              </w:rPr>
              <w:t>(1)</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43,130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62,803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(19,673)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142,956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187,553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(44,597)</w:t>
            </w:r>
          </w:p>
        </w:tc>
        <w:tc>
          <w:tcPr>
            <w:tcW w:w="0" w:type="dxa"/>
            <w:vAlign w:val="bottom"/>
          </w:tcPr>
          <w:p>
            <w:pPr>
              <w:spacing w:after="0"/>
              <w:rPr>
                <w:sz w:val="1"/>
                <w:szCs w:val="1"/>
                <w:color w:val="auto"/>
              </w:rPr>
            </w:pPr>
          </w:p>
        </w:tc>
      </w:tr>
      <w:tr>
        <w:trPr>
          <w:trHeight w:val="203"/>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Interest expense and dividends on preferred shares</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8"/>
        </w:trPr>
        <w:tc>
          <w:tcPr>
            <w:tcW w:w="4120" w:type="dxa"/>
            <w:vAlign w:val="bottom"/>
          </w:tcPr>
          <w:p>
            <w:pPr>
              <w:ind w:left="20"/>
              <w:spacing w:after="0"/>
              <w:rPr>
                <w:sz w:val="20"/>
                <w:szCs w:val="20"/>
                <w:color w:val="auto"/>
              </w:rPr>
            </w:pPr>
            <w:r>
              <w:rPr>
                <w:rFonts w:ascii="Arial" w:cs="Arial" w:eastAsia="Arial" w:hAnsi="Arial"/>
                <w:sz w:val="14"/>
                <w:szCs w:val="14"/>
                <w:color w:val="auto"/>
              </w:rPr>
              <w:t>Add: Internalization fee to affiliate</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1"/>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FTAI Power pre-commercial research and development</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4120" w:type="dxa"/>
            <w:vAlign w:val="bottom"/>
          </w:tcPr>
          <w:p>
            <w:pPr>
              <w:ind w:left="20"/>
              <w:spacing w:after="0"/>
              <w:rPr>
                <w:sz w:val="20"/>
                <w:szCs w:val="20"/>
                <w:color w:val="auto"/>
              </w:rPr>
            </w:pPr>
            <w:r>
              <w:rPr>
                <w:rFonts w:ascii="Arial" w:cs="Arial" w:eastAsia="Arial" w:hAnsi="Arial"/>
                <w:sz w:val="14"/>
                <w:szCs w:val="14"/>
                <w:color w:val="auto"/>
              </w:rPr>
              <w:t>Add: Pro-rata share of Adjusted EBITDA from unconsolidated</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120" w:type="dxa"/>
            <w:vAlign w:val="bottom"/>
          </w:tcPr>
          <w:p>
            <w:pPr>
              <w:ind w:left="20"/>
              <w:spacing w:after="0"/>
              <w:rPr>
                <w:sz w:val="20"/>
                <w:szCs w:val="20"/>
                <w:color w:val="auto"/>
              </w:rPr>
            </w:pPr>
            <w:r>
              <w:rPr>
                <w:rFonts w:ascii="Arial" w:cs="Arial" w:eastAsia="Arial" w:hAnsi="Arial"/>
                <w:sz w:val="14"/>
                <w:szCs w:val="14"/>
                <w:color w:val="auto"/>
              </w:rPr>
              <w:t xml:space="preserve">entities </w:t>
            </w:r>
            <w:r>
              <w:rPr>
                <w:rFonts w:ascii="Arial" w:cs="Arial" w:eastAsia="Arial" w:hAnsi="Arial"/>
                <w:sz w:val="18"/>
                <w:szCs w:val="18"/>
                <w:color w:val="auto"/>
                <w:vertAlign w:val="superscript"/>
              </w:rPr>
              <w:t>(2)</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46,214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10,575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35,639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94,023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14,379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79,644</w:t>
            </w:r>
          </w:p>
        </w:tc>
        <w:tc>
          <w:tcPr>
            <w:tcW w:w="0" w:type="dxa"/>
            <w:vAlign w:val="bottom"/>
          </w:tcPr>
          <w:p>
            <w:pPr>
              <w:spacing w:after="0"/>
              <w:rPr>
                <w:sz w:val="1"/>
                <w:szCs w:val="1"/>
                <w:color w:val="auto"/>
              </w:rPr>
            </w:pPr>
          </w:p>
        </w:tc>
      </w:tr>
      <w:tr>
        <w:trPr>
          <w:trHeight w:val="228"/>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Equity in (earnings) losses of unconsolidated entities</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(20,557)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(21,640)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(44,983)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2,642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(47,625)</w:t>
            </w:r>
          </w:p>
        </w:tc>
        <w:tc>
          <w:tcPr>
            <w:tcW w:w="0" w:type="dxa"/>
            <w:vAlign w:val="bottom"/>
          </w:tcPr>
          <w:p>
            <w:pPr>
              <w:spacing w:after="0"/>
              <w:rPr>
                <w:sz w:val="1"/>
                <w:szCs w:val="1"/>
                <w:color w:val="auto"/>
              </w:rPr>
            </w:pPr>
          </w:p>
        </w:tc>
      </w:tr>
      <w:tr>
        <w:trPr>
          <w:trHeight w:val="197"/>
        </w:trPr>
        <w:tc>
          <w:tcPr>
            <w:tcW w:w="4120" w:type="dxa"/>
            <w:vAlign w:val="bottom"/>
          </w:tcPr>
          <w:p>
            <w:pPr>
              <w:ind w:left="20"/>
              <w:spacing w:after="0"/>
              <w:rPr>
                <w:sz w:val="20"/>
                <w:szCs w:val="20"/>
                <w:color w:val="auto"/>
              </w:rPr>
            </w:pPr>
            <w:r>
              <w:rPr>
                <w:rFonts w:ascii="Arial" w:cs="Arial" w:eastAsia="Arial" w:hAnsi="Arial"/>
                <w:sz w:val="14"/>
                <w:szCs w:val="14"/>
                <w:b w:val="1"/>
                <w:bCs w:val="1"/>
                <w:color w:val="auto"/>
              </w:rPr>
              <w:t>Adjusted EBITDA (non-GAAP)</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104,043</w:t>
            </w:r>
          </w:p>
        </w:tc>
        <w:tc>
          <w:tcPr>
            <w:tcW w:w="4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134,408</w:t>
            </w:r>
          </w:p>
        </w:tc>
        <w:tc>
          <w:tcPr>
            <w:tcW w:w="12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(30,365)</w:t>
            </w:r>
          </w:p>
        </w:tc>
        <w:tc>
          <w:tcPr>
            <w:tcW w:w="12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345,212</w:t>
            </w:r>
          </w:p>
        </w:tc>
        <w:tc>
          <w:tcPr>
            <w:tcW w:w="12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495,700</w:t>
            </w:r>
          </w:p>
        </w:tc>
        <w:tc>
          <w:tcPr>
            <w:tcW w:w="12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(150,488)</w:t>
            </w:r>
          </w:p>
        </w:tc>
        <w:tc>
          <w:tcPr>
            <w:tcW w:w="0" w:type="dxa"/>
            <w:vAlign w:val="bottom"/>
          </w:tcPr>
          <w:p>
            <w:pPr>
              <w:spacing w:after="0"/>
              <w:rPr>
                <w:sz w:val="1"/>
                <w:szCs w:val="1"/>
                <w:color w:val="auto"/>
              </w:rPr>
            </w:pPr>
          </w:p>
        </w:tc>
      </w:tr>
      <w:tr>
        <w:trPr>
          <w:trHeight w:val="21"/>
        </w:trPr>
        <w:tc>
          <w:tcPr>
            <w:tcW w:w="4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40" w:right="20" w:hanging="332"/>
        <w:spacing w:after="0" w:line="285" w:lineRule="auto"/>
        <w:tabs>
          <w:tab w:leader="none" w:pos="327"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the following items for the three months ended September 30, 2026: (i) depreciation expense of $37,242 (2025 - $50,226), (ii) lease intangible amortization of $(242) (2025 - $534) and (iii) amortization for lease incentives of $6,130 (2025 - $12,043).</w:t>
      </w:r>
    </w:p>
    <w:p>
      <w:pPr>
        <w:spacing w:after="0" w:line="63" w:lineRule="exact"/>
        <w:rPr>
          <w:rFonts w:ascii="Arial" w:cs="Arial" w:eastAsia="Arial" w:hAnsi="Arial"/>
          <w:sz w:val="14"/>
          <w:szCs w:val="14"/>
          <w:color w:val="auto"/>
        </w:rPr>
      </w:pPr>
    </w:p>
    <w:p>
      <w:pPr>
        <w:ind w:left="340"/>
        <w:spacing w:after="0" w:line="305" w:lineRule="auto"/>
        <w:rPr>
          <w:rFonts w:ascii="Arial" w:cs="Arial" w:eastAsia="Arial" w:hAnsi="Arial"/>
          <w:sz w:val="14"/>
          <w:szCs w:val="14"/>
          <w:color w:val="auto"/>
        </w:rPr>
      </w:pPr>
      <w:r>
        <w:rPr>
          <w:rFonts w:ascii="Arial" w:cs="Arial" w:eastAsia="Arial" w:hAnsi="Arial"/>
          <w:sz w:val="14"/>
          <w:szCs w:val="14"/>
          <w:color w:val="auto"/>
        </w:rPr>
        <w:t>Includes the following items for the nine months ended September 30, 2026: (i) depreciation expense of $124,712 (2025 - $155,710), (ii) lease intangible amortization of $6 (2025 - $5,893) and (iii) amortization for lease incentives of $18,238 (2025 - $25,950).</w:t>
      </w:r>
    </w:p>
    <w:p>
      <w:pPr>
        <w:spacing w:after="0" w:line="49" w:lineRule="exact"/>
        <w:rPr>
          <w:rFonts w:ascii="Arial" w:cs="Arial" w:eastAsia="Arial" w:hAnsi="Arial"/>
          <w:sz w:val="14"/>
          <w:szCs w:val="14"/>
          <w:color w:val="auto"/>
        </w:rPr>
      </w:pPr>
    </w:p>
    <w:p>
      <w:pPr>
        <w:ind w:left="340" w:hanging="332"/>
        <w:spacing w:after="0" w:line="305" w:lineRule="auto"/>
        <w:tabs>
          <w:tab w:leader="none" w:pos="327"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the following items for the three months ended September 30, 2026: (i) net income of $20,557 (2025 - net loss of $1,083), (ii) interest expense of $7,359 (2025 - $2,629), and (iii) depreciation and amortization of $18,298 (2025 - $9,029).</w:t>
      </w:r>
    </w:p>
    <w:p>
      <w:pPr>
        <w:spacing w:after="0" w:line="36" w:lineRule="exact"/>
        <w:rPr>
          <w:rFonts w:ascii="Arial" w:cs="Arial" w:eastAsia="Arial" w:hAnsi="Arial"/>
          <w:sz w:val="14"/>
          <w:szCs w:val="14"/>
          <w:color w:val="auto"/>
        </w:rPr>
      </w:pPr>
    </w:p>
    <w:p>
      <w:pPr>
        <w:ind w:left="340"/>
        <w:spacing w:after="0" w:line="305" w:lineRule="auto"/>
        <w:rPr>
          <w:rFonts w:ascii="Arial" w:cs="Arial" w:eastAsia="Arial" w:hAnsi="Arial"/>
          <w:sz w:val="14"/>
          <w:szCs w:val="14"/>
          <w:color w:val="auto"/>
        </w:rPr>
      </w:pPr>
      <w:r>
        <w:rPr>
          <w:rFonts w:ascii="Arial" w:cs="Arial" w:eastAsia="Arial" w:hAnsi="Arial"/>
          <w:sz w:val="14"/>
          <w:szCs w:val="14"/>
          <w:color w:val="auto"/>
        </w:rPr>
        <w:t>Includes the following items for the nine months ended September 30, 2026: (i) net income of $44,983 (2025 - net loss of $2,642), (ii) interest expense of $16,626 (2025 - $4,119), (iii) depreciation and amortization of $32,414 (2025 - $12,432) and (iv) acquisition and transactions expenses of $0 (2025 - $470).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931" w:right="339" w:bottom="1440" w:gutter="0" w:footer="0" w:header="0"/>
        </w:sectPr>
      </w:pPr>
    </w:p>
    <w:bookmarkStart w:id="11" w:name="page12"/>
    <w:bookmarkEnd w:id="11"/>
    <w:p>
      <w:pPr>
        <w:spacing w:after="0" w:line="287" w:lineRule="auto"/>
        <w:rPr>
          <w:sz w:val="20"/>
          <w:szCs w:val="20"/>
          <w:color w:val="auto"/>
        </w:rPr>
      </w:pPr>
      <w:r>
        <w:rPr>
          <w:rFonts w:ascii="Arial" w:cs="Arial" w:eastAsia="Arial" w:hAnsi="Arial"/>
          <w:sz w:val="18"/>
          <w:szCs w:val="18"/>
          <w:color w:val="auto"/>
        </w:rPr>
        <w:t>The following table sets forth a reconciliation of net loss attributable to shareholders to Adjusted EBITDA for Corporate and Other for the three and nine months ended September 30, 2026 and 2025:</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240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September</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3"/>
          </w:tcPr>
          <w:p>
            <w:pPr>
              <w:jc w:val="right"/>
              <w:ind w:right="128"/>
              <w:spacing w:after="0"/>
              <w:rPr>
                <w:sz w:val="20"/>
                <w:szCs w:val="20"/>
                <w:color w:val="auto"/>
              </w:rPr>
            </w:pPr>
            <w:r>
              <w:rPr>
                <w:rFonts w:ascii="Arial" w:cs="Arial" w:eastAsia="Arial" w:hAnsi="Arial"/>
                <w:sz w:val="14"/>
                <w:szCs w:val="14"/>
                <w:b w:val="1"/>
                <w:bCs w:val="1"/>
                <w:color w:val="auto"/>
              </w:rPr>
              <w:t>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41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2026</w:t>
            </w: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7"/>
        </w:trPr>
        <w:tc>
          <w:tcPr>
            <w:tcW w:w="4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 attributable to shareholders</w:t>
            </w: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(96,543)</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(72,289)</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(24,254)</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(291,454)</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(232,453)</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(59,001)</w:t>
            </w:r>
          </w:p>
        </w:tc>
        <w:tc>
          <w:tcPr>
            <w:tcW w:w="0" w:type="dxa"/>
            <w:vAlign w:val="bottom"/>
          </w:tcPr>
          <w:p>
            <w:pPr>
              <w:spacing w:after="0"/>
              <w:rPr>
                <w:sz w:val="1"/>
                <w:szCs w:val="1"/>
                <w:color w:val="auto"/>
              </w:rPr>
            </w:pPr>
          </w:p>
        </w:tc>
      </w:tr>
      <w:tr>
        <w:trPr>
          <w:trHeight w:val="202"/>
        </w:trPr>
        <w:tc>
          <w:tcPr>
            <w:tcW w:w="4100" w:type="dxa"/>
            <w:vAlign w:val="bottom"/>
          </w:tcPr>
          <w:p>
            <w:pPr>
              <w:ind w:left="20"/>
              <w:spacing w:after="0"/>
              <w:rPr>
                <w:sz w:val="20"/>
                <w:szCs w:val="20"/>
                <w:color w:val="auto"/>
              </w:rPr>
            </w:pPr>
            <w:r>
              <w:rPr>
                <w:rFonts w:ascii="Arial" w:cs="Arial" w:eastAsia="Arial" w:hAnsi="Arial"/>
                <w:sz w:val="14"/>
                <w:szCs w:val="14"/>
                <w:color w:val="auto"/>
              </w:rPr>
              <w:t>Add: Benefit from income taxes</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(37,017)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(14,985)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(22,032)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(89,702)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(43,251)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(46,451)</w:t>
            </w:r>
          </w:p>
        </w:tc>
        <w:tc>
          <w:tcPr>
            <w:tcW w:w="0" w:type="dxa"/>
            <w:vAlign w:val="bottom"/>
          </w:tcPr>
          <w:p>
            <w:pPr>
              <w:spacing w:after="0"/>
              <w:rPr>
                <w:sz w:val="1"/>
                <w:szCs w:val="1"/>
                <w:color w:val="auto"/>
              </w:rPr>
            </w:pPr>
          </w:p>
        </w:tc>
      </w:tr>
      <w:tr>
        <w:trPr>
          <w:trHeight w:val="203"/>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7,168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5,223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1,945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20,072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14,865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5,207</w:t>
            </w:r>
          </w:p>
        </w:tc>
        <w:tc>
          <w:tcPr>
            <w:tcW w:w="0" w:type="dxa"/>
            <w:vAlign w:val="bottom"/>
          </w:tcPr>
          <w:p>
            <w:pPr>
              <w:spacing w:after="0"/>
              <w:rPr>
                <w:sz w:val="1"/>
                <w:szCs w:val="1"/>
                <w:color w:val="auto"/>
              </w:rPr>
            </w:pPr>
          </w:p>
        </w:tc>
      </w:tr>
      <w:tr>
        <w:trPr>
          <w:trHeight w:val="202"/>
        </w:trPr>
        <w:tc>
          <w:tcPr>
            <w:tcW w:w="410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24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b w:val="1"/>
                <w:bCs w:val="1"/>
                <w:color w:val="auto"/>
              </w:rPr>
              <w:t>3,532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2,896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636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19,429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8,649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10,780</w:t>
            </w:r>
          </w:p>
        </w:tc>
        <w:tc>
          <w:tcPr>
            <w:tcW w:w="0" w:type="dxa"/>
            <w:vAlign w:val="bottom"/>
          </w:tcPr>
          <w:p>
            <w:pPr>
              <w:spacing w:after="0"/>
              <w:rPr>
                <w:sz w:val="1"/>
                <w:szCs w:val="1"/>
                <w:color w:val="auto"/>
              </w:rPr>
            </w:pPr>
          </w:p>
        </w:tc>
      </w:tr>
      <w:tr>
        <w:trPr>
          <w:trHeight w:val="154"/>
        </w:trPr>
        <w:tc>
          <w:tcPr>
            <w:tcW w:w="4100" w:type="dxa"/>
            <w:vAlign w:val="bottom"/>
            <w:shd w:val="clear" w:color="auto" w:fill="CCEEFF"/>
          </w:tcPr>
          <w:p>
            <w:pPr>
              <w:ind w:left="20"/>
              <w:spacing w:after="0" w:line="154" w:lineRule="exact"/>
              <w:rPr>
                <w:sz w:val="20"/>
                <w:szCs w:val="20"/>
                <w:color w:val="auto"/>
              </w:rPr>
            </w:pPr>
            <w:r>
              <w:rPr>
                <w:rFonts w:ascii="Arial" w:cs="Arial" w:eastAsia="Arial" w:hAnsi="Arial"/>
                <w:sz w:val="14"/>
                <w:szCs w:val="14"/>
                <w:color w:val="auto"/>
              </w:rPr>
              <w:t>Add: Losses on the modification or extinguishment of debt and</w:t>
            </w:r>
          </w:p>
        </w:tc>
        <w:tc>
          <w:tcPr>
            <w:tcW w:w="24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3,800</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6,327</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(2,527)</w:t>
            </w:r>
          </w:p>
        </w:tc>
        <w:tc>
          <w:tcPr>
            <w:tcW w:w="0" w:type="dxa"/>
            <w:vAlign w:val="bottom"/>
          </w:tcPr>
          <w:p>
            <w:pPr>
              <w:spacing w:after="0"/>
              <w:rPr>
                <w:sz w:val="1"/>
                <w:szCs w:val="1"/>
                <w:color w:val="auto"/>
              </w:rPr>
            </w:pPr>
          </w:p>
        </w:tc>
      </w:tr>
      <w:tr>
        <w:trPr>
          <w:trHeight w:val="185"/>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preferred shares and capital lease obligations</w:t>
            </w:r>
          </w:p>
        </w:tc>
        <w:tc>
          <w:tcPr>
            <w:tcW w:w="24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100" w:type="dxa"/>
            <w:vAlign w:val="bottom"/>
          </w:tcPr>
          <w:p>
            <w:pPr>
              <w:ind w:left="20"/>
              <w:spacing w:after="0"/>
              <w:rPr>
                <w:sz w:val="20"/>
                <w:szCs w:val="20"/>
                <w:color w:val="auto"/>
              </w:rPr>
            </w:pPr>
            <w:r>
              <w:rPr>
                <w:rFonts w:ascii="Arial" w:cs="Arial" w:eastAsia="Arial" w:hAnsi="Arial"/>
                <w:sz w:val="14"/>
                <w:szCs w:val="14"/>
                <w:color w:val="auto"/>
              </w:rPr>
              <w:t>Add: Asset impairment charges</w:t>
            </w:r>
          </w:p>
        </w:tc>
        <w:tc>
          <w:tcPr>
            <w:tcW w:w="2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Incentive allocations</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4100" w:type="dxa"/>
            <w:vAlign w:val="bottom"/>
          </w:tcPr>
          <w:p>
            <w:pPr>
              <w:ind w:left="20"/>
              <w:spacing w:after="0"/>
              <w:rPr>
                <w:sz w:val="20"/>
                <w:szCs w:val="20"/>
                <w:color w:val="auto"/>
              </w:rPr>
            </w:pPr>
            <w:r>
              <w:rPr>
                <w:rFonts w:ascii="Arial" w:cs="Arial" w:eastAsia="Arial" w:hAnsi="Arial"/>
                <w:sz w:val="14"/>
                <w:szCs w:val="14"/>
                <w:color w:val="auto"/>
              </w:rPr>
              <w:t>Add: Depreciation and amortization expense</w:t>
            </w:r>
          </w:p>
        </w:tc>
        <w:tc>
          <w:tcPr>
            <w:tcW w:w="24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b w:val="1"/>
                <w:bCs w:val="1"/>
                <w:color w:val="auto"/>
              </w:rPr>
              <w:t>1,111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1,122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3,335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3,148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203"/>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Interest expense and dividends on preferred shares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66,663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64,493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2,170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199,591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200,322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(731)</w:t>
            </w:r>
          </w:p>
        </w:tc>
        <w:tc>
          <w:tcPr>
            <w:tcW w:w="0" w:type="dxa"/>
            <w:vAlign w:val="bottom"/>
          </w:tcPr>
          <w:p>
            <w:pPr>
              <w:spacing w:after="0"/>
              <w:rPr>
                <w:sz w:val="1"/>
                <w:szCs w:val="1"/>
                <w:color w:val="auto"/>
              </w:rPr>
            </w:pPr>
          </w:p>
        </w:tc>
      </w:tr>
      <w:tr>
        <w:trPr>
          <w:trHeight w:val="228"/>
        </w:trPr>
        <w:tc>
          <w:tcPr>
            <w:tcW w:w="4100" w:type="dxa"/>
            <w:vAlign w:val="bottom"/>
          </w:tcPr>
          <w:p>
            <w:pPr>
              <w:ind w:left="20"/>
              <w:spacing w:after="0"/>
              <w:rPr>
                <w:sz w:val="20"/>
                <w:szCs w:val="20"/>
                <w:color w:val="auto"/>
              </w:rPr>
            </w:pPr>
            <w:r>
              <w:rPr>
                <w:rFonts w:ascii="Arial" w:cs="Arial" w:eastAsia="Arial" w:hAnsi="Arial"/>
                <w:sz w:val="14"/>
                <w:szCs w:val="14"/>
                <w:color w:val="auto"/>
              </w:rPr>
              <w:t>Add: Internalization fee to affiliate</w:t>
            </w: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Add: FTAI Power pre-commercial research and development </w:t>
            </w:r>
            <w:r>
              <w:rPr>
                <w:rFonts w:ascii="Arial" w:cs="Arial" w:eastAsia="Arial" w:hAnsi="Arial"/>
                <w:sz w:val="18"/>
                <w:szCs w:val="18"/>
                <w:color w:val="auto"/>
                <w:vertAlign w:val="superscript"/>
              </w:rPr>
              <w:t>(1)</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22,014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22,014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41,461</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41,461</w:t>
            </w:r>
          </w:p>
        </w:tc>
        <w:tc>
          <w:tcPr>
            <w:tcW w:w="0" w:type="dxa"/>
            <w:vAlign w:val="bottom"/>
          </w:tcPr>
          <w:p>
            <w:pPr>
              <w:spacing w:after="0"/>
              <w:rPr>
                <w:sz w:val="1"/>
                <w:szCs w:val="1"/>
                <w:color w:val="auto"/>
              </w:rPr>
            </w:pPr>
          </w:p>
        </w:tc>
      </w:tr>
      <w:tr>
        <w:trPr>
          <w:trHeight w:val="193"/>
        </w:trPr>
        <w:tc>
          <w:tcPr>
            <w:tcW w:w="4100" w:type="dxa"/>
            <w:vAlign w:val="bottom"/>
          </w:tcPr>
          <w:p>
            <w:pPr>
              <w:ind w:left="20"/>
              <w:spacing w:after="0"/>
              <w:rPr>
                <w:sz w:val="20"/>
                <w:szCs w:val="20"/>
                <w:color w:val="auto"/>
              </w:rPr>
            </w:pPr>
            <w:r>
              <w:rPr>
                <w:rFonts w:ascii="Arial" w:cs="Arial" w:eastAsia="Arial" w:hAnsi="Arial"/>
                <w:sz w:val="14"/>
                <w:szCs w:val="14"/>
                <w:color w:val="auto"/>
              </w:rPr>
              <w:t>Add: Pro-rata share of Adjusted EBITDA from unconsolidated</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100" w:type="dxa"/>
            <w:vAlign w:val="bottom"/>
          </w:tcPr>
          <w:p>
            <w:pPr>
              <w:ind w:left="20"/>
              <w:spacing w:after="0"/>
              <w:rPr>
                <w:sz w:val="20"/>
                <w:szCs w:val="20"/>
                <w:color w:val="auto"/>
              </w:rPr>
            </w:pPr>
            <w:r>
              <w:rPr>
                <w:rFonts w:ascii="Arial" w:cs="Arial" w:eastAsia="Arial" w:hAnsi="Arial"/>
                <w:sz w:val="14"/>
                <w:szCs w:val="14"/>
                <w:color w:val="auto"/>
              </w:rPr>
              <w:t>entities</w:t>
            </w:r>
          </w:p>
        </w:tc>
        <w:tc>
          <w:tcPr>
            <w:tcW w:w="2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Equity in losses (earnings) of unconsolidated entities</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4100" w:type="dxa"/>
            <w:vAlign w:val="bottom"/>
          </w:tcPr>
          <w:p>
            <w:pPr>
              <w:ind w:left="20"/>
              <w:spacing w:after="0"/>
              <w:rPr>
                <w:sz w:val="20"/>
                <w:szCs w:val="20"/>
                <w:color w:val="auto"/>
              </w:rPr>
            </w:pPr>
            <w:r>
              <w:rPr>
                <w:rFonts w:ascii="Arial" w:cs="Arial" w:eastAsia="Arial" w:hAnsi="Arial"/>
                <w:sz w:val="14"/>
                <w:szCs w:val="14"/>
                <w:b w:val="1"/>
                <w:bCs w:val="1"/>
                <w:color w:val="auto"/>
              </w:rPr>
              <w:t>Adjusted EBITDA (non-GAAP)</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(33,072)</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(13,540)</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(19,532)</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(93,468)</w:t>
            </w: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(42,393)</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(51,075)</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40" w:hanging="332"/>
        <w:spacing w:after="0" w:line="285" w:lineRule="auto"/>
        <w:tabs>
          <w:tab w:leader="none" w:pos="327"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Represents non-recurring research and development costs incurred for the design and testing related to the development of FTAI Power’s aeroderivative turbine that has not yet been commercially launched and has not generated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sectPr>
      <w:pgSz w:w="11900" w:h="16838" w:orient="portrait"/>
      <w:cols w:equalWidth="0" w:num="1">
        <w:col w:w="11240"/>
      </w:cols>
      <w:pgMar w:left="320" w:top="103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2026-10-29T05:29:54Z</dcterms:created>
  <dcterms:modified xsi:type="dcterms:W3CDTF">2026-10-29T05:29:54Z</dcterms:modified>
</cp:coreProperties>
</file>