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FTAI Aviation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394" w:right="339" w:bottom="1440" w:gutter="0" w:footer="0" w:header="0"/>
        </w:sectPr>
      </w:pPr>
    </w:p>
    <w:p>
      <w:pPr>
        <w:spacing w:after="0" w:line="22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001-37386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98-1420784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394" w:right="339" w:bottom="1440" w:gutter="0" w:footer="0" w:header="0"/>
          <w:type w:val="continuous"/>
        </w:sectPr>
      </w:pPr>
    </w:p>
    <w:p>
      <w:pPr>
        <w:spacing w:after="0" w:line="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405 West 13th Street, 3rd Floor, New York, New York 10014</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239-7600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5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Title of each class:</w:t>
            </w:r>
          </w:p>
        </w:tc>
        <w:tc>
          <w:tcPr>
            <w:tcW w:w="17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Symbol(s):</w:t>
            </w:r>
          </w:p>
        </w:tc>
        <w:tc>
          <w:tcPr>
            <w:tcW w:w="4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registered:</w:t>
            </w:r>
          </w:p>
        </w:tc>
      </w:tr>
      <w:tr>
        <w:trPr>
          <w:trHeight w:val="198"/>
        </w:trPr>
        <w:tc>
          <w:tcPr>
            <w:tcW w:w="526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Ordinary shares, $0.01 par value per share</w:t>
            </w:r>
          </w:p>
        </w:tc>
        <w:tc>
          <w:tcPr>
            <w:tcW w:w="178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4"/>
              </w:rPr>
              <w:t>FTAI</w:t>
            </w:r>
          </w:p>
        </w:tc>
        <w:tc>
          <w:tcPr>
            <w:tcW w:w="420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16"/>
        </w:trPr>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9.50% Fixed-Rate Reset Series D Cumulative Perpetual Redeemable</w:t>
            </w:r>
          </w:p>
        </w:tc>
        <w:tc>
          <w:tcPr>
            <w:tcW w:w="1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6"/>
              </w:rPr>
              <w:t>FTAIM</w:t>
            </w:r>
          </w:p>
        </w:tc>
        <w:tc>
          <w:tcPr>
            <w:tcW w:w="4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34"/>
        </w:trPr>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Preferred Shares</w:t>
            </w:r>
          </w:p>
        </w:tc>
        <w:tc>
          <w:tcPr>
            <w:tcW w:w="178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720"/>
        <w:spacing w:after="0" w:line="207" w:lineRule="exact"/>
        <w:tabs>
          <w:tab w:leader="none" w:pos="10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2026, FTAI Aviation Ltd. (“FTAI Aviation” and, together with its consolidated subsidiaries, the “Company,” “we,” “us” or “our”) announced that FTAI Aviation Investors LLC, its subsidiary (the “Issuer”), is commencing an offering of $1.0 billion aggregate principal amount of senior notes due 2034 (the “Notes”) in a private offering (the “Private Offering”), subject to market and other conditions. The Notes will be fully and unconditionally guaranteed on a senior unsecured basis by FTAI Aviation and by each of the Issuer’s subsidiaries that guarantees the Issuer’s Fourth Amended and Restated Credit Agreement, dated as of April 24, 2026 (as amended, the “Revolving Credit Facility”) and existing senior notes on the date of issuance of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Issuer intends to use a portion of the net proceeds from the Private Offering to (i) repay in full all amounts outstanding under the Revolving Credit Facility (incurred to fund FTAI Aviation’s accelerated share repurchase program) without a reduction in commitments, (ii) redeem a portion of the Issuer's 5.50% Senior Notes due 2028 (the “2028 Notes”) and (iii) pay fees and expenses related to the foregoing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offered in the United States to persons reasonably believed to be qualified institutional buyers under Rule 144A under the Securities Act of 1933, as amended (the “Securities Act”), and to persons outside of the United States under Regulation S under the Securities Act. The Notes will not be registered under the Securities Act or any state securities laws, and, unless so registered, may not be offered or sold in the United States absent registration or an applicable exemption from registration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filed pursuant to Item 8.01 does not constitute a notice of redemption with respect to the 2028 Notes or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statements regarding the consummation of the Private Offering or the Issuer’s anticipated use of the net proceeds from the Private Offering.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communication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including, but not limited to, the risk factors set forth in Item 1A. “Risk Factors” of our Annual Report on Form 10-K for the year ended December 31, 2025 and our Quarterly Report on Form 10-Q for the quarterly period ended September 30, 2026, as updated by annual, quarterly and other reports we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0"/>
                <w:szCs w:val="20"/>
                <w:color w:val="auto"/>
              </w:rPr>
            </w:pPr>
          </w:p>
        </w:tc>
        <w:tc>
          <w:tcPr>
            <w:tcW w:w="4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Nicholas McAleese</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spacing w:after="0"/>
              <w:rPr>
                <w:sz w:val="17"/>
                <w:szCs w:val="17"/>
                <w:color w:val="auto"/>
              </w:rPr>
            </w:pP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Nicholas McAleese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2026-11-02T07:07:19Z</dcterms:created>
  <dcterms:modified xsi:type="dcterms:W3CDTF">2026-11-02T07:07:19Z</dcterms:modified>
</cp:coreProperties>
</file>