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(Mark One)</w:t>
      </w:r>
    </w:p>
    <w:p>
      <w:pPr>
        <w:spacing w:after="0" w:line="194" w:lineRule="exact"/>
        <w:rPr>
          <w:sz w:val="24"/>
          <w:szCs w:val="24"/>
          <w:color w:val="auto"/>
        </w:rPr>
      </w:pPr>
    </w:p>
    <w:p>
      <w:pPr>
        <w:ind w:left="1700" w:hanging="188"/>
        <w:spacing w:after="0"/>
        <w:tabs>
          <w:tab w:leader="none" w:pos="17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QUARTERLY REPORT PURSUANT TO SECTION 13 OR 15(d) OF THE SECURITIES EXCHANGE ACT OF 1934</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For the quarterly period ended </w:t>
      </w:r>
      <w:r>
        <w:rPr>
          <w:rFonts w:ascii="Arial" w:cs="Arial" w:eastAsia="Arial" w:hAnsi="Arial"/>
          <w:sz w:val="16"/>
          <w:szCs w:val="16"/>
          <w:b w:val="1"/>
          <w:bCs w:val="1"/>
          <w:color w:val="auto"/>
        </w:rPr>
        <w:t>March 31, 2017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4180" w:right="1480" w:hanging="2691"/>
        <w:spacing w:after="0" w:line="571" w:lineRule="auto"/>
        <w:tabs>
          <w:tab w:leader="none" w:pos="168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 to ____</w:t>
      </w:r>
    </w:p>
    <w:p>
      <w:pPr>
        <w:ind w:left="4440"/>
        <w:spacing w:after="0"/>
        <w:rPr>
          <w:rFonts w:ascii="MS PGothic" w:cs="MS PGothic" w:eastAsia="MS PGothic" w:hAnsi="MS PGothic"/>
          <w:sz w:val="16"/>
          <w:szCs w:val="16"/>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001-37386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50165</wp:posOffset>
            </wp:positionV>
            <wp:extent cx="1294765" cy="497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94765"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FORTRESS TRANSPORTATION AND INFRASTRUCTURE INVESTORS LLC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9"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6180" w:type="dxa"/>
            <w:vAlign w:val="bottom"/>
            <w:gridSpan w:val="2"/>
          </w:tcPr>
          <w:p>
            <w:pPr>
              <w:jc w:val="center"/>
              <w:ind w:right="900"/>
              <w:spacing w:after="0"/>
              <w:rPr>
                <w:sz w:val="20"/>
                <w:szCs w:val="20"/>
                <w:color w:val="auto"/>
              </w:rPr>
            </w:pPr>
            <w:r>
              <w:rPr>
                <w:rFonts w:ascii="Arial" w:cs="Arial" w:eastAsia="Arial" w:hAnsi="Arial"/>
                <w:sz w:val="16"/>
                <w:szCs w:val="16"/>
                <w:b w:val="1"/>
                <w:bCs w:val="1"/>
                <w:color w:val="auto"/>
              </w:rPr>
              <w:t>Delaware</w:t>
            </w:r>
          </w:p>
        </w:tc>
        <w:tc>
          <w:tcPr>
            <w:tcW w:w="5240" w:type="dxa"/>
            <w:vAlign w:val="bottom"/>
          </w:tcPr>
          <w:p>
            <w:pPr>
              <w:jc w:val="right"/>
              <w:ind w:right="2099"/>
              <w:spacing w:after="0"/>
              <w:rPr>
                <w:sz w:val="20"/>
                <w:szCs w:val="20"/>
                <w:color w:val="auto"/>
              </w:rPr>
            </w:pPr>
            <w:r>
              <w:rPr>
                <w:rFonts w:ascii="Arial" w:cs="Arial" w:eastAsia="Arial" w:hAnsi="Arial"/>
                <w:sz w:val="16"/>
                <w:szCs w:val="16"/>
                <w:b w:val="1"/>
                <w:bCs w:val="1"/>
                <w:color w:val="auto"/>
              </w:rPr>
              <w:t>32-0434238</w:t>
            </w:r>
          </w:p>
        </w:tc>
      </w:tr>
      <w:tr>
        <w:trPr>
          <w:trHeight w:val="35"/>
        </w:trPr>
        <w:tc>
          <w:tcPr>
            <w:tcW w:w="5260" w:type="dxa"/>
            <w:vAlign w:val="bottom"/>
            <w:tcBorders>
              <w:bottom w:val="single" w:sz="8" w:color="auto"/>
            </w:tcBorders>
          </w:tcPr>
          <w:p>
            <w:pPr>
              <w:spacing w:after="0"/>
              <w:rPr>
                <w:sz w:val="3"/>
                <w:szCs w:val="3"/>
                <w:color w:val="auto"/>
              </w:rPr>
            </w:pPr>
          </w:p>
        </w:tc>
        <w:tc>
          <w:tcPr>
            <w:tcW w:w="920" w:type="dxa"/>
            <w:vAlign w:val="bottom"/>
          </w:tcPr>
          <w:p>
            <w:pPr>
              <w:spacing w:after="0"/>
              <w:rPr>
                <w:sz w:val="3"/>
                <w:szCs w:val="3"/>
                <w:color w:val="auto"/>
              </w:rPr>
            </w:pPr>
          </w:p>
        </w:tc>
        <w:tc>
          <w:tcPr>
            <w:tcW w:w="5240" w:type="dxa"/>
            <w:vAlign w:val="bottom"/>
            <w:tcBorders>
              <w:bottom w:val="single" w:sz="8" w:color="auto"/>
            </w:tcBorders>
          </w:tcPr>
          <w:p>
            <w:pPr>
              <w:spacing w:after="0"/>
              <w:rPr>
                <w:sz w:val="3"/>
                <w:szCs w:val="3"/>
                <w:color w:val="auto"/>
              </w:rPr>
            </w:pPr>
          </w:p>
        </w:tc>
      </w:tr>
      <w:tr>
        <w:trPr>
          <w:trHeight w:val="221"/>
        </w:trPr>
        <w:tc>
          <w:tcPr>
            <w:tcW w:w="6180" w:type="dxa"/>
            <w:vAlign w:val="bottom"/>
            <w:gridSpan w:val="2"/>
          </w:tcPr>
          <w:p>
            <w:pPr>
              <w:jc w:val="center"/>
              <w:ind w:right="920"/>
              <w:spacing w:after="0"/>
              <w:rPr>
                <w:sz w:val="20"/>
                <w:szCs w:val="20"/>
                <w:color w:val="auto"/>
              </w:rPr>
            </w:pPr>
            <w:r>
              <w:rPr>
                <w:rFonts w:ascii="Arial" w:cs="Arial" w:eastAsia="Arial" w:hAnsi="Arial"/>
                <w:sz w:val="16"/>
                <w:szCs w:val="16"/>
                <w:color w:val="auto"/>
              </w:rPr>
              <w:t>(State or other jurisdiction of incorporation or organization)</w:t>
            </w:r>
          </w:p>
        </w:tc>
        <w:tc>
          <w:tcPr>
            <w:tcW w:w="524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495"/>
        </w:trPr>
        <w:tc>
          <w:tcPr>
            <w:tcW w:w="6180" w:type="dxa"/>
            <w:vAlign w:val="bottom"/>
            <w:gridSpan w:val="2"/>
          </w:tcPr>
          <w:p>
            <w:pPr>
              <w:jc w:val="center"/>
              <w:ind w:right="920"/>
              <w:spacing w:after="0"/>
              <w:rPr>
                <w:sz w:val="20"/>
                <w:szCs w:val="20"/>
                <w:color w:val="auto"/>
              </w:rPr>
            </w:pPr>
            <w:r>
              <w:rPr>
                <w:rFonts w:ascii="Arial" w:cs="Arial" w:eastAsia="Arial" w:hAnsi="Arial"/>
                <w:sz w:val="16"/>
                <w:szCs w:val="16"/>
                <w:b w:val="1"/>
                <w:bCs w:val="1"/>
                <w:color w:val="auto"/>
              </w:rPr>
              <w:t>1345 Avenue of the Americas,</w:t>
            </w:r>
          </w:p>
        </w:tc>
        <w:tc>
          <w:tcPr>
            <w:tcW w:w="5240" w:type="dxa"/>
            <w:vAlign w:val="bottom"/>
          </w:tcPr>
          <w:p>
            <w:pPr>
              <w:jc w:val="right"/>
              <w:ind w:right="2319"/>
              <w:spacing w:after="0"/>
              <w:rPr>
                <w:sz w:val="20"/>
                <w:szCs w:val="20"/>
                <w:color w:val="auto"/>
              </w:rPr>
            </w:pPr>
            <w:r>
              <w:rPr>
                <w:rFonts w:ascii="Arial" w:cs="Arial" w:eastAsia="Arial" w:hAnsi="Arial"/>
                <w:sz w:val="16"/>
                <w:szCs w:val="16"/>
                <w:b w:val="1"/>
                <w:bCs w:val="1"/>
                <w:color w:val="auto"/>
              </w:rPr>
              <w:t>10105</w:t>
            </w:r>
          </w:p>
        </w:tc>
      </w:tr>
      <w:tr>
        <w:trPr>
          <w:trHeight w:val="232"/>
        </w:trPr>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New York, NY</w:t>
            </w:r>
          </w:p>
        </w:tc>
        <w:tc>
          <w:tcPr>
            <w:tcW w:w="920" w:type="dxa"/>
            <w:vAlign w:val="bottom"/>
          </w:tcPr>
          <w:p>
            <w:pPr>
              <w:spacing w:after="0"/>
              <w:rPr>
                <w:sz w:val="20"/>
                <w:szCs w:val="20"/>
                <w:color w:val="auto"/>
              </w:rPr>
            </w:pPr>
          </w:p>
        </w:tc>
        <w:tc>
          <w:tcPr>
            <w:tcW w:w="5240" w:type="dxa"/>
            <w:vAlign w:val="bottom"/>
            <w:tcBorders>
              <w:bottom w:val="single" w:sz="8" w:color="auto"/>
            </w:tcBorders>
          </w:tcPr>
          <w:p>
            <w:pPr>
              <w:spacing w:after="0"/>
              <w:rPr>
                <w:sz w:val="20"/>
                <w:szCs w:val="20"/>
                <w:color w:val="auto"/>
              </w:rPr>
            </w:pPr>
          </w:p>
        </w:tc>
      </w:tr>
      <w:tr>
        <w:trPr>
          <w:trHeight w:val="225"/>
        </w:trPr>
        <w:tc>
          <w:tcPr>
            <w:tcW w:w="6180" w:type="dxa"/>
            <w:vAlign w:val="bottom"/>
            <w:gridSpan w:val="2"/>
          </w:tcPr>
          <w:p>
            <w:pPr>
              <w:jc w:val="center"/>
              <w:ind w:right="920"/>
              <w:spacing w:after="0"/>
              <w:rPr>
                <w:sz w:val="20"/>
                <w:szCs w:val="20"/>
                <w:color w:val="auto"/>
              </w:rPr>
            </w:pPr>
            <w:r>
              <w:rPr>
                <w:rFonts w:ascii="Arial" w:cs="Arial" w:eastAsia="Arial" w:hAnsi="Arial"/>
                <w:sz w:val="16"/>
                <w:szCs w:val="16"/>
                <w:color w:val="auto"/>
              </w:rPr>
              <w:t>(Address of principal executive offices)</w:t>
            </w:r>
          </w:p>
        </w:tc>
        <w:tc>
          <w:tcPr>
            <w:tcW w:w="524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0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(212) 798-6100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0" w:lineRule="exact"/>
        <w:rPr>
          <w:sz w:val="24"/>
          <w:szCs w:val="24"/>
          <w:color w:val="auto"/>
        </w:rPr>
      </w:pPr>
    </w:p>
    <w:p>
      <w:pPr>
        <w:jc w:val="both"/>
        <w:ind w:right="140"/>
        <w:spacing w:after="0" w:line="20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0" w:lineRule="exact"/>
        <w:rPr>
          <w:sz w:val="24"/>
          <w:szCs w:val="24"/>
          <w:color w:val="auto"/>
        </w:rPr>
      </w:pPr>
    </w:p>
    <w:p>
      <w:pPr>
        <w:ind w:right="80"/>
        <w:spacing w:after="0" w:line="204"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33" w:lineRule="exact"/>
        <w:rPr>
          <w:sz w:val="24"/>
          <w:szCs w:val="24"/>
          <w:color w:val="auto"/>
        </w:rPr>
      </w:pPr>
    </w:p>
    <w:p>
      <w:pPr>
        <w:ind w:right="200"/>
        <w:spacing w:after="0" w:line="30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27" w:right="239" w:bottom="1440" w:gutter="0" w:footer="0" w:header="0"/>
        </w:sectPr>
      </w:pPr>
    </w:p>
    <w:p>
      <w:pPr>
        <w:spacing w:after="0" w:line="76" w:lineRule="exact"/>
        <w:rPr>
          <w:sz w:val="24"/>
          <w:szCs w:val="24"/>
          <w:color w:val="auto"/>
        </w:rPr>
      </w:pPr>
    </w:p>
    <w:p>
      <w:pPr>
        <w:ind w:left="19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84" w:lineRule="exact"/>
        <w:rPr>
          <w:sz w:val="24"/>
          <w:szCs w:val="24"/>
          <w:color w:val="auto"/>
        </w:rPr>
      </w:pPr>
    </w:p>
    <w:p>
      <w:pPr>
        <w:sectPr>
          <w:pgSz w:w="11900" w:h="16838" w:orient="portrait"/>
          <w:cols w:equalWidth="0" w:num="2">
            <w:col w:w="7160" w:space="720"/>
            <w:col w:w="3540"/>
          </w:cols>
          <w:pgMar w:left="240" w:top="227" w:right="239" w:bottom="1440" w:gutter="0" w:footer="0" w:header="0"/>
          <w:type w:val="continuous"/>
        </w:sectPr>
      </w:pPr>
    </w:p>
    <w:p>
      <w:pPr>
        <w:spacing w:after="0" w:line="21" w:lineRule="exact"/>
        <w:rPr>
          <w:sz w:val="24"/>
          <w:szCs w:val="24"/>
          <w:color w:val="auto"/>
        </w:rPr>
      </w:pPr>
    </w:p>
    <w:p>
      <w:pPr>
        <w:ind w:left="196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21" w:lineRule="exact"/>
        <w:rPr>
          <w:sz w:val="24"/>
          <w:szCs w:val="24"/>
          <w:color w:val="auto"/>
        </w:rPr>
      </w:pPr>
    </w:p>
    <w:p>
      <w:pPr>
        <w:sectPr>
          <w:pgSz w:w="11900" w:h="16838" w:orient="portrait"/>
          <w:cols w:equalWidth="0" w:num="3">
            <w:col w:w="3460" w:space="80"/>
            <w:col w:w="3200" w:space="720"/>
            <w:col w:w="3960"/>
          </w:cols>
          <w:pgMar w:left="240" w:top="227" w:right="239" w:bottom="1440" w:gutter="0" w:footer="0" w:header="0"/>
          <w:type w:val="continuous"/>
        </w:sectPr>
      </w:pPr>
    </w:p>
    <w:p>
      <w:pPr>
        <w:spacing w:after="0" w:line="53" w:lineRule="exact"/>
        <w:rPr>
          <w:sz w:val="24"/>
          <w:szCs w:val="24"/>
          <w:color w:val="auto"/>
        </w:rPr>
      </w:pPr>
    </w:p>
    <w:p>
      <w:pPr>
        <w:jc w:val="center"/>
        <w:ind w:right="40"/>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ectPr>
          <w:pgSz w:w="11900" w:h="16838" w:orient="portrait"/>
          <w:cols w:equalWidth="0" w:num="1">
            <w:col w:w="11420"/>
          </w:cols>
          <w:pgMar w:left="240" w:top="227" w:right="239" w:bottom="1440" w:gutter="0" w:footer="0" w:header="0"/>
          <w:type w:val="continuous"/>
        </w:sectPr>
      </w:pPr>
    </w:p>
    <w:p>
      <w:pPr>
        <w:spacing w:after="0" w:line="241" w:lineRule="exact"/>
        <w:rPr>
          <w:sz w:val="24"/>
          <w:szCs w:val="24"/>
          <w:color w:val="auto"/>
        </w:rPr>
      </w:pPr>
    </w:p>
    <w:p>
      <w:pPr>
        <w:ind w:right="300"/>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43" w:lineRule="exact"/>
        <w:rPr>
          <w:sz w:val="24"/>
          <w:szCs w:val="24"/>
          <w:color w:val="auto"/>
        </w:rPr>
      </w:pPr>
    </w:p>
    <w:p>
      <w:pPr>
        <w:spacing w:after="0"/>
        <w:rPr>
          <w:sz w:val="20"/>
          <w:szCs w:val="20"/>
          <w:color w:val="auto"/>
        </w:rPr>
      </w:pPr>
      <w:r>
        <w:rPr>
          <w:rFonts w:ascii="Arial" w:cs="Arial" w:eastAsia="Arial" w:hAnsi="Arial"/>
          <w:sz w:val="16"/>
          <w:szCs w:val="16"/>
          <w:color w:val="auto"/>
        </w:rPr>
        <w:t>There were 75,762,674 common shares representing limited liability company interests outstanding at May 4, 2017.</w:t>
      </w:r>
    </w:p>
    <w:p>
      <w:pPr>
        <w:sectPr>
          <w:pgSz w:w="11900" w:h="16838" w:orient="portrait"/>
          <w:cols w:equalWidth="0" w:num="1">
            <w:col w:w="11420"/>
          </w:cols>
          <w:pgMar w:left="240" w:top="227"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22"/>
          <w:szCs w:val="22"/>
          <w:b w:val="1"/>
          <w:bCs w:val="1"/>
          <w:color w:val="00497F"/>
        </w:rPr>
        <w:t>FORWARD-LOOKING STATEMENTS</w:t>
      </w:r>
    </w:p>
    <w:p>
      <w:pPr>
        <w:spacing w:after="0" w:line="22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Forward-looking statements are not statements of historical fact but instead are based on our present beliefs and assumptions and on information currently available to the Company. You can identify these forward-looking statements by the use of forward-looking words such as “outlook,” “believes,” “expects,” “potential,” “continues,” “may,” “will,” “should,” “could,” “seeks,” “approximately,” “predicts,” “intends,” “plans,” “estimates,” “anticipates,” “target,” “projects,” “contemplates” or the negative version of those words or other comparable words. Any forward-looking statements contained in this report are based upon our historical performance and on our current plans, estimates and expectations in light of information currently available to us. The inclusion of this forward-looking information should not be regarded as a representation by us, that the future plans, estimates or expectations contemplated by us will be achieved. Such forward-looking statements are subject to various risks and uncertainties and assumptions relating to our operations, financial results, financial condition, business, prospects, growth strategy and liquidity. Accordingly, there are or will be important factors that could cause our actual results to differ materially from those indicated in these statements. We believe that these factors include, but are not limited to:</w:t>
      </w:r>
    </w:p>
    <w:p>
      <w:pPr>
        <w:spacing w:after="0" w:line="75" w:lineRule="exact"/>
        <w:rPr>
          <w:sz w:val="20"/>
          <w:szCs w:val="20"/>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economic conditions generally and specifically in our industry sectors, and other risks relating to the global economy;</w:t>
      </w:r>
    </w:p>
    <w:p>
      <w:pPr>
        <w:spacing w:after="0" w:line="113" w:lineRule="exact"/>
        <w:rPr>
          <w:rFonts w:ascii="Arial" w:cs="Arial" w:eastAsia="Arial" w:hAnsi="Arial"/>
          <w:sz w:val="16"/>
          <w:szCs w:val="16"/>
          <w:color w:val="auto"/>
        </w:rPr>
      </w:pPr>
    </w:p>
    <w:p>
      <w:pPr>
        <w:ind w:left="820" w:hanging="326"/>
        <w:spacing w:after="0" w:line="291" w:lineRule="auto"/>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reductions in cash flows received from our assets, as well as contractual limitations on the use of our aviation assets to secure debt for borrowed money;</w:t>
      </w:r>
    </w:p>
    <w:p>
      <w:pPr>
        <w:spacing w:after="0" w:line="40"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take advantage of acquisition opportunities at favorable prices;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a lack of liquidity surrounding our assets, which could impede our ability to vary our portfolio in an appropriate manner;</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relative spreads between the yield on the assets we acquire and the cost of financing;</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adverse changes in the financing markets we access affecting our ability to finance our acquisitions;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customer defaults on their obligations;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renew existing contracts and win additional contracts with existing or potential customers;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availability and cost of capital for future acquisitions;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concentration of a particular type of asset or in a particular sector;</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competition within the aviation, energy, intermodal transport and rail sectors;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competitive market for acquisition opportunities;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related to operating through joint ventures or partnerships or through consortium arrangements;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obsolescence of our assets or our ability to sell, re-lease or re-charter our assets;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exposure to uninsurable losses and force majeure events;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infrastructure operations may require substantial capital expenditures;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legislative/regulatory environment and exposure to increased economic regulation;</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exposure to the oil and gas industry’s volatile oil and gas prices;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difficulties in obtaining effective legal redress in jurisdictions in which we operate with less developed legal systems;</w:t>
      </w:r>
    </w:p>
    <w:p>
      <w:pPr>
        <w:spacing w:after="0" w:line="113" w:lineRule="exact"/>
        <w:rPr>
          <w:rFonts w:ascii="Arial" w:cs="Arial" w:eastAsia="Arial" w:hAnsi="Arial"/>
          <w:sz w:val="16"/>
          <w:szCs w:val="16"/>
          <w:color w:val="auto"/>
        </w:rPr>
      </w:pPr>
    </w:p>
    <w:p>
      <w:pPr>
        <w:ind w:left="820" w:right="20" w:hanging="326"/>
        <w:spacing w:after="0" w:line="291" w:lineRule="auto"/>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our exemption from registration under the Investment Company Act of 1940 and the fact that maintaining such exemption imposes limits on our operations;</w:t>
      </w:r>
    </w:p>
    <w:p>
      <w:pPr>
        <w:spacing w:after="0" w:line="40"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successfully utilize leverage in connection with our investments;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foreign currency risk and risk management activities;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effectiveness of our internal control over financial reporting;</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exposure to environmental risks, including increasing environmental legislation and the broader impacts of climate change;</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interest rates and/or credit spreads, as well as the success of any hedging strategy we may undertake in relation to such changes;</w:t>
      </w:r>
    </w:p>
    <w:p>
      <w:pPr>
        <w:spacing w:after="0" w:line="113" w:lineRule="exact"/>
        <w:rPr>
          <w:rFonts w:ascii="Arial" w:cs="Arial" w:eastAsia="Arial" w:hAnsi="Arial"/>
          <w:sz w:val="16"/>
          <w:szCs w:val="16"/>
          <w:color w:val="auto"/>
        </w:rPr>
      </w:pPr>
    </w:p>
    <w:p>
      <w:pPr>
        <w:ind w:left="820" w:right="20" w:hanging="326"/>
        <w:spacing w:after="0" w:line="291" w:lineRule="auto"/>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actions taken by national, state, or provincial governments, including nationalization, or the imposition of new taxes, could materially impact the financial performance or value of our assets;</w:t>
      </w:r>
    </w:p>
    <w:p>
      <w:pPr>
        <w:spacing w:after="0" w:line="40"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dependence on our Manager and its professionals and actual, potential or perceived conflicts of interest in our relationship with our Manager;</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effects of the pending merger of Fortress Investment Group LLC with affiliates of SoftBank Group Corp.;</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576" w:right="239" w:bottom="1440" w:gutter="0" w:footer="0" w:header="0"/>
        </w:sectPr>
      </w:pPr>
    </w:p>
    <w:bookmarkStart w:id="2" w:name="page3"/>
    <w:bookmarkEnd w:id="2"/>
    <w:p>
      <w:pPr>
        <w:ind w:left="820" w:hanging="326"/>
        <w:spacing w:after="0"/>
        <w:tabs>
          <w:tab w:leader="none" w:pos="820" w:val="left"/>
        </w:tabs>
        <w:numPr>
          <w:ilvl w:val="0"/>
          <w:numId w:val="4"/>
        </w:numPr>
        <w:rPr>
          <w:rFonts w:ascii="Arial" w:cs="Arial" w:eastAsia="Arial" w:hAnsi="Arial"/>
          <w:sz w:val="16"/>
          <w:szCs w:val="16"/>
          <w:color w:val="auto"/>
        </w:rPr>
      </w:pPr>
      <w:r>
        <w:rPr>
          <w:rFonts w:ascii="Arial" w:cs="Arial" w:eastAsia="Arial" w:hAnsi="Arial"/>
          <w:sz w:val="16"/>
          <w:szCs w:val="16"/>
          <w:color w:val="auto"/>
        </w:rPr>
        <w:t>volatility in the market price of our common shares;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inability to pay dividends to our shareholders in the future; and</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other risks described in the “Risk Factors” section of this report.</w:t>
      </w:r>
    </w:p>
    <w:p>
      <w:pPr>
        <w:spacing w:after="0" w:line="113"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These factors should not be construed as exhaustive and should be read in conjunction with the other cautionary statements that are included in this report. The forward-looking statements made in this report relate only to events as of the date on which the statements are made. We do not undertake any obligation to publicly update or review any forward-looking statement except as required by law, whether as a result of new information, future developments or otherwise.</w:t>
      </w:r>
    </w:p>
    <w:p>
      <w:pPr>
        <w:spacing w:after="0" w:line="365"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If one or more of these or other risks or uncertainties materialize, or if our underlying assumptions prove to be incorrect, our actual results may vary materially from what we may have expressed or implied by these forward-looking statements. We caution that you should not place undue reliance on any of our forward-looking statements. Furthermore, new risks and uncertainties arise from time to time, and it is impossible for us to predict those events or how they may affect us.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689" w:right="239" w:bottom="1440" w:gutter="0" w:footer="0" w:header="0"/>
        </w:sectPr>
      </w:pPr>
    </w:p>
    <w:bookmarkStart w:id="3" w:name="page4"/>
    <w:bookmarkEnd w:id="3"/>
    <w:p>
      <w:pPr>
        <w:jc w:val="center"/>
        <w:ind w:right="-439"/>
        <w:spacing w:after="0"/>
        <w:rPr>
          <w:sz w:val="20"/>
          <w:szCs w:val="20"/>
          <w:color w:val="auto"/>
        </w:rPr>
      </w:pPr>
      <w:r>
        <w:rPr>
          <w:rFonts w:ascii="Arial" w:cs="Arial" w:eastAsia="Arial" w:hAnsi="Arial"/>
          <w:sz w:val="22"/>
          <w:szCs w:val="22"/>
          <w:b w:val="1"/>
          <w:bCs w:val="1"/>
          <w:color w:val="00497F"/>
        </w:rPr>
        <w:t>FORTRESS TRANSPORTATION AND INFRASTRUCTURE INVESTORS LLC</w:t>
      </w:r>
    </w:p>
    <w:p>
      <w:pPr>
        <w:spacing w:after="0" w:line="85" w:lineRule="exact"/>
        <w:rPr>
          <w:sz w:val="20"/>
          <w:szCs w:val="20"/>
          <w:color w:val="auto"/>
        </w:rPr>
      </w:pPr>
    </w:p>
    <w:p>
      <w:pPr>
        <w:jc w:val="center"/>
        <w:ind w:right="-439"/>
        <w:spacing w:after="0"/>
        <w:rPr>
          <w:sz w:val="20"/>
          <w:szCs w:val="20"/>
          <w:color w:val="auto"/>
        </w:rPr>
      </w:pPr>
      <w:r>
        <w:rPr>
          <w:rFonts w:ascii="Arial" w:cs="Arial" w:eastAsia="Arial" w:hAnsi="Arial"/>
          <w:sz w:val="22"/>
          <w:szCs w:val="22"/>
          <w:b w:val="1"/>
          <w:bCs w:val="1"/>
          <w:color w:val="00497F"/>
        </w:rPr>
        <w:t>INDEX TO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124460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340" w:type="dxa"/>
            <w:vAlign w:val="bottom"/>
            <w:gridSpan w:val="11"/>
          </w:tcPr>
          <w:p>
            <w:pPr>
              <w:ind w:left="260"/>
              <w:spacing w:after="0"/>
              <w:rPr>
                <w:sz w:val="20"/>
                <w:szCs w:val="20"/>
                <w:color w:val="auto"/>
              </w:rPr>
            </w:pPr>
            <w:r>
              <w:rPr>
                <w:rFonts w:ascii="Arial" w:cs="Arial" w:eastAsia="Arial" w:hAnsi="Arial"/>
                <w:sz w:val="14"/>
                <w:szCs w:val="14"/>
                <w:b w:val="1"/>
                <w:bCs w:val="1"/>
                <w:color w:val="006EBF"/>
              </w:rPr>
              <w:t>PART I - FINANCIAL INFORMATION</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8"/>
        </w:trPr>
        <w:tc>
          <w:tcPr>
            <w:tcW w:w="1040" w:type="dxa"/>
            <w:vAlign w:val="bottom"/>
          </w:tcPr>
          <w:p>
            <w:pPr>
              <w:spacing w:after="0"/>
              <w:rPr>
                <w:sz w:val="20"/>
                <w:szCs w:val="20"/>
                <w:color w:val="auto"/>
              </w:rPr>
            </w:pPr>
            <w:r>
              <w:rPr>
                <w:rFonts w:ascii="Arial" w:cs="Arial" w:eastAsia="Arial" w:hAnsi="Arial"/>
                <w:sz w:val="14"/>
                <w:szCs w:val="14"/>
                <w:b w:val="1"/>
                <w:bCs w:val="1"/>
                <w:color w:val="006EBF"/>
              </w:rPr>
              <w:t>Item 1.</w:t>
            </w:r>
          </w:p>
        </w:tc>
        <w:tc>
          <w:tcPr>
            <w:tcW w:w="9700" w:type="dxa"/>
            <w:vAlign w:val="bottom"/>
            <w:gridSpan w:val="28"/>
          </w:tcPr>
          <w:p>
            <w:pPr>
              <w:spacing w:after="0"/>
              <w:rPr>
                <w:rFonts w:ascii="Arial" w:cs="Arial" w:eastAsia="Arial" w:hAnsi="Arial"/>
                <w:sz w:val="14"/>
                <w:szCs w:val="14"/>
                <w:color w:val="0000EE"/>
              </w:rPr>
            </w:pPr>
            <w:hyperlink w:anchor="page5">
              <w:r>
                <w:rPr>
                  <w:rFonts w:ascii="Arial" w:cs="Arial" w:eastAsia="Arial" w:hAnsi="Arial"/>
                  <w:sz w:val="14"/>
                  <w:szCs w:val="14"/>
                  <w:color w:val="0000EE"/>
                </w:rPr>
                <w:t>Unaudited Consolidated Financial Statements of Fortress Transportation and Infrastructure Investors LLC:</w:t>
              </w:r>
            </w:hyperlink>
          </w:p>
        </w:tc>
        <w:tc>
          <w:tcPr>
            <w:tcW w:w="140" w:type="dxa"/>
            <w:vAlign w:val="bottom"/>
            <w:gridSpan w:val="2"/>
          </w:tcPr>
          <w:p>
            <w:pPr>
              <w:spacing w:after="0"/>
              <w:rPr>
                <w:rFonts w:ascii="Arial" w:cs="Arial" w:eastAsia="Arial" w:hAnsi="Arial"/>
                <w:sz w:val="14"/>
                <w:szCs w:val="14"/>
                <w:color w:val="0000EE"/>
              </w:rPr>
            </w:pPr>
            <w:hyperlink w:anchor="page5">
              <w:r>
                <w:rPr>
                  <w:rFonts w:ascii="Arial" w:cs="Arial" w:eastAsia="Arial" w:hAnsi="Arial"/>
                  <w:sz w:val="14"/>
                  <w:szCs w:val="14"/>
                  <w:color w:val="0000EE"/>
                </w:rPr>
                <w:t>5</w:t>
              </w:r>
            </w:hyperlink>
          </w:p>
        </w:tc>
        <w:tc>
          <w:tcPr>
            <w:tcW w:w="20" w:type="dxa"/>
            <w:vAlign w:val="bottom"/>
          </w:tcPr>
          <w:p>
            <w:pPr>
              <w:spacing w:after="0"/>
              <w:rPr>
                <w:sz w:val="15"/>
                <w:szCs w:val="15"/>
                <w:color w:val="auto"/>
              </w:rPr>
            </w:pPr>
          </w:p>
        </w:tc>
      </w:tr>
      <w:tr>
        <w:trPr>
          <w:trHeight w:val="250"/>
        </w:trPr>
        <w:tc>
          <w:tcPr>
            <w:tcW w:w="1040" w:type="dxa"/>
            <w:vAlign w:val="bottom"/>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4880" w:type="dxa"/>
            <w:vAlign w:val="bottom"/>
            <w:tcBorders>
              <w:top w:val="single" w:sz="8" w:color="0000EE"/>
              <w:bottom w:val="single" w:sz="8" w:color="0000EE"/>
            </w:tcBorders>
            <w:gridSpan w:val="20"/>
          </w:tcPr>
          <w:p>
            <w:pPr>
              <w:spacing w:after="0"/>
              <w:rPr>
                <w:rFonts w:ascii="Arial" w:cs="Arial" w:eastAsia="Arial" w:hAnsi="Arial"/>
                <w:sz w:val="14"/>
                <w:szCs w:val="14"/>
                <w:color w:val="0000EE"/>
              </w:rPr>
            </w:pPr>
            <w:hyperlink w:anchor="page5">
              <w:r>
                <w:rPr>
                  <w:rFonts w:ascii="Arial" w:cs="Arial" w:eastAsia="Arial" w:hAnsi="Arial"/>
                  <w:sz w:val="14"/>
                  <w:szCs w:val="14"/>
                  <w:color w:val="0000EE"/>
                </w:rPr>
                <w:t>Consolidated Balance Sheets as of March 31, 2017 and December 31, 2016</w:t>
              </w:r>
            </w:hyperlink>
          </w:p>
        </w:tc>
        <w:tc>
          <w:tcPr>
            <w:tcW w:w="1520" w:type="dxa"/>
            <w:vAlign w:val="bottom"/>
            <w:tcBorders>
              <w:top w:val="single" w:sz="8" w:color="0000EE"/>
            </w:tcBorders>
            <w:gridSpan w:val="5"/>
          </w:tcPr>
          <w:p>
            <w:pPr>
              <w:spacing w:after="0"/>
              <w:rPr>
                <w:sz w:val="21"/>
                <w:szCs w:val="21"/>
                <w:color w:val="auto"/>
              </w:rPr>
            </w:pPr>
          </w:p>
        </w:tc>
        <w:tc>
          <w:tcPr>
            <w:tcW w:w="2960" w:type="dxa"/>
            <w:vAlign w:val="bottom"/>
            <w:gridSpan w:val="2"/>
          </w:tcPr>
          <w:p>
            <w:pPr>
              <w:spacing w:after="0"/>
              <w:rPr>
                <w:sz w:val="21"/>
                <w:szCs w:val="21"/>
                <w:color w:val="auto"/>
              </w:rPr>
            </w:pPr>
          </w:p>
        </w:tc>
        <w:tc>
          <w:tcPr>
            <w:tcW w:w="80" w:type="dxa"/>
            <w:vAlign w:val="bottom"/>
            <w:tcBorders>
              <w:top w:val="single" w:sz="8" w:color="0000EE"/>
              <w:bottom w:val="single" w:sz="8" w:color="0000EE"/>
            </w:tcBorders>
          </w:tcPr>
          <w:p>
            <w:pPr>
              <w:spacing w:after="0"/>
              <w:rPr>
                <w:rFonts w:ascii="Arial" w:cs="Arial" w:eastAsia="Arial" w:hAnsi="Arial"/>
                <w:sz w:val="14"/>
                <w:szCs w:val="14"/>
                <w:color w:val="0000EE"/>
                <w:w w:val="76"/>
              </w:rPr>
            </w:pPr>
            <w:hyperlink w:anchor="page5">
              <w:r>
                <w:rPr>
                  <w:rFonts w:ascii="Arial" w:cs="Arial" w:eastAsia="Arial" w:hAnsi="Arial"/>
                  <w:sz w:val="14"/>
                  <w:szCs w:val="14"/>
                  <w:color w:val="0000EE"/>
                  <w:w w:val="76"/>
                </w:rPr>
                <w:t>5</w:t>
              </w:r>
            </w:hyperlink>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360" w:type="dxa"/>
            <w:vAlign w:val="bottom"/>
            <w:gridSpan w:val="27"/>
          </w:tcPr>
          <w:p>
            <w:pPr>
              <w:spacing w:after="0"/>
              <w:rPr>
                <w:rFonts w:ascii="Arial" w:cs="Arial" w:eastAsia="Arial" w:hAnsi="Arial"/>
                <w:sz w:val="14"/>
                <w:szCs w:val="14"/>
                <w:color w:val="0000EE"/>
              </w:rPr>
            </w:pPr>
            <w:hyperlink w:anchor="page6">
              <w:r>
                <w:rPr>
                  <w:rFonts w:ascii="Arial" w:cs="Arial" w:eastAsia="Arial" w:hAnsi="Arial"/>
                  <w:sz w:val="14"/>
                  <w:szCs w:val="14"/>
                  <w:color w:val="0000EE"/>
                </w:rPr>
                <w:t>Consolidated Statements of Operations for the three months ended March 31, 2017 and 2016</w:t>
              </w:r>
            </w:hyperlink>
          </w:p>
        </w:tc>
        <w:tc>
          <w:tcPr>
            <w:tcW w:w="140" w:type="dxa"/>
            <w:vAlign w:val="bottom"/>
            <w:gridSpan w:val="2"/>
          </w:tcPr>
          <w:p>
            <w:pPr>
              <w:spacing w:after="0"/>
              <w:rPr>
                <w:rFonts w:ascii="Arial" w:cs="Arial" w:eastAsia="Arial" w:hAnsi="Arial"/>
                <w:sz w:val="14"/>
                <w:szCs w:val="14"/>
                <w:color w:val="0000EE"/>
              </w:rPr>
            </w:pPr>
            <w:hyperlink w:anchor="page6">
              <w:r>
                <w:rPr>
                  <w:rFonts w:ascii="Arial" w:cs="Arial" w:eastAsia="Arial" w:hAnsi="Arial"/>
                  <w:sz w:val="14"/>
                  <w:szCs w:val="14"/>
                  <w:color w:val="0000EE"/>
                </w:rPr>
                <w:t>6</w:t>
              </w:r>
            </w:hyperlink>
          </w:p>
        </w:tc>
        <w:tc>
          <w:tcPr>
            <w:tcW w:w="2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360" w:type="dxa"/>
            <w:vAlign w:val="bottom"/>
            <w:gridSpan w:val="27"/>
          </w:tcPr>
          <w:p>
            <w:pPr>
              <w:spacing w:after="0"/>
              <w:rPr>
                <w:rFonts w:ascii="Arial" w:cs="Arial" w:eastAsia="Arial" w:hAnsi="Arial"/>
                <w:sz w:val="14"/>
                <w:szCs w:val="14"/>
                <w:color w:val="0000EE"/>
              </w:rPr>
            </w:pPr>
            <w:hyperlink w:anchor="page7">
              <w:r>
                <w:rPr>
                  <w:rFonts w:ascii="Arial" w:cs="Arial" w:eastAsia="Arial" w:hAnsi="Arial"/>
                  <w:sz w:val="14"/>
                  <w:szCs w:val="14"/>
                  <w:color w:val="0000EE"/>
                </w:rPr>
                <w:t>Consolidated Statements of Comprehensive (Loss) Income for the three months ended March 31, 2017 and 2016</w:t>
              </w:r>
            </w:hyperlink>
          </w:p>
        </w:tc>
        <w:tc>
          <w:tcPr>
            <w:tcW w:w="140" w:type="dxa"/>
            <w:vAlign w:val="bottom"/>
            <w:gridSpan w:val="2"/>
          </w:tcPr>
          <w:p>
            <w:pPr>
              <w:spacing w:after="0"/>
              <w:rPr>
                <w:rFonts w:ascii="Arial" w:cs="Arial" w:eastAsia="Arial" w:hAnsi="Arial"/>
                <w:sz w:val="14"/>
                <w:szCs w:val="14"/>
                <w:color w:val="0000EE"/>
              </w:rPr>
            </w:pPr>
            <w:hyperlink w:anchor="page7">
              <w:r>
                <w:rPr>
                  <w:rFonts w:ascii="Arial" w:cs="Arial" w:eastAsia="Arial" w:hAnsi="Arial"/>
                  <w:sz w:val="14"/>
                  <w:szCs w:val="14"/>
                  <w:color w:val="0000EE"/>
                </w:rPr>
                <w:t>7</w:t>
              </w:r>
            </w:hyperlink>
          </w:p>
        </w:tc>
        <w:tc>
          <w:tcPr>
            <w:tcW w:w="20" w:type="dxa"/>
            <w:vAlign w:val="bottom"/>
          </w:tcPr>
          <w:p>
            <w:pPr>
              <w:spacing w:after="0"/>
              <w:rPr>
                <w:sz w:val="21"/>
                <w:szCs w:val="21"/>
                <w:color w:val="auto"/>
              </w:rPr>
            </w:pPr>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720" w:type="dxa"/>
            <w:vAlign w:val="bottom"/>
            <w:tcBorders>
              <w:top w:val="single" w:sz="8" w:color="0000EE"/>
              <w:bottom w:val="single" w:sz="8" w:color="0000EE"/>
            </w:tcBorders>
            <w:gridSpan w:val="22"/>
          </w:tcPr>
          <w:p>
            <w:pPr>
              <w:spacing w:after="0"/>
              <w:rPr>
                <w:rFonts w:ascii="Arial" w:cs="Arial" w:eastAsia="Arial" w:hAnsi="Arial"/>
                <w:sz w:val="14"/>
                <w:szCs w:val="14"/>
                <w:color w:val="0000EE"/>
              </w:rPr>
            </w:pPr>
            <w:hyperlink w:anchor="page8">
              <w:r>
                <w:rPr>
                  <w:rFonts w:ascii="Arial" w:cs="Arial" w:eastAsia="Arial" w:hAnsi="Arial"/>
                  <w:sz w:val="14"/>
                  <w:szCs w:val="14"/>
                  <w:color w:val="0000EE"/>
                </w:rPr>
                <w:t>Consolidated Statement of Changes in Equity for the three months ended March 31, 2017</w:t>
              </w:r>
            </w:hyperlink>
          </w:p>
        </w:tc>
        <w:tc>
          <w:tcPr>
            <w:tcW w:w="1500" w:type="dxa"/>
            <w:vAlign w:val="bottom"/>
            <w:tcBorders>
              <w:top w:val="single" w:sz="8" w:color="0000EE"/>
            </w:tcBorders>
            <w:gridSpan w:val="4"/>
          </w:tcPr>
          <w:p>
            <w:pPr>
              <w:spacing w:after="0"/>
              <w:rPr>
                <w:sz w:val="21"/>
                <w:szCs w:val="21"/>
                <w:color w:val="auto"/>
              </w:rPr>
            </w:pPr>
          </w:p>
        </w:tc>
        <w:tc>
          <w:tcPr>
            <w:tcW w:w="2140" w:type="dxa"/>
            <w:vAlign w:val="bottom"/>
          </w:tcPr>
          <w:p>
            <w:pPr>
              <w:spacing w:after="0"/>
              <w:rPr>
                <w:sz w:val="21"/>
                <w:szCs w:val="21"/>
                <w:color w:val="auto"/>
              </w:rPr>
            </w:pPr>
          </w:p>
        </w:tc>
        <w:tc>
          <w:tcPr>
            <w:tcW w:w="80" w:type="dxa"/>
            <w:vAlign w:val="bottom"/>
            <w:tcBorders>
              <w:top w:val="single" w:sz="8" w:color="0000EE"/>
              <w:bottom w:val="single" w:sz="8" w:color="0000EE"/>
            </w:tcBorders>
          </w:tcPr>
          <w:p>
            <w:pPr>
              <w:spacing w:after="0"/>
              <w:rPr>
                <w:rFonts w:ascii="Arial" w:cs="Arial" w:eastAsia="Arial" w:hAnsi="Arial"/>
                <w:sz w:val="14"/>
                <w:szCs w:val="14"/>
                <w:color w:val="0000EE"/>
                <w:w w:val="76"/>
              </w:rPr>
            </w:pPr>
            <w:hyperlink w:anchor="page8">
              <w:r>
                <w:rPr>
                  <w:rFonts w:ascii="Arial" w:cs="Arial" w:eastAsia="Arial" w:hAnsi="Arial"/>
                  <w:sz w:val="14"/>
                  <w:szCs w:val="14"/>
                  <w:color w:val="0000EE"/>
                  <w:w w:val="76"/>
                </w:rPr>
                <w:t>8</w:t>
              </w:r>
            </w:hyperlink>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20" w:type="dxa"/>
            <w:vAlign w:val="bottom"/>
            <w:tcBorders>
              <w:bottom w:val="single" w:sz="8" w:color="0000EE"/>
            </w:tcBorders>
            <w:gridSpan w:val="24"/>
          </w:tcPr>
          <w:p>
            <w:pPr>
              <w:spacing w:after="0"/>
              <w:rPr>
                <w:rFonts w:ascii="Arial" w:cs="Arial" w:eastAsia="Arial" w:hAnsi="Arial"/>
                <w:sz w:val="14"/>
                <w:szCs w:val="14"/>
                <w:color w:val="0000EE"/>
              </w:rPr>
            </w:pPr>
            <w:hyperlink w:anchor="page9">
              <w:r>
                <w:rPr>
                  <w:rFonts w:ascii="Arial" w:cs="Arial" w:eastAsia="Arial" w:hAnsi="Arial"/>
                  <w:sz w:val="14"/>
                  <w:szCs w:val="14"/>
                  <w:color w:val="0000EE"/>
                </w:rPr>
                <w:t>Consolidated Statements of Cash Flows for the three months ended March 31, 2017 and 2016</w:t>
              </w:r>
            </w:hyperlink>
          </w:p>
        </w:tc>
        <w:tc>
          <w:tcPr>
            <w:tcW w:w="3340" w:type="dxa"/>
            <w:vAlign w:val="bottom"/>
            <w:gridSpan w:val="3"/>
          </w:tcPr>
          <w:p>
            <w:pPr>
              <w:spacing w:after="0"/>
              <w:rPr>
                <w:sz w:val="21"/>
                <w:szCs w:val="21"/>
                <w:color w:val="auto"/>
              </w:rPr>
            </w:pPr>
          </w:p>
        </w:tc>
        <w:tc>
          <w:tcPr>
            <w:tcW w:w="80" w:type="dxa"/>
            <w:vAlign w:val="bottom"/>
            <w:tcBorders>
              <w:bottom w:val="single" w:sz="8" w:color="0000EE"/>
            </w:tcBorders>
          </w:tcPr>
          <w:p>
            <w:pPr>
              <w:spacing w:after="0"/>
              <w:rPr>
                <w:rFonts w:ascii="Arial" w:cs="Arial" w:eastAsia="Arial" w:hAnsi="Arial"/>
                <w:sz w:val="14"/>
                <w:szCs w:val="14"/>
                <w:color w:val="0000EE"/>
                <w:w w:val="76"/>
              </w:rPr>
            </w:pPr>
            <w:hyperlink w:anchor="page9">
              <w:r>
                <w:rPr>
                  <w:rFonts w:ascii="Arial" w:cs="Arial" w:eastAsia="Arial" w:hAnsi="Arial"/>
                  <w:sz w:val="14"/>
                  <w:szCs w:val="14"/>
                  <w:color w:val="0000EE"/>
                  <w:w w:val="76"/>
                </w:rPr>
                <w:t>9</w:t>
              </w:r>
            </w:hyperlink>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360" w:type="dxa"/>
            <w:vAlign w:val="bottom"/>
            <w:gridSpan w:val="27"/>
          </w:tcPr>
          <w:p>
            <w:pPr>
              <w:spacing w:after="0"/>
              <w:rPr>
                <w:rFonts w:ascii="Arial" w:cs="Arial" w:eastAsia="Arial" w:hAnsi="Arial"/>
                <w:sz w:val="14"/>
                <w:szCs w:val="14"/>
                <w:color w:val="0000EE"/>
              </w:rPr>
            </w:pPr>
            <w:hyperlink w:anchor="page11">
              <w:r>
                <w:rPr>
                  <w:rFonts w:ascii="Arial" w:cs="Arial" w:eastAsia="Arial" w:hAnsi="Arial"/>
                  <w:sz w:val="14"/>
                  <w:szCs w:val="14"/>
                  <w:color w:val="0000EE"/>
                </w:rPr>
                <w:t>Notes to Consolidated Financial Statements</w:t>
              </w:r>
            </w:hyperlink>
          </w:p>
        </w:tc>
        <w:tc>
          <w:tcPr>
            <w:tcW w:w="160" w:type="dxa"/>
            <w:vAlign w:val="bottom"/>
            <w:gridSpan w:val="3"/>
          </w:tcPr>
          <w:p>
            <w:pPr>
              <w:spacing w:after="0"/>
              <w:rPr>
                <w:rFonts w:ascii="Arial" w:cs="Arial" w:eastAsia="Arial" w:hAnsi="Arial"/>
                <w:sz w:val="14"/>
                <w:szCs w:val="14"/>
                <w:color w:val="0000EE"/>
                <w:w w:val="89"/>
              </w:rPr>
            </w:pPr>
            <w:hyperlink w:anchor="page11">
              <w:r>
                <w:rPr>
                  <w:rFonts w:ascii="Arial" w:cs="Arial" w:eastAsia="Arial" w:hAnsi="Arial"/>
                  <w:sz w:val="14"/>
                  <w:szCs w:val="14"/>
                  <w:color w:val="0000EE"/>
                  <w:w w:val="89"/>
                </w:rPr>
                <w:t>11</w:t>
              </w:r>
            </w:hyperlink>
          </w:p>
        </w:tc>
      </w:tr>
      <w:tr>
        <w:trPr>
          <w:trHeight w:val="20"/>
        </w:trPr>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040" w:type="dxa"/>
            <w:vAlign w:val="bottom"/>
            <w:gridSpan w:val="6"/>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80" w:type="dxa"/>
            <w:vAlign w:val="bottom"/>
            <w:gridSpan w:val="12"/>
          </w:tcPr>
          <w:p>
            <w:pPr>
              <w:spacing w:after="0"/>
              <w:rPr>
                <w:rFonts w:ascii="Arial" w:cs="Arial" w:eastAsia="Arial" w:hAnsi="Arial"/>
                <w:sz w:val="14"/>
                <w:szCs w:val="14"/>
                <w:color w:val="0000EE"/>
              </w:rPr>
            </w:pPr>
            <w:hyperlink w:anchor="page11">
              <w:r>
                <w:rPr>
                  <w:rFonts w:ascii="Arial" w:cs="Arial" w:eastAsia="Arial" w:hAnsi="Arial"/>
                  <w:sz w:val="14"/>
                  <w:szCs w:val="14"/>
                  <w:color w:val="0000EE"/>
                </w:rPr>
                <w:t>Note 1: Organization</w:t>
              </w:r>
            </w:hyperlink>
          </w:p>
        </w:tc>
        <w:tc>
          <w:tcPr>
            <w:tcW w:w="6560" w:type="dxa"/>
            <w:vAlign w:val="bottom"/>
            <w:gridSpan w:val="14"/>
          </w:tcPr>
          <w:p>
            <w:pPr>
              <w:spacing w:after="0"/>
              <w:rPr>
                <w:sz w:val="21"/>
                <w:szCs w:val="21"/>
                <w:color w:val="auto"/>
              </w:rPr>
            </w:pPr>
          </w:p>
        </w:tc>
        <w:tc>
          <w:tcPr>
            <w:tcW w:w="160" w:type="dxa"/>
            <w:vAlign w:val="bottom"/>
            <w:gridSpan w:val="3"/>
          </w:tcPr>
          <w:p>
            <w:pPr>
              <w:spacing w:after="0"/>
              <w:rPr>
                <w:rFonts w:ascii="Arial" w:cs="Arial" w:eastAsia="Arial" w:hAnsi="Arial"/>
                <w:sz w:val="14"/>
                <w:szCs w:val="14"/>
                <w:color w:val="0000EE"/>
                <w:w w:val="89"/>
              </w:rPr>
            </w:pPr>
            <w:hyperlink w:anchor="page11">
              <w:r>
                <w:rPr>
                  <w:rFonts w:ascii="Arial" w:cs="Arial" w:eastAsia="Arial" w:hAnsi="Arial"/>
                  <w:sz w:val="14"/>
                  <w:szCs w:val="14"/>
                  <w:color w:val="0000EE"/>
                  <w:w w:val="89"/>
                </w:rPr>
                <w:t>11</w:t>
              </w:r>
            </w:hyperlink>
          </w:p>
        </w:tc>
      </w:tr>
      <w:tr>
        <w:trPr>
          <w:trHeight w:val="20"/>
        </w:trPr>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040" w:type="dxa"/>
            <w:vAlign w:val="bottom"/>
            <w:gridSpan w:val="6"/>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80" w:type="dxa"/>
            <w:vAlign w:val="bottom"/>
            <w:gridSpan w:val="17"/>
          </w:tcPr>
          <w:p>
            <w:pPr>
              <w:spacing w:after="0"/>
              <w:rPr>
                <w:rFonts w:ascii="Arial" w:cs="Arial" w:eastAsia="Arial" w:hAnsi="Arial"/>
                <w:sz w:val="14"/>
                <w:szCs w:val="14"/>
                <w:color w:val="0000EE"/>
              </w:rPr>
            </w:pPr>
            <w:hyperlink w:anchor="page11">
              <w:r>
                <w:rPr>
                  <w:rFonts w:ascii="Arial" w:cs="Arial" w:eastAsia="Arial" w:hAnsi="Arial"/>
                  <w:sz w:val="14"/>
                  <w:szCs w:val="14"/>
                  <w:color w:val="0000EE"/>
                </w:rPr>
                <w:t>Note 2: Summary of Significant Accounting Policies</w:t>
              </w:r>
            </w:hyperlink>
          </w:p>
        </w:tc>
        <w:tc>
          <w:tcPr>
            <w:tcW w:w="5860" w:type="dxa"/>
            <w:vAlign w:val="bottom"/>
            <w:gridSpan w:val="9"/>
          </w:tcPr>
          <w:p>
            <w:pPr>
              <w:spacing w:after="0"/>
              <w:rPr>
                <w:sz w:val="21"/>
                <w:szCs w:val="21"/>
                <w:color w:val="auto"/>
              </w:rPr>
            </w:pPr>
          </w:p>
        </w:tc>
        <w:tc>
          <w:tcPr>
            <w:tcW w:w="160" w:type="dxa"/>
            <w:vAlign w:val="bottom"/>
            <w:gridSpan w:val="3"/>
          </w:tcPr>
          <w:p>
            <w:pPr>
              <w:spacing w:after="0"/>
              <w:rPr>
                <w:rFonts w:ascii="Arial" w:cs="Arial" w:eastAsia="Arial" w:hAnsi="Arial"/>
                <w:sz w:val="14"/>
                <w:szCs w:val="14"/>
                <w:color w:val="0000EE"/>
                <w:w w:val="89"/>
              </w:rPr>
            </w:pPr>
            <w:hyperlink w:anchor="page11">
              <w:r>
                <w:rPr>
                  <w:rFonts w:ascii="Arial" w:cs="Arial" w:eastAsia="Arial" w:hAnsi="Arial"/>
                  <w:sz w:val="14"/>
                  <w:szCs w:val="14"/>
                  <w:color w:val="0000EE"/>
                  <w:w w:val="89"/>
                </w:rPr>
                <w:t>11</w:t>
              </w:r>
            </w:hyperlink>
          </w:p>
        </w:tc>
      </w:tr>
      <w:tr>
        <w:trPr>
          <w:trHeight w:val="20"/>
        </w:trPr>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040" w:type="dxa"/>
            <w:vAlign w:val="bottom"/>
            <w:gridSpan w:val="6"/>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20" w:type="dxa"/>
            <w:vAlign w:val="bottom"/>
            <w:tcBorders>
              <w:bottom w:val="single" w:sz="8" w:color="0000EE"/>
            </w:tcBorders>
            <w:gridSpan w:val="9"/>
          </w:tcPr>
          <w:p>
            <w:pPr>
              <w:spacing w:after="0"/>
              <w:rPr>
                <w:rFonts w:ascii="Arial" w:cs="Arial" w:eastAsia="Arial" w:hAnsi="Arial"/>
                <w:sz w:val="14"/>
                <w:szCs w:val="14"/>
                <w:color w:val="0000EE"/>
              </w:rPr>
            </w:pPr>
            <w:hyperlink w:anchor="page16">
              <w:r>
                <w:rPr>
                  <w:rFonts w:ascii="Arial" w:cs="Arial" w:eastAsia="Arial" w:hAnsi="Arial"/>
                  <w:sz w:val="14"/>
                  <w:szCs w:val="14"/>
                  <w:color w:val="0000EE"/>
                </w:rPr>
                <w:t>Note 3: Leasing Equipment, net</w:t>
              </w:r>
            </w:hyperlink>
          </w:p>
        </w:tc>
        <w:tc>
          <w:tcPr>
            <w:tcW w:w="1260" w:type="dxa"/>
            <w:vAlign w:val="bottom"/>
            <w:gridSpan w:val="8"/>
          </w:tcPr>
          <w:p>
            <w:pPr>
              <w:spacing w:after="0"/>
              <w:rPr>
                <w:sz w:val="21"/>
                <w:szCs w:val="21"/>
                <w:color w:val="auto"/>
              </w:rPr>
            </w:pPr>
          </w:p>
        </w:tc>
        <w:tc>
          <w:tcPr>
            <w:tcW w:w="5860" w:type="dxa"/>
            <w:vAlign w:val="bottom"/>
            <w:gridSpan w:val="9"/>
          </w:tcPr>
          <w:p>
            <w:pPr>
              <w:spacing w:after="0"/>
              <w:rPr>
                <w:sz w:val="21"/>
                <w:szCs w:val="21"/>
                <w:color w:val="auto"/>
              </w:rPr>
            </w:pPr>
          </w:p>
        </w:tc>
        <w:tc>
          <w:tcPr>
            <w:tcW w:w="160" w:type="dxa"/>
            <w:vAlign w:val="bottom"/>
            <w:tcBorders>
              <w:bottom w:val="single" w:sz="8" w:color="0000EE"/>
            </w:tcBorders>
            <w:gridSpan w:val="3"/>
          </w:tcPr>
          <w:p>
            <w:pPr>
              <w:spacing w:after="0"/>
              <w:rPr>
                <w:rFonts w:ascii="Arial" w:cs="Arial" w:eastAsia="Arial" w:hAnsi="Arial"/>
                <w:sz w:val="14"/>
                <w:szCs w:val="14"/>
                <w:color w:val="0000EE"/>
                <w:w w:val="89"/>
              </w:rPr>
            </w:pPr>
            <w:hyperlink w:anchor="page16">
              <w:r>
                <w:rPr>
                  <w:rFonts w:ascii="Arial" w:cs="Arial" w:eastAsia="Arial" w:hAnsi="Arial"/>
                  <w:sz w:val="14"/>
                  <w:szCs w:val="14"/>
                  <w:color w:val="0000EE"/>
                  <w:w w:val="89"/>
                </w:rPr>
                <w:t>16</w:t>
              </w:r>
            </w:hyperlink>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140" w:type="dxa"/>
            <w:vAlign w:val="bottom"/>
            <w:gridSpan w:val="26"/>
          </w:tcPr>
          <w:p>
            <w:pPr>
              <w:spacing w:after="0"/>
              <w:rPr>
                <w:rFonts w:ascii="Arial" w:cs="Arial" w:eastAsia="Arial" w:hAnsi="Arial"/>
                <w:sz w:val="14"/>
                <w:szCs w:val="14"/>
                <w:color w:val="0000EE"/>
              </w:rPr>
            </w:pPr>
            <w:hyperlink w:anchor="page16">
              <w:r>
                <w:rPr>
                  <w:rFonts w:ascii="Arial" w:cs="Arial" w:eastAsia="Arial" w:hAnsi="Arial"/>
                  <w:sz w:val="14"/>
                  <w:szCs w:val="14"/>
                  <w:color w:val="0000EE"/>
                </w:rPr>
                <w:t>Note 4: Finance Leases, net</w:t>
              </w:r>
            </w:hyperlink>
          </w:p>
        </w:tc>
        <w:tc>
          <w:tcPr>
            <w:tcW w:w="160" w:type="dxa"/>
            <w:vAlign w:val="bottom"/>
            <w:gridSpan w:val="3"/>
          </w:tcPr>
          <w:p>
            <w:pPr>
              <w:spacing w:after="0"/>
              <w:rPr>
                <w:rFonts w:ascii="Arial" w:cs="Arial" w:eastAsia="Arial" w:hAnsi="Arial"/>
                <w:sz w:val="14"/>
                <w:szCs w:val="14"/>
                <w:color w:val="0000EE"/>
                <w:w w:val="89"/>
              </w:rPr>
            </w:pPr>
            <w:hyperlink w:anchor="page16">
              <w:r>
                <w:rPr>
                  <w:rFonts w:ascii="Arial" w:cs="Arial" w:eastAsia="Arial" w:hAnsi="Arial"/>
                  <w:sz w:val="14"/>
                  <w:szCs w:val="14"/>
                  <w:color w:val="0000EE"/>
                  <w:w w:val="89"/>
                </w:rPr>
                <w:t>16</w:t>
              </w:r>
            </w:hyperlink>
          </w:p>
        </w:tc>
      </w:tr>
      <w:tr>
        <w:trPr>
          <w:trHeight w:val="20"/>
        </w:trPr>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040" w:type="dxa"/>
            <w:vAlign w:val="bottom"/>
            <w:gridSpan w:val="6"/>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740" w:type="dxa"/>
            <w:vAlign w:val="bottom"/>
            <w:tcBorders>
              <w:bottom w:val="single" w:sz="8" w:color="0000EE"/>
            </w:tcBorders>
            <w:gridSpan w:val="14"/>
          </w:tcPr>
          <w:p>
            <w:pPr>
              <w:spacing w:after="0"/>
              <w:rPr>
                <w:rFonts w:ascii="Arial" w:cs="Arial" w:eastAsia="Arial" w:hAnsi="Arial"/>
                <w:sz w:val="14"/>
                <w:szCs w:val="14"/>
                <w:color w:val="0000EE"/>
              </w:rPr>
            </w:pPr>
            <w:hyperlink w:anchor="page17">
              <w:r>
                <w:rPr>
                  <w:rFonts w:ascii="Arial" w:cs="Arial" w:eastAsia="Arial" w:hAnsi="Arial"/>
                  <w:sz w:val="14"/>
                  <w:szCs w:val="14"/>
                  <w:color w:val="0000EE"/>
                </w:rPr>
                <w:t>Note 5: Property, Plant and Equipment, net</w:t>
              </w:r>
            </w:hyperlink>
          </w:p>
        </w:tc>
        <w:tc>
          <w:tcPr>
            <w:tcW w:w="6400" w:type="dxa"/>
            <w:vAlign w:val="bottom"/>
            <w:gridSpan w:val="12"/>
          </w:tcPr>
          <w:p>
            <w:pPr>
              <w:spacing w:after="0"/>
              <w:rPr>
                <w:sz w:val="21"/>
                <w:szCs w:val="21"/>
                <w:color w:val="auto"/>
              </w:rPr>
            </w:pPr>
          </w:p>
        </w:tc>
        <w:tc>
          <w:tcPr>
            <w:tcW w:w="160" w:type="dxa"/>
            <w:vAlign w:val="bottom"/>
            <w:tcBorders>
              <w:bottom w:val="single" w:sz="8" w:color="0000EE"/>
            </w:tcBorders>
            <w:gridSpan w:val="3"/>
          </w:tcPr>
          <w:p>
            <w:pPr>
              <w:spacing w:after="0"/>
              <w:rPr>
                <w:rFonts w:ascii="Arial" w:cs="Arial" w:eastAsia="Arial" w:hAnsi="Arial"/>
                <w:sz w:val="14"/>
                <w:szCs w:val="14"/>
                <w:color w:val="0000EE"/>
                <w:w w:val="89"/>
              </w:rPr>
            </w:pPr>
            <w:hyperlink w:anchor="page17">
              <w:r>
                <w:rPr>
                  <w:rFonts w:ascii="Arial" w:cs="Arial" w:eastAsia="Arial" w:hAnsi="Arial"/>
                  <w:sz w:val="14"/>
                  <w:szCs w:val="14"/>
                  <w:color w:val="0000EE"/>
                  <w:w w:val="89"/>
                </w:rPr>
                <w:t>17</w:t>
              </w:r>
            </w:hyperlink>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140" w:type="dxa"/>
            <w:vAlign w:val="bottom"/>
            <w:gridSpan w:val="26"/>
          </w:tcPr>
          <w:p>
            <w:pPr>
              <w:spacing w:after="0"/>
              <w:rPr>
                <w:rFonts w:ascii="Arial" w:cs="Arial" w:eastAsia="Arial" w:hAnsi="Arial"/>
                <w:sz w:val="14"/>
                <w:szCs w:val="14"/>
                <w:color w:val="0000EE"/>
              </w:rPr>
            </w:pPr>
            <w:hyperlink w:anchor="page17">
              <w:r>
                <w:rPr>
                  <w:rFonts w:ascii="Arial" w:cs="Arial" w:eastAsia="Arial" w:hAnsi="Arial"/>
                  <w:sz w:val="14"/>
                  <w:szCs w:val="14"/>
                  <w:color w:val="0000EE"/>
                </w:rPr>
                <w:t>Note 6: Investments</w:t>
              </w:r>
            </w:hyperlink>
          </w:p>
        </w:tc>
        <w:tc>
          <w:tcPr>
            <w:tcW w:w="160" w:type="dxa"/>
            <w:vAlign w:val="bottom"/>
            <w:gridSpan w:val="3"/>
          </w:tcPr>
          <w:p>
            <w:pPr>
              <w:spacing w:after="0"/>
              <w:rPr>
                <w:rFonts w:ascii="Arial" w:cs="Arial" w:eastAsia="Arial" w:hAnsi="Arial"/>
                <w:sz w:val="14"/>
                <w:szCs w:val="14"/>
                <w:color w:val="0000EE"/>
                <w:w w:val="89"/>
              </w:rPr>
            </w:pPr>
            <w:hyperlink w:anchor="page17">
              <w:r>
                <w:rPr>
                  <w:rFonts w:ascii="Arial" w:cs="Arial" w:eastAsia="Arial" w:hAnsi="Arial"/>
                  <w:sz w:val="14"/>
                  <w:szCs w:val="14"/>
                  <w:color w:val="0000EE"/>
                  <w:w w:val="89"/>
                </w:rPr>
                <w:t>17</w:t>
              </w:r>
            </w:hyperlink>
          </w:p>
        </w:tc>
      </w:tr>
      <w:tr>
        <w:trPr>
          <w:trHeight w:val="20"/>
        </w:trPr>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040" w:type="dxa"/>
            <w:vAlign w:val="bottom"/>
            <w:gridSpan w:val="6"/>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0" w:type="dxa"/>
            <w:vAlign w:val="bottom"/>
            <w:tcBorders>
              <w:bottom w:val="single" w:sz="8" w:color="0000EE"/>
            </w:tcBorders>
            <w:gridSpan w:val="15"/>
          </w:tcPr>
          <w:p>
            <w:pPr>
              <w:spacing w:after="0"/>
              <w:rPr>
                <w:rFonts w:ascii="Arial" w:cs="Arial" w:eastAsia="Arial" w:hAnsi="Arial"/>
                <w:sz w:val="14"/>
                <w:szCs w:val="14"/>
                <w:color w:val="0000EE"/>
              </w:rPr>
            </w:pPr>
            <w:hyperlink w:anchor="page19">
              <w:r>
                <w:rPr>
                  <w:rFonts w:ascii="Arial" w:cs="Arial" w:eastAsia="Arial" w:hAnsi="Arial"/>
                  <w:sz w:val="14"/>
                  <w:szCs w:val="14"/>
                  <w:color w:val="0000EE"/>
                </w:rPr>
                <w:t>Note 7: Intangible Assets and Liabilities, net</w:t>
              </w:r>
            </w:hyperlink>
          </w:p>
        </w:tc>
        <w:tc>
          <w:tcPr>
            <w:tcW w:w="6340" w:type="dxa"/>
            <w:vAlign w:val="bottom"/>
            <w:gridSpan w:val="11"/>
          </w:tcPr>
          <w:p>
            <w:pPr>
              <w:spacing w:after="0"/>
              <w:rPr>
                <w:sz w:val="21"/>
                <w:szCs w:val="21"/>
                <w:color w:val="auto"/>
              </w:rPr>
            </w:pPr>
          </w:p>
        </w:tc>
        <w:tc>
          <w:tcPr>
            <w:tcW w:w="160" w:type="dxa"/>
            <w:vAlign w:val="bottom"/>
            <w:tcBorders>
              <w:bottom w:val="single" w:sz="8" w:color="0000EE"/>
            </w:tcBorders>
            <w:gridSpan w:val="3"/>
          </w:tcPr>
          <w:p>
            <w:pPr>
              <w:spacing w:after="0"/>
              <w:rPr>
                <w:rFonts w:ascii="Arial" w:cs="Arial" w:eastAsia="Arial" w:hAnsi="Arial"/>
                <w:sz w:val="14"/>
                <w:szCs w:val="14"/>
                <w:color w:val="0000EE"/>
                <w:w w:val="89"/>
              </w:rPr>
            </w:pPr>
            <w:hyperlink w:anchor="page19">
              <w:r>
                <w:rPr>
                  <w:rFonts w:ascii="Arial" w:cs="Arial" w:eastAsia="Arial" w:hAnsi="Arial"/>
                  <w:sz w:val="14"/>
                  <w:szCs w:val="14"/>
                  <w:color w:val="0000EE"/>
                  <w:w w:val="89"/>
                </w:rPr>
                <w:t>19</w:t>
              </w:r>
            </w:hyperlink>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Borders>
              <w:bottom w:val="single" w:sz="8" w:color="0000EE"/>
            </w:tcBorders>
            <w:gridSpan w:val="2"/>
          </w:tcPr>
          <w:p>
            <w:pPr>
              <w:spacing w:after="0"/>
              <w:rPr>
                <w:rFonts w:ascii="Arial" w:cs="Arial" w:eastAsia="Arial" w:hAnsi="Arial"/>
                <w:sz w:val="14"/>
                <w:szCs w:val="14"/>
                <w:color w:val="0000EE"/>
              </w:rPr>
            </w:pPr>
            <w:hyperlink w:anchor="page20">
              <w:r>
                <w:rPr>
                  <w:rFonts w:ascii="Arial" w:cs="Arial" w:eastAsia="Arial" w:hAnsi="Arial"/>
                  <w:sz w:val="14"/>
                  <w:szCs w:val="14"/>
                  <w:color w:val="0000EE"/>
                </w:rPr>
                <w:t>Note 8: Debt, net</w:t>
              </w:r>
            </w:hyperlink>
          </w:p>
        </w:tc>
        <w:tc>
          <w:tcPr>
            <w:tcW w:w="8040" w:type="dxa"/>
            <w:vAlign w:val="bottom"/>
            <w:gridSpan w:val="24"/>
          </w:tcPr>
          <w:p>
            <w:pPr>
              <w:spacing w:after="0"/>
              <w:rPr>
                <w:sz w:val="21"/>
                <w:szCs w:val="21"/>
                <w:color w:val="auto"/>
              </w:rPr>
            </w:pPr>
          </w:p>
        </w:tc>
        <w:tc>
          <w:tcPr>
            <w:tcW w:w="160" w:type="dxa"/>
            <w:vAlign w:val="bottom"/>
            <w:tcBorders>
              <w:bottom w:val="single" w:sz="8" w:color="0000EE"/>
            </w:tcBorders>
            <w:gridSpan w:val="3"/>
          </w:tcPr>
          <w:p>
            <w:pPr>
              <w:spacing w:after="0"/>
              <w:rPr>
                <w:rFonts w:ascii="Arial" w:cs="Arial" w:eastAsia="Arial" w:hAnsi="Arial"/>
                <w:sz w:val="14"/>
                <w:szCs w:val="14"/>
                <w:color w:val="0000EE"/>
                <w:w w:val="89"/>
              </w:rPr>
            </w:pPr>
            <w:hyperlink w:anchor="page20">
              <w:r>
                <w:rPr>
                  <w:rFonts w:ascii="Arial" w:cs="Arial" w:eastAsia="Arial" w:hAnsi="Arial"/>
                  <w:sz w:val="14"/>
                  <w:szCs w:val="14"/>
                  <w:color w:val="0000EE"/>
                  <w:w w:val="89"/>
                </w:rPr>
                <w:t>20</w:t>
              </w:r>
            </w:hyperlink>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140" w:type="dxa"/>
            <w:vAlign w:val="bottom"/>
            <w:gridSpan w:val="26"/>
          </w:tcPr>
          <w:p>
            <w:pPr>
              <w:spacing w:after="0"/>
              <w:rPr>
                <w:rFonts w:ascii="Arial" w:cs="Arial" w:eastAsia="Arial" w:hAnsi="Arial"/>
                <w:sz w:val="14"/>
                <w:szCs w:val="14"/>
                <w:color w:val="0000EE"/>
              </w:rPr>
            </w:pPr>
            <w:hyperlink w:anchor="page23">
              <w:r>
                <w:rPr>
                  <w:rFonts w:ascii="Arial" w:cs="Arial" w:eastAsia="Arial" w:hAnsi="Arial"/>
                  <w:sz w:val="14"/>
                  <w:szCs w:val="14"/>
                  <w:color w:val="0000EE"/>
                </w:rPr>
                <w:t>Note 9: Fair Value Measurements</w:t>
              </w:r>
            </w:hyperlink>
          </w:p>
        </w:tc>
        <w:tc>
          <w:tcPr>
            <w:tcW w:w="160" w:type="dxa"/>
            <w:vAlign w:val="bottom"/>
            <w:gridSpan w:val="3"/>
          </w:tcPr>
          <w:p>
            <w:pPr>
              <w:spacing w:after="0"/>
              <w:rPr>
                <w:rFonts w:ascii="Arial" w:cs="Arial" w:eastAsia="Arial" w:hAnsi="Arial"/>
                <w:sz w:val="14"/>
                <w:szCs w:val="14"/>
                <w:color w:val="0000EE"/>
                <w:w w:val="89"/>
              </w:rPr>
            </w:pPr>
            <w:hyperlink w:anchor="page23">
              <w:r>
                <w:rPr>
                  <w:rFonts w:ascii="Arial" w:cs="Arial" w:eastAsia="Arial" w:hAnsi="Arial"/>
                  <w:sz w:val="14"/>
                  <w:szCs w:val="14"/>
                  <w:color w:val="0000EE"/>
                  <w:w w:val="89"/>
                </w:rPr>
                <w:t>23</w:t>
              </w:r>
            </w:hyperlink>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Borders>
              <w:top w:val="single" w:sz="8" w:color="0000EE"/>
              <w:bottom w:val="single" w:sz="8" w:color="0000EE"/>
            </w:tcBorders>
            <w:gridSpan w:val="3"/>
          </w:tcPr>
          <w:p>
            <w:pPr>
              <w:spacing w:after="0"/>
              <w:rPr>
                <w:rFonts w:ascii="Arial" w:cs="Arial" w:eastAsia="Arial" w:hAnsi="Arial"/>
                <w:sz w:val="14"/>
                <w:szCs w:val="14"/>
                <w:color w:val="0000EE"/>
              </w:rPr>
            </w:pPr>
            <w:hyperlink w:anchor="page25">
              <w:r>
                <w:rPr>
                  <w:rFonts w:ascii="Arial" w:cs="Arial" w:eastAsia="Arial" w:hAnsi="Arial"/>
                  <w:sz w:val="14"/>
                  <w:szCs w:val="14"/>
                  <w:color w:val="0000EE"/>
                </w:rPr>
                <w:t>Note 10: Revenues</w:t>
              </w:r>
            </w:hyperlink>
          </w:p>
        </w:tc>
        <w:tc>
          <w:tcPr>
            <w:tcW w:w="860" w:type="dxa"/>
            <w:vAlign w:val="bottom"/>
            <w:tcBorders>
              <w:top w:val="single" w:sz="8" w:color="0000EE"/>
            </w:tcBorders>
            <w:gridSpan w:val="7"/>
          </w:tcPr>
          <w:p>
            <w:pPr>
              <w:spacing w:after="0"/>
              <w:rPr>
                <w:sz w:val="21"/>
                <w:szCs w:val="21"/>
                <w:color w:val="auto"/>
              </w:rPr>
            </w:pPr>
          </w:p>
        </w:tc>
        <w:tc>
          <w:tcPr>
            <w:tcW w:w="7000" w:type="dxa"/>
            <w:vAlign w:val="bottom"/>
            <w:gridSpan w:val="16"/>
          </w:tcPr>
          <w:p>
            <w:pPr>
              <w:spacing w:after="0"/>
              <w:rPr>
                <w:sz w:val="21"/>
                <w:szCs w:val="21"/>
                <w:color w:val="auto"/>
              </w:rPr>
            </w:pPr>
          </w:p>
        </w:tc>
        <w:tc>
          <w:tcPr>
            <w:tcW w:w="160" w:type="dxa"/>
            <w:vAlign w:val="bottom"/>
            <w:tcBorders>
              <w:top w:val="single" w:sz="8" w:color="0000EE"/>
              <w:bottom w:val="single" w:sz="8" w:color="0000EE"/>
            </w:tcBorders>
            <w:gridSpan w:val="3"/>
          </w:tcPr>
          <w:p>
            <w:pPr>
              <w:spacing w:after="0"/>
              <w:rPr>
                <w:rFonts w:ascii="Arial" w:cs="Arial" w:eastAsia="Arial" w:hAnsi="Arial"/>
                <w:sz w:val="14"/>
                <w:szCs w:val="14"/>
                <w:color w:val="0000EE"/>
                <w:w w:val="89"/>
              </w:rPr>
            </w:pPr>
            <w:hyperlink w:anchor="page25">
              <w:r>
                <w:rPr>
                  <w:rFonts w:ascii="Arial" w:cs="Arial" w:eastAsia="Arial" w:hAnsi="Arial"/>
                  <w:sz w:val="14"/>
                  <w:szCs w:val="14"/>
                  <w:color w:val="0000EE"/>
                  <w:w w:val="89"/>
                </w:rPr>
                <w:t>25</w:t>
              </w:r>
            </w:hyperlink>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0" w:type="dxa"/>
            <w:vAlign w:val="bottom"/>
            <w:tcBorders>
              <w:bottom w:val="single" w:sz="8" w:color="0000EE"/>
            </w:tcBorders>
            <w:gridSpan w:val="11"/>
          </w:tcPr>
          <w:p>
            <w:pPr>
              <w:spacing w:after="0"/>
              <w:rPr>
                <w:rFonts w:ascii="Arial" w:cs="Arial" w:eastAsia="Arial" w:hAnsi="Arial"/>
                <w:sz w:val="14"/>
                <w:szCs w:val="14"/>
                <w:color w:val="0000EE"/>
              </w:rPr>
            </w:pPr>
            <w:hyperlink w:anchor="page26">
              <w:r>
                <w:rPr>
                  <w:rFonts w:ascii="Arial" w:cs="Arial" w:eastAsia="Arial" w:hAnsi="Arial"/>
                  <w:sz w:val="14"/>
                  <w:szCs w:val="14"/>
                  <w:color w:val="0000EE"/>
                </w:rPr>
                <w:t>Note 11: Equity-Based Compensation</w:t>
              </w:r>
            </w:hyperlink>
          </w:p>
        </w:tc>
        <w:tc>
          <w:tcPr>
            <w:tcW w:w="6740" w:type="dxa"/>
            <w:vAlign w:val="bottom"/>
            <w:gridSpan w:val="15"/>
          </w:tcPr>
          <w:p>
            <w:pPr>
              <w:spacing w:after="0"/>
              <w:rPr>
                <w:sz w:val="21"/>
                <w:szCs w:val="21"/>
                <w:color w:val="auto"/>
              </w:rPr>
            </w:pPr>
          </w:p>
        </w:tc>
        <w:tc>
          <w:tcPr>
            <w:tcW w:w="160" w:type="dxa"/>
            <w:vAlign w:val="bottom"/>
            <w:tcBorders>
              <w:bottom w:val="single" w:sz="8" w:color="0000EE"/>
            </w:tcBorders>
            <w:gridSpan w:val="3"/>
          </w:tcPr>
          <w:p>
            <w:pPr>
              <w:spacing w:after="0"/>
              <w:rPr>
                <w:rFonts w:ascii="Arial" w:cs="Arial" w:eastAsia="Arial" w:hAnsi="Arial"/>
                <w:sz w:val="14"/>
                <w:szCs w:val="14"/>
                <w:color w:val="0000EE"/>
                <w:w w:val="89"/>
              </w:rPr>
            </w:pPr>
            <w:hyperlink w:anchor="page26">
              <w:r>
                <w:rPr>
                  <w:rFonts w:ascii="Arial" w:cs="Arial" w:eastAsia="Arial" w:hAnsi="Arial"/>
                  <w:sz w:val="14"/>
                  <w:szCs w:val="14"/>
                  <w:color w:val="0000EE"/>
                  <w:w w:val="89"/>
                </w:rPr>
                <w:t>26</w:t>
              </w:r>
            </w:hyperlink>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Borders>
              <w:bottom w:val="single" w:sz="8" w:color="0000EE"/>
            </w:tcBorders>
            <w:gridSpan w:val="4"/>
          </w:tcPr>
          <w:p>
            <w:pPr>
              <w:spacing w:after="0"/>
              <w:rPr>
                <w:rFonts w:ascii="Arial" w:cs="Arial" w:eastAsia="Arial" w:hAnsi="Arial"/>
                <w:sz w:val="14"/>
                <w:szCs w:val="14"/>
                <w:color w:val="0000EE"/>
              </w:rPr>
            </w:pPr>
            <w:hyperlink w:anchor="page28">
              <w:r>
                <w:rPr>
                  <w:rFonts w:ascii="Arial" w:cs="Arial" w:eastAsia="Arial" w:hAnsi="Arial"/>
                  <w:sz w:val="14"/>
                  <w:szCs w:val="14"/>
                  <w:color w:val="0000EE"/>
                </w:rPr>
                <w:t>Note 12: Income Taxes</w:t>
              </w:r>
            </w:hyperlink>
          </w:p>
        </w:tc>
        <w:tc>
          <w:tcPr>
            <w:tcW w:w="7660" w:type="dxa"/>
            <w:vAlign w:val="bottom"/>
            <w:gridSpan w:val="22"/>
          </w:tcPr>
          <w:p>
            <w:pPr>
              <w:spacing w:after="0"/>
              <w:rPr>
                <w:sz w:val="21"/>
                <w:szCs w:val="21"/>
                <w:color w:val="auto"/>
              </w:rPr>
            </w:pPr>
          </w:p>
        </w:tc>
        <w:tc>
          <w:tcPr>
            <w:tcW w:w="160" w:type="dxa"/>
            <w:vAlign w:val="bottom"/>
            <w:tcBorders>
              <w:bottom w:val="single" w:sz="8" w:color="0000EE"/>
            </w:tcBorders>
            <w:gridSpan w:val="3"/>
          </w:tcPr>
          <w:p>
            <w:pPr>
              <w:spacing w:after="0"/>
              <w:rPr>
                <w:rFonts w:ascii="Arial" w:cs="Arial" w:eastAsia="Arial" w:hAnsi="Arial"/>
                <w:sz w:val="14"/>
                <w:szCs w:val="14"/>
                <w:color w:val="0000EE"/>
                <w:w w:val="89"/>
              </w:rPr>
            </w:pPr>
            <w:hyperlink w:anchor="page28">
              <w:r>
                <w:rPr>
                  <w:rFonts w:ascii="Arial" w:cs="Arial" w:eastAsia="Arial" w:hAnsi="Arial"/>
                  <w:sz w:val="14"/>
                  <w:szCs w:val="14"/>
                  <w:color w:val="0000EE"/>
                  <w:w w:val="89"/>
                </w:rPr>
                <w:t>28</w:t>
              </w:r>
            </w:hyperlink>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20" w:type="dxa"/>
            <w:vAlign w:val="bottom"/>
            <w:tcBorders>
              <w:bottom w:val="single" w:sz="8" w:color="0000EE"/>
            </w:tcBorders>
            <w:gridSpan w:val="18"/>
          </w:tcPr>
          <w:p>
            <w:pPr>
              <w:spacing w:after="0"/>
              <w:rPr>
                <w:rFonts w:ascii="Arial" w:cs="Arial" w:eastAsia="Arial" w:hAnsi="Arial"/>
                <w:sz w:val="14"/>
                <w:szCs w:val="14"/>
                <w:color w:val="0000EE"/>
              </w:rPr>
            </w:pPr>
            <w:hyperlink w:anchor="page28">
              <w:r>
                <w:rPr>
                  <w:rFonts w:ascii="Arial" w:cs="Arial" w:eastAsia="Arial" w:hAnsi="Arial"/>
                  <w:sz w:val="14"/>
                  <w:szCs w:val="14"/>
                  <w:color w:val="0000EE"/>
                </w:rPr>
                <w:t>Note 13: Management Agreement and Affiliate Transactions</w:t>
              </w:r>
            </w:hyperlink>
          </w:p>
        </w:tc>
        <w:tc>
          <w:tcPr>
            <w:tcW w:w="5320" w:type="dxa"/>
            <w:vAlign w:val="bottom"/>
            <w:gridSpan w:val="8"/>
          </w:tcPr>
          <w:p>
            <w:pPr>
              <w:spacing w:after="0"/>
              <w:rPr>
                <w:sz w:val="21"/>
                <w:szCs w:val="21"/>
                <w:color w:val="auto"/>
              </w:rPr>
            </w:pPr>
          </w:p>
        </w:tc>
        <w:tc>
          <w:tcPr>
            <w:tcW w:w="160" w:type="dxa"/>
            <w:vAlign w:val="bottom"/>
            <w:tcBorders>
              <w:bottom w:val="single" w:sz="8" w:color="0000EE"/>
            </w:tcBorders>
            <w:gridSpan w:val="3"/>
          </w:tcPr>
          <w:p>
            <w:pPr>
              <w:spacing w:after="0"/>
              <w:rPr>
                <w:rFonts w:ascii="Arial" w:cs="Arial" w:eastAsia="Arial" w:hAnsi="Arial"/>
                <w:sz w:val="14"/>
                <w:szCs w:val="14"/>
                <w:color w:val="0000EE"/>
                <w:w w:val="89"/>
              </w:rPr>
            </w:pPr>
            <w:hyperlink w:anchor="page28">
              <w:r>
                <w:rPr>
                  <w:rFonts w:ascii="Arial" w:cs="Arial" w:eastAsia="Arial" w:hAnsi="Arial"/>
                  <w:sz w:val="14"/>
                  <w:szCs w:val="14"/>
                  <w:color w:val="0000EE"/>
                  <w:w w:val="89"/>
                </w:rPr>
                <w:t>28</w:t>
              </w:r>
            </w:hyperlink>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140" w:type="dxa"/>
            <w:vAlign w:val="bottom"/>
            <w:gridSpan w:val="26"/>
          </w:tcPr>
          <w:p>
            <w:pPr>
              <w:spacing w:after="0"/>
              <w:rPr>
                <w:rFonts w:ascii="Arial" w:cs="Arial" w:eastAsia="Arial" w:hAnsi="Arial"/>
                <w:sz w:val="14"/>
                <w:szCs w:val="14"/>
                <w:color w:val="0000EE"/>
              </w:rPr>
            </w:pPr>
            <w:hyperlink w:anchor="page30">
              <w:r>
                <w:rPr>
                  <w:rFonts w:ascii="Arial" w:cs="Arial" w:eastAsia="Arial" w:hAnsi="Arial"/>
                  <w:sz w:val="14"/>
                  <w:szCs w:val="14"/>
                  <w:color w:val="0000EE"/>
                </w:rPr>
                <w:t>Note 14: Segment Information</w:t>
              </w:r>
            </w:hyperlink>
          </w:p>
        </w:tc>
        <w:tc>
          <w:tcPr>
            <w:tcW w:w="160" w:type="dxa"/>
            <w:vAlign w:val="bottom"/>
            <w:gridSpan w:val="3"/>
          </w:tcPr>
          <w:p>
            <w:pPr>
              <w:spacing w:after="0"/>
              <w:rPr>
                <w:rFonts w:ascii="Arial" w:cs="Arial" w:eastAsia="Arial" w:hAnsi="Arial"/>
                <w:sz w:val="14"/>
                <w:szCs w:val="14"/>
                <w:color w:val="0000EE"/>
                <w:w w:val="89"/>
              </w:rPr>
            </w:pPr>
            <w:hyperlink w:anchor="page30">
              <w:r>
                <w:rPr>
                  <w:rFonts w:ascii="Arial" w:cs="Arial" w:eastAsia="Arial" w:hAnsi="Arial"/>
                  <w:sz w:val="14"/>
                  <w:szCs w:val="14"/>
                  <w:color w:val="0000EE"/>
                  <w:w w:val="89"/>
                </w:rPr>
                <w:t>30</w:t>
              </w:r>
            </w:hyperlink>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20" w:type="dxa"/>
            <w:vAlign w:val="bottom"/>
            <w:tcBorders>
              <w:top w:val="single" w:sz="8" w:color="0000EE"/>
            </w:tcBorders>
            <w:gridSpan w:val="8"/>
          </w:tcPr>
          <w:p>
            <w:pPr>
              <w:spacing w:after="0"/>
              <w:rPr>
                <w:rFonts w:ascii="Arial" w:cs="Arial" w:eastAsia="Arial" w:hAnsi="Arial"/>
                <w:sz w:val="14"/>
                <w:szCs w:val="14"/>
                <w:color w:val="0000EE"/>
              </w:rPr>
            </w:pPr>
            <w:hyperlink w:anchor="page36">
              <w:r>
                <w:rPr>
                  <w:rFonts w:ascii="Arial" w:cs="Arial" w:eastAsia="Arial" w:hAnsi="Arial"/>
                  <w:sz w:val="14"/>
                  <w:szCs w:val="14"/>
                  <w:color w:val="0000EE"/>
                </w:rPr>
                <w:t>Note 15: Earnings per Share</w:t>
              </w:r>
            </w:hyperlink>
          </w:p>
        </w:tc>
        <w:tc>
          <w:tcPr>
            <w:tcW w:w="7220" w:type="dxa"/>
            <w:vAlign w:val="bottom"/>
            <w:gridSpan w:val="18"/>
          </w:tcPr>
          <w:p>
            <w:pPr>
              <w:spacing w:after="0"/>
              <w:rPr>
                <w:sz w:val="21"/>
                <w:szCs w:val="21"/>
                <w:color w:val="auto"/>
              </w:rPr>
            </w:pPr>
          </w:p>
        </w:tc>
        <w:tc>
          <w:tcPr>
            <w:tcW w:w="160" w:type="dxa"/>
            <w:vAlign w:val="bottom"/>
            <w:tcBorders>
              <w:top w:val="single" w:sz="8" w:color="0000EE"/>
            </w:tcBorders>
            <w:gridSpan w:val="3"/>
          </w:tcPr>
          <w:p>
            <w:pPr>
              <w:spacing w:after="0"/>
              <w:rPr>
                <w:rFonts w:ascii="Arial" w:cs="Arial" w:eastAsia="Arial" w:hAnsi="Arial"/>
                <w:sz w:val="14"/>
                <w:szCs w:val="14"/>
                <w:color w:val="0000EE"/>
                <w:w w:val="89"/>
              </w:rPr>
            </w:pPr>
            <w:hyperlink w:anchor="page36">
              <w:r>
                <w:rPr>
                  <w:rFonts w:ascii="Arial" w:cs="Arial" w:eastAsia="Arial" w:hAnsi="Arial"/>
                  <w:sz w:val="14"/>
                  <w:szCs w:val="14"/>
                  <w:color w:val="0000EE"/>
                  <w:w w:val="89"/>
                </w:rPr>
                <w:t>36</w:t>
              </w:r>
            </w:hyperlink>
          </w:p>
        </w:tc>
      </w:tr>
      <w:tr>
        <w:trPr>
          <w:trHeight w:val="20"/>
        </w:trPr>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4040" w:type="dxa"/>
            <w:vAlign w:val="bottom"/>
            <w:gridSpan w:val="6"/>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140" w:type="dxa"/>
            <w:vAlign w:val="bottom"/>
            <w:gridSpan w:val="26"/>
          </w:tcPr>
          <w:p>
            <w:pPr>
              <w:spacing w:after="0"/>
              <w:rPr>
                <w:rFonts w:ascii="Arial" w:cs="Arial" w:eastAsia="Arial" w:hAnsi="Arial"/>
                <w:sz w:val="14"/>
                <w:szCs w:val="14"/>
                <w:color w:val="0000EE"/>
              </w:rPr>
            </w:pPr>
            <w:hyperlink w:anchor="page37">
              <w:r>
                <w:rPr>
                  <w:rFonts w:ascii="Arial" w:cs="Arial" w:eastAsia="Arial" w:hAnsi="Arial"/>
                  <w:sz w:val="14"/>
                  <w:szCs w:val="14"/>
                  <w:color w:val="0000EE"/>
                </w:rPr>
                <w:t>Note 16: Commitments and Contingencies</w:t>
              </w:r>
            </w:hyperlink>
          </w:p>
        </w:tc>
        <w:tc>
          <w:tcPr>
            <w:tcW w:w="160" w:type="dxa"/>
            <w:vAlign w:val="bottom"/>
            <w:gridSpan w:val="3"/>
          </w:tcPr>
          <w:p>
            <w:pPr>
              <w:spacing w:after="0"/>
              <w:rPr>
                <w:rFonts w:ascii="Arial" w:cs="Arial" w:eastAsia="Arial" w:hAnsi="Arial"/>
                <w:sz w:val="14"/>
                <w:szCs w:val="14"/>
                <w:color w:val="0000EE"/>
                <w:w w:val="89"/>
              </w:rPr>
            </w:pPr>
            <w:hyperlink w:anchor="page37">
              <w:r>
                <w:rPr>
                  <w:rFonts w:ascii="Arial" w:cs="Arial" w:eastAsia="Arial" w:hAnsi="Arial"/>
                  <w:sz w:val="14"/>
                  <w:szCs w:val="14"/>
                  <w:color w:val="0000EE"/>
                  <w:w w:val="89"/>
                </w:rPr>
                <w:t>37</w:t>
              </w:r>
            </w:hyperlink>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Borders>
              <w:top w:val="single" w:sz="8" w:color="0000EE"/>
              <w:bottom w:val="single" w:sz="8" w:color="0000EE"/>
            </w:tcBorders>
            <w:gridSpan w:val="7"/>
          </w:tcPr>
          <w:p>
            <w:pPr>
              <w:spacing w:after="0"/>
              <w:rPr>
                <w:rFonts w:ascii="Arial" w:cs="Arial" w:eastAsia="Arial" w:hAnsi="Arial"/>
                <w:sz w:val="14"/>
                <w:szCs w:val="14"/>
                <w:color w:val="0000EE"/>
              </w:rPr>
            </w:pPr>
            <w:hyperlink w:anchor="page37">
              <w:r>
                <w:rPr>
                  <w:rFonts w:ascii="Arial" w:cs="Arial" w:eastAsia="Arial" w:hAnsi="Arial"/>
                  <w:sz w:val="14"/>
                  <w:szCs w:val="14"/>
                  <w:color w:val="0000EE"/>
                </w:rPr>
                <w:t>Note 17: Subsequent Events</w:t>
              </w:r>
            </w:hyperlink>
          </w:p>
        </w:tc>
        <w:tc>
          <w:tcPr>
            <w:tcW w:w="860" w:type="dxa"/>
            <w:vAlign w:val="bottom"/>
            <w:tcBorders>
              <w:top w:val="single" w:sz="8" w:color="0000EE"/>
            </w:tcBorders>
            <w:gridSpan w:val="6"/>
          </w:tcPr>
          <w:p>
            <w:pPr>
              <w:spacing w:after="0"/>
              <w:rPr>
                <w:sz w:val="21"/>
                <w:szCs w:val="21"/>
                <w:color w:val="auto"/>
              </w:rPr>
            </w:pPr>
          </w:p>
        </w:tc>
        <w:tc>
          <w:tcPr>
            <w:tcW w:w="6440" w:type="dxa"/>
            <w:vAlign w:val="bottom"/>
            <w:gridSpan w:val="13"/>
          </w:tcPr>
          <w:p>
            <w:pPr>
              <w:spacing w:after="0"/>
              <w:rPr>
                <w:sz w:val="21"/>
                <w:szCs w:val="21"/>
                <w:color w:val="auto"/>
              </w:rPr>
            </w:pPr>
          </w:p>
        </w:tc>
        <w:tc>
          <w:tcPr>
            <w:tcW w:w="160" w:type="dxa"/>
            <w:vAlign w:val="bottom"/>
            <w:tcBorders>
              <w:top w:val="single" w:sz="8" w:color="0000EE"/>
              <w:bottom w:val="single" w:sz="8" w:color="0000EE"/>
            </w:tcBorders>
            <w:gridSpan w:val="3"/>
          </w:tcPr>
          <w:p>
            <w:pPr>
              <w:spacing w:after="0"/>
              <w:rPr>
                <w:rFonts w:ascii="Arial" w:cs="Arial" w:eastAsia="Arial" w:hAnsi="Arial"/>
                <w:sz w:val="14"/>
                <w:szCs w:val="14"/>
                <w:color w:val="0000EE"/>
                <w:w w:val="89"/>
              </w:rPr>
            </w:pPr>
            <w:hyperlink w:anchor="page37">
              <w:r>
                <w:rPr>
                  <w:rFonts w:ascii="Arial" w:cs="Arial" w:eastAsia="Arial" w:hAnsi="Arial"/>
                  <w:sz w:val="14"/>
                  <w:szCs w:val="14"/>
                  <w:color w:val="0000EE"/>
                  <w:w w:val="89"/>
                </w:rPr>
                <w:t>37</w:t>
              </w:r>
            </w:hyperlink>
          </w:p>
        </w:tc>
      </w:tr>
      <w:tr>
        <w:trPr>
          <w:trHeight w:val="196"/>
        </w:trPr>
        <w:tc>
          <w:tcPr>
            <w:tcW w:w="1040" w:type="dxa"/>
            <w:vAlign w:val="bottom"/>
          </w:tcPr>
          <w:p>
            <w:pPr>
              <w:spacing w:after="0"/>
              <w:rPr>
                <w:sz w:val="20"/>
                <w:szCs w:val="20"/>
                <w:color w:val="auto"/>
              </w:rPr>
            </w:pPr>
            <w:r>
              <w:rPr>
                <w:rFonts w:ascii="Arial" w:cs="Arial" w:eastAsia="Arial" w:hAnsi="Arial"/>
                <w:sz w:val="14"/>
                <w:szCs w:val="14"/>
                <w:b w:val="1"/>
                <w:bCs w:val="1"/>
                <w:color w:val="006EBF"/>
              </w:rPr>
              <w:t>Item 2.</w:t>
            </w:r>
          </w:p>
        </w:tc>
        <w:tc>
          <w:tcPr>
            <w:tcW w:w="5660" w:type="dxa"/>
            <w:vAlign w:val="bottom"/>
            <w:tcBorders>
              <w:bottom w:val="single" w:sz="8" w:color="0000EE"/>
            </w:tcBorders>
            <w:gridSpan w:val="22"/>
          </w:tcPr>
          <w:p>
            <w:pPr>
              <w:spacing w:after="0"/>
              <w:rPr>
                <w:rFonts w:ascii="Arial" w:cs="Arial" w:eastAsia="Arial" w:hAnsi="Arial"/>
                <w:sz w:val="14"/>
                <w:szCs w:val="14"/>
                <w:color w:val="0000EE"/>
              </w:rPr>
            </w:pPr>
            <w:hyperlink w:anchor="page38">
              <w:r>
                <w:rPr>
                  <w:rFonts w:ascii="Arial" w:cs="Arial" w:eastAsia="Arial" w:hAnsi="Arial"/>
                  <w:sz w:val="14"/>
                  <w:szCs w:val="14"/>
                  <w:color w:val="0000EE"/>
                </w:rPr>
                <w:t>Management’s Discussion and Analysis of Financial Condition and Results of Operations</w:t>
              </w:r>
            </w:hyperlink>
          </w:p>
        </w:tc>
        <w:tc>
          <w:tcPr>
            <w:tcW w:w="4040" w:type="dxa"/>
            <w:vAlign w:val="bottom"/>
            <w:gridSpan w:val="6"/>
          </w:tcPr>
          <w:p>
            <w:pPr>
              <w:spacing w:after="0"/>
              <w:rPr>
                <w:sz w:val="17"/>
                <w:szCs w:val="17"/>
                <w:color w:val="auto"/>
              </w:rPr>
            </w:pPr>
          </w:p>
        </w:tc>
        <w:tc>
          <w:tcPr>
            <w:tcW w:w="160" w:type="dxa"/>
            <w:vAlign w:val="bottom"/>
            <w:tcBorders>
              <w:bottom w:val="single" w:sz="8" w:color="0000EE"/>
            </w:tcBorders>
            <w:gridSpan w:val="3"/>
          </w:tcPr>
          <w:p>
            <w:pPr>
              <w:spacing w:after="0"/>
              <w:rPr>
                <w:rFonts w:ascii="Arial" w:cs="Arial" w:eastAsia="Arial" w:hAnsi="Arial"/>
                <w:sz w:val="14"/>
                <w:szCs w:val="14"/>
                <w:color w:val="0000EE"/>
                <w:w w:val="89"/>
              </w:rPr>
            </w:pPr>
            <w:hyperlink w:anchor="page38">
              <w:r>
                <w:rPr>
                  <w:rFonts w:ascii="Arial" w:cs="Arial" w:eastAsia="Arial" w:hAnsi="Arial"/>
                  <w:sz w:val="14"/>
                  <w:szCs w:val="14"/>
                  <w:color w:val="0000EE"/>
                  <w:w w:val="89"/>
                </w:rPr>
                <w:t>38</w:t>
              </w:r>
            </w:hyperlink>
          </w:p>
        </w:tc>
      </w:tr>
      <w:tr>
        <w:trPr>
          <w:trHeight w:val="196"/>
        </w:trPr>
        <w:tc>
          <w:tcPr>
            <w:tcW w:w="1040" w:type="dxa"/>
            <w:vAlign w:val="bottom"/>
          </w:tcPr>
          <w:p>
            <w:pPr>
              <w:spacing w:after="0"/>
              <w:rPr>
                <w:sz w:val="20"/>
                <w:szCs w:val="20"/>
                <w:color w:val="auto"/>
              </w:rPr>
            </w:pPr>
            <w:r>
              <w:rPr>
                <w:rFonts w:ascii="Arial" w:cs="Arial" w:eastAsia="Arial" w:hAnsi="Arial"/>
                <w:sz w:val="14"/>
                <w:szCs w:val="14"/>
                <w:b w:val="1"/>
                <w:bCs w:val="1"/>
                <w:color w:val="006EBF"/>
              </w:rPr>
              <w:t>Item 3.</w:t>
            </w:r>
          </w:p>
        </w:tc>
        <w:tc>
          <w:tcPr>
            <w:tcW w:w="9700" w:type="dxa"/>
            <w:vAlign w:val="bottom"/>
            <w:gridSpan w:val="28"/>
          </w:tcPr>
          <w:p>
            <w:pPr>
              <w:spacing w:after="0"/>
              <w:rPr>
                <w:rFonts w:ascii="Arial" w:cs="Arial" w:eastAsia="Arial" w:hAnsi="Arial"/>
                <w:sz w:val="14"/>
                <w:szCs w:val="14"/>
                <w:color w:val="0000EE"/>
              </w:rPr>
            </w:pPr>
            <w:hyperlink w:anchor="page63">
              <w:r>
                <w:rPr>
                  <w:rFonts w:ascii="Arial" w:cs="Arial" w:eastAsia="Arial" w:hAnsi="Arial"/>
                  <w:sz w:val="14"/>
                  <w:szCs w:val="14"/>
                  <w:color w:val="0000EE"/>
                </w:rPr>
                <w:t>Quantitative and Qualitative Disclosures About Market Risk</w:t>
              </w:r>
            </w:hyperlink>
          </w:p>
        </w:tc>
        <w:tc>
          <w:tcPr>
            <w:tcW w:w="160" w:type="dxa"/>
            <w:vAlign w:val="bottom"/>
            <w:gridSpan w:val="3"/>
          </w:tcPr>
          <w:p>
            <w:pPr>
              <w:spacing w:after="0"/>
              <w:rPr>
                <w:rFonts w:ascii="Arial" w:cs="Arial" w:eastAsia="Arial" w:hAnsi="Arial"/>
                <w:sz w:val="14"/>
                <w:szCs w:val="14"/>
                <w:color w:val="0000EE"/>
                <w:w w:val="89"/>
              </w:rPr>
            </w:pPr>
            <w:hyperlink w:anchor="page63">
              <w:r>
                <w:rPr>
                  <w:rFonts w:ascii="Arial" w:cs="Arial" w:eastAsia="Arial" w:hAnsi="Arial"/>
                  <w:sz w:val="14"/>
                  <w:szCs w:val="14"/>
                  <w:color w:val="0000EE"/>
                  <w:w w:val="89"/>
                </w:rPr>
                <w:t>63</w:t>
              </w:r>
            </w:hyperlink>
          </w:p>
        </w:tc>
      </w:tr>
      <w:tr>
        <w:trPr>
          <w:trHeight w:val="196"/>
        </w:trPr>
        <w:tc>
          <w:tcPr>
            <w:tcW w:w="1040" w:type="dxa"/>
            <w:vAlign w:val="bottom"/>
          </w:tcPr>
          <w:p>
            <w:pPr>
              <w:spacing w:after="0"/>
              <w:rPr>
                <w:sz w:val="20"/>
                <w:szCs w:val="20"/>
                <w:color w:val="auto"/>
              </w:rPr>
            </w:pPr>
            <w:r>
              <w:rPr>
                <w:rFonts w:ascii="Arial" w:cs="Arial" w:eastAsia="Arial" w:hAnsi="Arial"/>
                <w:sz w:val="14"/>
                <w:szCs w:val="14"/>
                <w:b w:val="1"/>
                <w:bCs w:val="1"/>
                <w:color w:val="006EBF"/>
              </w:rPr>
              <w:t>Item 4.</w:t>
            </w:r>
          </w:p>
        </w:tc>
        <w:tc>
          <w:tcPr>
            <w:tcW w:w="3760" w:type="dxa"/>
            <w:vAlign w:val="bottom"/>
            <w:tcBorders>
              <w:top w:val="single" w:sz="8" w:color="0000EE"/>
            </w:tcBorders>
            <w:gridSpan w:val="18"/>
          </w:tcPr>
          <w:p>
            <w:pPr>
              <w:spacing w:after="0"/>
              <w:rPr>
                <w:rFonts w:ascii="Arial" w:cs="Arial" w:eastAsia="Arial" w:hAnsi="Arial"/>
                <w:sz w:val="14"/>
                <w:szCs w:val="14"/>
                <w:color w:val="0000EE"/>
              </w:rPr>
            </w:pPr>
            <w:hyperlink w:anchor="page65">
              <w:r>
                <w:rPr>
                  <w:rFonts w:ascii="Arial" w:cs="Arial" w:eastAsia="Arial" w:hAnsi="Arial"/>
                  <w:sz w:val="14"/>
                  <w:szCs w:val="14"/>
                  <w:color w:val="0000EE"/>
                </w:rPr>
                <w:t>Controls and Procedures</w:t>
              </w:r>
            </w:hyperlink>
          </w:p>
        </w:tc>
        <w:tc>
          <w:tcPr>
            <w:tcW w:w="5940" w:type="dxa"/>
            <w:vAlign w:val="bottom"/>
            <w:gridSpan w:val="10"/>
          </w:tcPr>
          <w:p>
            <w:pPr>
              <w:spacing w:after="0"/>
              <w:rPr>
                <w:sz w:val="17"/>
                <w:szCs w:val="17"/>
                <w:color w:val="auto"/>
              </w:rPr>
            </w:pPr>
          </w:p>
        </w:tc>
        <w:tc>
          <w:tcPr>
            <w:tcW w:w="160" w:type="dxa"/>
            <w:vAlign w:val="bottom"/>
            <w:tcBorders>
              <w:top w:val="single" w:sz="8" w:color="0000EE"/>
            </w:tcBorders>
            <w:gridSpan w:val="3"/>
          </w:tcPr>
          <w:p>
            <w:pPr>
              <w:spacing w:after="0"/>
              <w:rPr>
                <w:rFonts w:ascii="Arial" w:cs="Arial" w:eastAsia="Arial" w:hAnsi="Arial"/>
                <w:sz w:val="14"/>
                <w:szCs w:val="14"/>
                <w:color w:val="0000EE"/>
                <w:w w:val="89"/>
              </w:rPr>
            </w:pPr>
            <w:hyperlink w:anchor="page65">
              <w:r>
                <w:rPr>
                  <w:rFonts w:ascii="Arial" w:cs="Arial" w:eastAsia="Arial" w:hAnsi="Arial"/>
                  <w:sz w:val="14"/>
                  <w:szCs w:val="14"/>
                  <w:color w:val="0000EE"/>
                  <w:w w:val="89"/>
                </w:rPr>
                <w:t>65</w:t>
              </w:r>
            </w:hyperlink>
          </w:p>
        </w:tc>
      </w:tr>
      <w:tr>
        <w:trPr>
          <w:trHeight w:val="20"/>
        </w:trPr>
        <w:tc>
          <w:tcPr>
            <w:tcW w:w="10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bl>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60" w:type="dxa"/>
            <w:vAlign w:val="bottom"/>
            <w:gridSpan w:val="2"/>
          </w:tcPr>
          <w:p>
            <w:pPr>
              <w:ind w:left="1680"/>
              <w:spacing w:after="0"/>
              <w:rPr>
                <w:sz w:val="20"/>
                <w:szCs w:val="20"/>
                <w:color w:val="auto"/>
              </w:rPr>
            </w:pPr>
            <w:r>
              <w:rPr>
                <w:rFonts w:ascii="Arial" w:cs="Arial" w:eastAsia="Arial" w:hAnsi="Arial"/>
                <w:sz w:val="14"/>
                <w:szCs w:val="14"/>
                <w:b w:val="1"/>
                <w:bCs w:val="1"/>
                <w:color w:val="006EBF"/>
              </w:rPr>
              <w:t>PART II - OTHER INFORMATION</w:t>
            </w:r>
          </w:p>
        </w:tc>
        <w:tc>
          <w:tcPr>
            <w:tcW w:w="160" w:type="dxa"/>
            <w:vAlign w:val="bottom"/>
          </w:tcPr>
          <w:p>
            <w:pPr>
              <w:spacing w:after="0"/>
              <w:rPr>
                <w:sz w:val="17"/>
                <w:szCs w:val="17"/>
                <w:color w:val="auto"/>
              </w:rPr>
            </w:pPr>
          </w:p>
        </w:tc>
      </w:tr>
      <w:tr>
        <w:trPr>
          <w:trHeight w:val="178"/>
        </w:trPr>
        <w:tc>
          <w:tcPr>
            <w:tcW w:w="1040" w:type="dxa"/>
            <w:vAlign w:val="bottom"/>
          </w:tcPr>
          <w:p>
            <w:pPr>
              <w:spacing w:after="0"/>
              <w:rPr>
                <w:sz w:val="20"/>
                <w:szCs w:val="20"/>
                <w:color w:val="auto"/>
              </w:rPr>
            </w:pPr>
            <w:r>
              <w:rPr>
                <w:rFonts w:ascii="Arial" w:cs="Arial" w:eastAsia="Arial" w:hAnsi="Arial"/>
                <w:sz w:val="14"/>
                <w:szCs w:val="14"/>
                <w:b w:val="1"/>
                <w:bCs w:val="1"/>
                <w:color w:val="006EBF"/>
              </w:rPr>
              <w:t>Item 1.</w:t>
            </w:r>
          </w:p>
        </w:tc>
        <w:tc>
          <w:tcPr>
            <w:tcW w:w="9700" w:type="dxa"/>
            <w:vAlign w:val="bottom"/>
            <w:gridSpan w:val="8"/>
          </w:tcPr>
          <w:p>
            <w:pPr>
              <w:spacing w:after="0"/>
              <w:rPr>
                <w:rFonts w:ascii="Arial" w:cs="Arial" w:eastAsia="Arial" w:hAnsi="Arial"/>
                <w:sz w:val="14"/>
                <w:szCs w:val="14"/>
                <w:color w:val="0000EE"/>
              </w:rPr>
            </w:pPr>
            <w:hyperlink w:anchor="page65">
              <w:r>
                <w:rPr>
                  <w:rFonts w:ascii="Arial" w:cs="Arial" w:eastAsia="Arial" w:hAnsi="Arial"/>
                  <w:sz w:val="14"/>
                  <w:szCs w:val="14"/>
                  <w:color w:val="0000EE"/>
                </w:rPr>
                <w:t>Legal Proceedings</w:t>
              </w:r>
            </w:hyperlink>
          </w:p>
        </w:tc>
        <w:tc>
          <w:tcPr>
            <w:tcW w:w="160" w:type="dxa"/>
            <w:vAlign w:val="bottom"/>
          </w:tcPr>
          <w:p>
            <w:pPr>
              <w:jc w:val="right"/>
              <w:spacing w:after="0"/>
              <w:rPr>
                <w:rFonts w:ascii="Arial" w:cs="Arial" w:eastAsia="Arial" w:hAnsi="Arial"/>
                <w:sz w:val="14"/>
                <w:szCs w:val="14"/>
                <w:color w:val="0000EE"/>
                <w:w w:val="89"/>
              </w:rPr>
            </w:pPr>
            <w:hyperlink w:anchor="page65">
              <w:r>
                <w:rPr>
                  <w:rFonts w:ascii="Arial" w:cs="Arial" w:eastAsia="Arial" w:hAnsi="Arial"/>
                  <w:sz w:val="14"/>
                  <w:szCs w:val="14"/>
                  <w:color w:val="0000EE"/>
                  <w:w w:val="89"/>
                </w:rPr>
                <w:t>65</w:t>
              </w:r>
            </w:hyperlink>
          </w:p>
        </w:tc>
      </w:tr>
      <w:tr>
        <w:trPr>
          <w:trHeight w:val="196"/>
        </w:trPr>
        <w:tc>
          <w:tcPr>
            <w:tcW w:w="1040" w:type="dxa"/>
            <w:vAlign w:val="bottom"/>
          </w:tcPr>
          <w:p>
            <w:pPr>
              <w:spacing w:after="0"/>
              <w:rPr>
                <w:sz w:val="20"/>
                <w:szCs w:val="20"/>
                <w:color w:val="auto"/>
              </w:rPr>
            </w:pPr>
            <w:r>
              <w:rPr>
                <w:rFonts w:ascii="Arial" w:cs="Arial" w:eastAsia="Arial" w:hAnsi="Arial"/>
                <w:sz w:val="14"/>
                <w:szCs w:val="14"/>
                <w:b w:val="1"/>
                <w:bCs w:val="1"/>
                <w:color w:val="006EBF"/>
              </w:rPr>
              <w:t>Item 1A.</w:t>
            </w:r>
          </w:p>
        </w:tc>
        <w:tc>
          <w:tcPr>
            <w:tcW w:w="800" w:type="dxa"/>
            <w:vAlign w:val="bottom"/>
            <w:tcBorders>
              <w:top w:val="single" w:sz="8" w:color="0000EE"/>
              <w:bottom w:val="single" w:sz="8" w:color="0000EE"/>
            </w:tcBorders>
            <w:gridSpan w:val="2"/>
          </w:tcPr>
          <w:p>
            <w:pPr>
              <w:spacing w:after="0"/>
              <w:rPr>
                <w:rFonts w:ascii="Arial" w:cs="Arial" w:eastAsia="Arial" w:hAnsi="Arial"/>
                <w:sz w:val="14"/>
                <w:szCs w:val="14"/>
                <w:color w:val="0000EE"/>
              </w:rPr>
            </w:pPr>
            <w:hyperlink w:anchor="page65">
              <w:r>
                <w:rPr>
                  <w:rFonts w:ascii="Arial" w:cs="Arial" w:eastAsia="Arial" w:hAnsi="Arial"/>
                  <w:sz w:val="14"/>
                  <w:szCs w:val="14"/>
                  <w:color w:val="0000EE"/>
                </w:rPr>
                <w:t>Risk Factors</w:t>
              </w:r>
            </w:hyperlink>
          </w:p>
        </w:tc>
        <w:tc>
          <w:tcPr>
            <w:tcW w:w="380" w:type="dxa"/>
            <w:vAlign w:val="bottom"/>
            <w:tcBorders>
              <w:top w:val="single" w:sz="8" w:color="0000EE"/>
            </w:tcBorders>
            <w:gridSpan w:val="2"/>
          </w:tcPr>
          <w:p>
            <w:pPr>
              <w:spacing w:after="0"/>
              <w:rPr>
                <w:sz w:val="17"/>
                <w:szCs w:val="17"/>
                <w:color w:val="auto"/>
              </w:rPr>
            </w:pPr>
          </w:p>
        </w:tc>
        <w:tc>
          <w:tcPr>
            <w:tcW w:w="8520" w:type="dxa"/>
            <w:vAlign w:val="bottom"/>
            <w:gridSpan w:val="4"/>
          </w:tcPr>
          <w:p>
            <w:pPr>
              <w:spacing w:after="0"/>
              <w:rPr>
                <w:sz w:val="17"/>
                <w:szCs w:val="17"/>
                <w:color w:val="auto"/>
              </w:rPr>
            </w:pPr>
          </w:p>
        </w:tc>
        <w:tc>
          <w:tcPr>
            <w:tcW w:w="160" w:type="dxa"/>
            <w:vAlign w:val="bottom"/>
            <w:tcBorders>
              <w:top w:val="single" w:sz="8" w:color="0000EE"/>
              <w:bottom w:val="single" w:sz="8" w:color="0000EE"/>
            </w:tcBorders>
          </w:tcPr>
          <w:p>
            <w:pPr>
              <w:jc w:val="right"/>
              <w:spacing w:after="0"/>
              <w:rPr>
                <w:rFonts w:ascii="Arial" w:cs="Arial" w:eastAsia="Arial" w:hAnsi="Arial"/>
                <w:sz w:val="14"/>
                <w:szCs w:val="14"/>
                <w:color w:val="0000EE"/>
                <w:w w:val="89"/>
              </w:rPr>
            </w:pPr>
            <w:hyperlink w:anchor="page65">
              <w:r>
                <w:rPr>
                  <w:rFonts w:ascii="Arial" w:cs="Arial" w:eastAsia="Arial" w:hAnsi="Arial"/>
                  <w:sz w:val="14"/>
                  <w:szCs w:val="14"/>
                  <w:color w:val="0000EE"/>
                  <w:w w:val="89"/>
                </w:rPr>
                <w:t>65</w:t>
              </w:r>
            </w:hyperlink>
          </w:p>
        </w:tc>
      </w:tr>
      <w:tr>
        <w:trPr>
          <w:trHeight w:val="196"/>
        </w:trPr>
        <w:tc>
          <w:tcPr>
            <w:tcW w:w="1040" w:type="dxa"/>
            <w:vAlign w:val="bottom"/>
          </w:tcPr>
          <w:p>
            <w:pPr>
              <w:spacing w:after="0"/>
              <w:rPr>
                <w:sz w:val="20"/>
                <w:szCs w:val="20"/>
                <w:color w:val="auto"/>
              </w:rPr>
            </w:pPr>
            <w:r>
              <w:rPr>
                <w:rFonts w:ascii="Arial" w:cs="Arial" w:eastAsia="Arial" w:hAnsi="Arial"/>
                <w:sz w:val="14"/>
                <w:szCs w:val="14"/>
                <w:b w:val="1"/>
                <w:bCs w:val="1"/>
                <w:color w:val="006EBF"/>
              </w:rPr>
              <w:t>Item 2.</w:t>
            </w:r>
          </w:p>
        </w:tc>
        <w:tc>
          <w:tcPr>
            <w:tcW w:w="3880" w:type="dxa"/>
            <w:vAlign w:val="bottom"/>
            <w:tcBorders>
              <w:bottom w:val="single" w:sz="8" w:color="0000EE"/>
            </w:tcBorders>
            <w:gridSpan w:val="7"/>
          </w:tcPr>
          <w:p>
            <w:pPr>
              <w:spacing w:after="0"/>
              <w:rPr>
                <w:rFonts w:ascii="Arial" w:cs="Arial" w:eastAsia="Arial" w:hAnsi="Arial"/>
                <w:sz w:val="14"/>
                <w:szCs w:val="14"/>
                <w:color w:val="0000EE"/>
              </w:rPr>
            </w:pPr>
            <w:hyperlink w:anchor="page87">
              <w:r>
                <w:rPr>
                  <w:rFonts w:ascii="Arial" w:cs="Arial" w:eastAsia="Arial" w:hAnsi="Arial"/>
                  <w:sz w:val="14"/>
                  <w:szCs w:val="14"/>
                  <w:color w:val="0000EE"/>
                </w:rPr>
                <w:t>Unregistered Sales of Equity Securities and Use of Proceeds</w:t>
              </w:r>
            </w:hyperlink>
          </w:p>
        </w:tc>
        <w:tc>
          <w:tcPr>
            <w:tcW w:w="5820" w:type="dxa"/>
            <w:vAlign w:val="bottom"/>
          </w:tcPr>
          <w:p>
            <w:pPr>
              <w:spacing w:after="0"/>
              <w:rPr>
                <w:sz w:val="17"/>
                <w:szCs w:val="17"/>
                <w:color w:val="auto"/>
              </w:rPr>
            </w:pPr>
          </w:p>
        </w:tc>
        <w:tc>
          <w:tcPr>
            <w:tcW w:w="160" w:type="dxa"/>
            <w:vAlign w:val="bottom"/>
            <w:tcBorders>
              <w:bottom w:val="single" w:sz="8" w:color="0000EE"/>
            </w:tcBorders>
          </w:tcPr>
          <w:p>
            <w:pPr>
              <w:jc w:val="right"/>
              <w:spacing w:after="0"/>
              <w:rPr>
                <w:rFonts w:ascii="Arial" w:cs="Arial" w:eastAsia="Arial" w:hAnsi="Arial"/>
                <w:sz w:val="14"/>
                <w:szCs w:val="14"/>
                <w:color w:val="0000EE"/>
                <w:w w:val="89"/>
              </w:rPr>
            </w:pPr>
            <w:hyperlink w:anchor="page87">
              <w:r>
                <w:rPr>
                  <w:rFonts w:ascii="Arial" w:cs="Arial" w:eastAsia="Arial" w:hAnsi="Arial"/>
                  <w:sz w:val="14"/>
                  <w:szCs w:val="14"/>
                  <w:color w:val="0000EE"/>
                  <w:w w:val="89"/>
                </w:rPr>
                <w:t>87</w:t>
              </w:r>
            </w:hyperlink>
          </w:p>
        </w:tc>
      </w:tr>
      <w:tr>
        <w:trPr>
          <w:trHeight w:val="196"/>
        </w:trPr>
        <w:tc>
          <w:tcPr>
            <w:tcW w:w="1040" w:type="dxa"/>
            <w:vAlign w:val="bottom"/>
          </w:tcPr>
          <w:p>
            <w:pPr>
              <w:spacing w:after="0"/>
              <w:rPr>
                <w:sz w:val="20"/>
                <w:szCs w:val="20"/>
                <w:color w:val="auto"/>
              </w:rPr>
            </w:pPr>
            <w:r>
              <w:rPr>
                <w:rFonts w:ascii="Arial" w:cs="Arial" w:eastAsia="Arial" w:hAnsi="Arial"/>
                <w:sz w:val="14"/>
                <w:szCs w:val="14"/>
                <w:b w:val="1"/>
                <w:bCs w:val="1"/>
                <w:color w:val="006EBF"/>
              </w:rPr>
              <w:t>Item 3.</w:t>
            </w:r>
          </w:p>
        </w:tc>
        <w:tc>
          <w:tcPr>
            <w:tcW w:w="2040" w:type="dxa"/>
            <w:vAlign w:val="bottom"/>
            <w:tcBorders>
              <w:bottom w:val="single" w:sz="8" w:color="0000EE"/>
            </w:tcBorders>
            <w:gridSpan w:val="6"/>
          </w:tcPr>
          <w:p>
            <w:pPr>
              <w:spacing w:after="0"/>
              <w:rPr>
                <w:rFonts w:ascii="Arial" w:cs="Arial" w:eastAsia="Arial" w:hAnsi="Arial"/>
                <w:sz w:val="14"/>
                <w:szCs w:val="14"/>
                <w:color w:val="0000EE"/>
              </w:rPr>
            </w:pPr>
            <w:hyperlink w:anchor="page87">
              <w:r>
                <w:rPr>
                  <w:rFonts w:ascii="Arial" w:cs="Arial" w:eastAsia="Arial" w:hAnsi="Arial"/>
                  <w:sz w:val="14"/>
                  <w:szCs w:val="14"/>
                  <w:color w:val="0000EE"/>
                </w:rPr>
                <w:t>Defaults Upon Senior Securities</w:t>
              </w:r>
            </w:hyperlink>
          </w:p>
        </w:tc>
        <w:tc>
          <w:tcPr>
            <w:tcW w:w="7660" w:type="dxa"/>
            <w:vAlign w:val="bottom"/>
            <w:gridSpan w:val="2"/>
          </w:tcPr>
          <w:p>
            <w:pPr>
              <w:spacing w:after="0"/>
              <w:rPr>
                <w:sz w:val="17"/>
                <w:szCs w:val="17"/>
                <w:color w:val="auto"/>
              </w:rPr>
            </w:pPr>
          </w:p>
        </w:tc>
        <w:tc>
          <w:tcPr>
            <w:tcW w:w="160" w:type="dxa"/>
            <w:vAlign w:val="bottom"/>
            <w:tcBorders>
              <w:bottom w:val="single" w:sz="8" w:color="0000EE"/>
            </w:tcBorders>
          </w:tcPr>
          <w:p>
            <w:pPr>
              <w:jc w:val="right"/>
              <w:spacing w:after="0"/>
              <w:rPr>
                <w:rFonts w:ascii="Arial" w:cs="Arial" w:eastAsia="Arial" w:hAnsi="Arial"/>
                <w:sz w:val="14"/>
                <w:szCs w:val="14"/>
                <w:color w:val="0000EE"/>
                <w:w w:val="89"/>
              </w:rPr>
            </w:pPr>
            <w:hyperlink w:anchor="page87">
              <w:r>
                <w:rPr>
                  <w:rFonts w:ascii="Arial" w:cs="Arial" w:eastAsia="Arial" w:hAnsi="Arial"/>
                  <w:sz w:val="14"/>
                  <w:szCs w:val="14"/>
                  <w:color w:val="0000EE"/>
                  <w:w w:val="89"/>
                </w:rPr>
                <w:t>87</w:t>
              </w:r>
            </w:hyperlink>
          </w:p>
        </w:tc>
      </w:tr>
      <w:tr>
        <w:trPr>
          <w:trHeight w:val="196"/>
        </w:trPr>
        <w:tc>
          <w:tcPr>
            <w:tcW w:w="1040" w:type="dxa"/>
            <w:vAlign w:val="bottom"/>
          </w:tcPr>
          <w:p>
            <w:pPr>
              <w:spacing w:after="0"/>
              <w:rPr>
                <w:sz w:val="20"/>
                <w:szCs w:val="20"/>
                <w:color w:val="auto"/>
              </w:rPr>
            </w:pPr>
            <w:r>
              <w:rPr>
                <w:rFonts w:ascii="Arial" w:cs="Arial" w:eastAsia="Arial" w:hAnsi="Arial"/>
                <w:sz w:val="14"/>
                <w:szCs w:val="14"/>
                <w:b w:val="1"/>
                <w:bCs w:val="1"/>
                <w:color w:val="006EBF"/>
              </w:rPr>
              <w:t>Item 4.</w:t>
            </w:r>
          </w:p>
        </w:tc>
        <w:tc>
          <w:tcPr>
            <w:tcW w:w="1540" w:type="dxa"/>
            <w:vAlign w:val="bottom"/>
            <w:tcBorders>
              <w:bottom w:val="single" w:sz="8" w:color="0000EE"/>
            </w:tcBorders>
            <w:gridSpan w:val="5"/>
          </w:tcPr>
          <w:p>
            <w:pPr>
              <w:spacing w:after="0"/>
              <w:rPr>
                <w:rFonts w:ascii="Arial" w:cs="Arial" w:eastAsia="Arial" w:hAnsi="Arial"/>
                <w:sz w:val="14"/>
                <w:szCs w:val="14"/>
                <w:color w:val="0000EE"/>
              </w:rPr>
            </w:pPr>
            <w:hyperlink w:anchor="page87">
              <w:r>
                <w:rPr>
                  <w:rFonts w:ascii="Arial" w:cs="Arial" w:eastAsia="Arial" w:hAnsi="Arial"/>
                  <w:sz w:val="14"/>
                  <w:szCs w:val="14"/>
                  <w:color w:val="0000EE"/>
                </w:rPr>
                <w:t>Mine Safety Disclosures</w:t>
              </w:r>
            </w:hyperlink>
          </w:p>
        </w:tc>
        <w:tc>
          <w:tcPr>
            <w:tcW w:w="8160" w:type="dxa"/>
            <w:vAlign w:val="bottom"/>
            <w:gridSpan w:val="3"/>
          </w:tcPr>
          <w:p>
            <w:pPr>
              <w:spacing w:after="0"/>
              <w:rPr>
                <w:sz w:val="17"/>
                <w:szCs w:val="17"/>
                <w:color w:val="auto"/>
              </w:rPr>
            </w:pPr>
          </w:p>
        </w:tc>
        <w:tc>
          <w:tcPr>
            <w:tcW w:w="160" w:type="dxa"/>
            <w:vAlign w:val="bottom"/>
            <w:tcBorders>
              <w:bottom w:val="single" w:sz="8" w:color="0000EE"/>
            </w:tcBorders>
          </w:tcPr>
          <w:p>
            <w:pPr>
              <w:jc w:val="right"/>
              <w:spacing w:after="0"/>
              <w:rPr>
                <w:rFonts w:ascii="Arial" w:cs="Arial" w:eastAsia="Arial" w:hAnsi="Arial"/>
                <w:sz w:val="14"/>
                <w:szCs w:val="14"/>
                <w:color w:val="0000EE"/>
                <w:w w:val="89"/>
              </w:rPr>
            </w:pPr>
            <w:hyperlink w:anchor="page87">
              <w:r>
                <w:rPr>
                  <w:rFonts w:ascii="Arial" w:cs="Arial" w:eastAsia="Arial" w:hAnsi="Arial"/>
                  <w:sz w:val="14"/>
                  <w:szCs w:val="14"/>
                  <w:color w:val="0000EE"/>
                  <w:w w:val="89"/>
                </w:rPr>
                <w:t>87</w:t>
              </w:r>
            </w:hyperlink>
          </w:p>
        </w:tc>
      </w:tr>
      <w:tr>
        <w:trPr>
          <w:trHeight w:val="196"/>
        </w:trPr>
        <w:tc>
          <w:tcPr>
            <w:tcW w:w="1040" w:type="dxa"/>
            <w:vAlign w:val="bottom"/>
          </w:tcPr>
          <w:p>
            <w:pPr>
              <w:spacing w:after="0"/>
              <w:rPr>
                <w:sz w:val="20"/>
                <w:szCs w:val="20"/>
                <w:color w:val="auto"/>
              </w:rPr>
            </w:pPr>
            <w:r>
              <w:rPr>
                <w:rFonts w:ascii="Arial" w:cs="Arial" w:eastAsia="Arial" w:hAnsi="Arial"/>
                <w:sz w:val="14"/>
                <w:szCs w:val="14"/>
                <w:b w:val="1"/>
                <w:bCs w:val="1"/>
                <w:color w:val="006EBF"/>
              </w:rPr>
              <w:t>Item 5.</w:t>
            </w:r>
          </w:p>
        </w:tc>
        <w:tc>
          <w:tcPr>
            <w:tcW w:w="1120" w:type="dxa"/>
            <w:vAlign w:val="bottom"/>
            <w:tcBorders>
              <w:bottom w:val="single" w:sz="8" w:color="0000EE"/>
            </w:tcBorders>
            <w:gridSpan w:val="3"/>
          </w:tcPr>
          <w:p>
            <w:pPr>
              <w:spacing w:after="0"/>
              <w:rPr>
                <w:rFonts w:ascii="Arial" w:cs="Arial" w:eastAsia="Arial" w:hAnsi="Arial"/>
                <w:sz w:val="14"/>
                <w:szCs w:val="14"/>
                <w:color w:val="0000EE"/>
              </w:rPr>
            </w:pPr>
            <w:hyperlink w:anchor="page87">
              <w:r>
                <w:rPr>
                  <w:rFonts w:ascii="Arial" w:cs="Arial" w:eastAsia="Arial" w:hAnsi="Arial"/>
                  <w:sz w:val="14"/>
                  <w:szCs w:val="14"/>
                  <w:color w:val="0000EE"/>
                </w:rPr>
                <w:t>Other Information</w:t>
              </w:r>
            </w:hyperlink>
          </w:p>
        </w:tc>
        <w:tc>
          <w:tcPr>
            <w:tcW w:w="8580" w:type="dxa"/>
            <w:vAlign w:val="bottom"/>
            <w:gridSpan w:val="5"/>
          </w:tcPr>
          <w:p>
            <w:pPr>
              <w:spacing w:after="0"/>
              <w:rPr>
                <w:sz w:val="17"/>
                <w:szCs w:val="17"/>
                <w:color w:val="auto"/>
              </w:rPr>
            </w:pPr>
          </w:p>
        </w:tc>
        <w:tc>
          <w:tcPr>
            <w:tcW w:w="160" w:type="dxa"/>
            <w:vAlign w:val="bottom"/>
            <w:tcBorders>
              <w:bottom w:val="single" w:sz="8" w:color="0000EE"/>
            </w:tcBorders>
          </w:tcPr>
          <w:p>
            <w:pPr>
              <w:jc w:val="right"/>
              <w:spacing w:after="0"/>
              <w:rPr>
                <w:rFonts w:ascii="Arial" w:cs="Arial" w:eastAsia="Arial" w:hAnsi="Arial"/>
                <w:sz w:val="14"/>
                <w:szCs w:val="14"/>
                <w:color w:val="0000EE"/>
                <w:w w:val="89"/>
              </w:rPr>
            </w:pPr>
            <w:hyperlink w:anchor="page87">
              <w:r>
                <w:rPr>
                  <w:rFonts w:ascii="Arial" w:cs="Arial" w:eastAsia="Arial" w:hAnsi="Arial"/>
                  <w:sz w:val="14"/>
                  <w:szCs w:val="14"/>
                  <w:color w:val="0000EE"/>
                  <w:w w:val="89"/>
                </w:rPr>
                <w:t>87</w:t>
              </w:r>
            </w:hyperlink>
          </w:p>
        </w:tc>
      </w:tr>
      <w:tr>
        <w:trPr>
          <w:trHeight w:val="196"/>
        </w:trPr>
        <w:tc>
          <w:tcPr>
            <w:tcW w:w="1040" w:type="dxa"/>
            <w:vAlign w:val="bottom"/>
          </w:tcPr>
          <w:p>
            <w:pPr>
              <w:spacing w:after="0"/>
              <w:rPr>
                <w:sz w:val="20"/>
                <w:szCs w:val="20"/>
                <w:color w:val="auto"/>
              </w:rPr>
            </w:pPr>
            <w:r>
              <w:rPr>
                <w:rFonts w:ascii="Arial" w:cs="Arial" w:eastAsia="Arial" w:hAnsi="Arial"/>
                <w:sz w:val="14"/>
                <w:szCs w:val="14"/>
                <w:b w:val="1"/>
                <w:bCs w:val="1"/>
                <w:color w:val="006EBF"/>
              </w:rPr>
              <w:t>Item 6.</w:t>
            </w:r>
          </w:p>
        </w:tc>
        <w:tc>
          <w:tcPr>
            <w:tcW w:w="500" w:type="dxa"/>
            <w:vAlign w:val="bottom"/>
            <w:tcBorders>
              <w:bottom w:val="single" w:sz="8" w:color="0000EE"/>
            </w:tcBorders>
          </w:tcPr>
          <w:p>
            <w:pPr>
              <w:spacing w:after="0"/>
              <w:rPr>
                <w:rFonts w:ascii="Arial" w:cs="Arial" w:eastAsia="Arial" w:hAnsi="Arial"/>
                <w:sz w:val="14"/>
                <w:szCs w:val="14"/>
                <w:color w:val="0000EE"/>
                <w:w w:val="97"/>
              </w:rPr>
            </w:pPr>
            <w:hyperlink w:anchor="page87">
              <w:r>
                <w:rPr>
                  <w:rFonts w:ascii="Arial" w:cs="Arial" w:eastAsia="Arial" w:hAnsi="Arial"/>
                  <w:sz w:val="14"/>
                  <w:szCs w:val="14"/>
                  <w:color w:val="0000EE"/>
                  <w:w w:val="97"/>
                </w:rPr>
                <w:t>Exhibits</w:t>
              </w:r>
            </w:hyperlink>
          </w:p>
        </w:tc>
        <w:tc>
          <w:tcPr>
            <w:tcW w:w="9200" w:type="dxa"/>
            <w:vAlign w:val="bottom"/>
            <w:gridSpan w:val="7"/>
          </w:tcPr>
          <w:p>
            <w:pPr>
              <w:spacing w:after="0"/>
              <w:rPr>
                <w:sz w:val="17"/>
                <w:szCs w:val="17"/>
                <w:color w:val="auto"/>
              </w:rPr>
            </w:pPr>
          </w:p>
        </w:tc>
        <w:tc>
          <w:tcPr>
            <w:tcW w:w="160" w:type="dxa"/>
            <w:vAlign w:val="bottom"/>
            <w:tcBorders>
              <w:bottom w:val="single" w:sz="8" w:color="0000EE"/>
            </w:tcBorders>
          </w:tcPr>
          <w:p>
            <w:pPr>
              <w:jc w:val="right"/>
              <w:spacing w:after="0"/>
              <w:rPr>
                <w:rFonts w:ascii="Arial" w:cs="Arial" w:eastAsia="Arial" w:hAnsi="Arial"/>
                <w:sz w:val="14"/>
                <w:szCs w:val="14"/>
                <w:color w:val="0000EE"/>
                <w:w w:val="89"/>
              </w:rPr>
            </w:pPr>
            <w:hyperlink w:anchor="page87">
              <w:r>
                <w:rPr>
                  <w:rFonts w:ascii="Arial" w:cs="Arial" w:eastAsia="Arial" w:hAnsi="Arial"/>
                  <w:sz w:val="14"/>
                  <w:szCs w:val="14"/>
                  <w:color w:val="0000EE"/>
                  <w:w w:val="89"/>
                </w:rPr>
                <w:t>87</w:t>
              </w:r>
            </w:hyperlink>
          </w:p>
        </w:tc>
      </w:tr>
    </w:tbl>
    <w:p>
      <w:pPr>
        <w:spacing w:after="0" w:line="200" w:lineRule="exact"/>
        <w:rPr>
          <w:sz w:val="20"/>
          <w:szCs w:val="20"/>
          <w:color w:val="auto"/>
        </w:rPr>
      </w:pPr>
    </w:p>
    <w:p>
      <w:pPr>
        <w:spacing w:after="0" w:line="268"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0900"/>
          </w:cols>
          <w:pgMar w:left="280" w:top="657" w:right="71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006EBF"/>
        </w:rPr>
        <w:t>PART I—FINANCIAL INFORMATION</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1. Financial Statements</w:t>
      </w:r>
    </w:p>
    <w:p>
      <w:pPr>
        <w:spacing w:after="0" w:line="244" w:lineRule="exact"/>
        <w:rPr>
          <w:sz w:val="20"/>
          <w:szCs w:val="20"/>
          <w:color w:val="auto"/>
        </w:rPr>
      </w:pPr>
    </w:p>
    <w:p>
      <w:pPr>
        <w:ind w:right="3820"/>
        <w:spacing w:after="0" w:line="395" w:lineRule="auto"/>
        <w:rPr>
          <w:sz w:val="20"/>
          <w:szCs w:val="20"/>
          <w:color w:val="auto"/>
        </w:rPr>
      </w:pPr>
      <w:r>
        <w:rPr>
          <w:rFonts w:ascii="Arial" w:cs="Arial" w:eastAsia="Arial" w:hAnsi="Arial"/>
          <w:sz w:val="22"/>
          <w:szCs w:val="22"/>
          <w:b w:val="1"/>
          <w:bCs w:val="1"/>
          <w:color w:val="00497F"/>
        </w:rPr>
        <w:t>FORTRESS TRANSPORTATION AND INFRASTRUCTURE INVESTORS LLC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0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70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23"/>
                <w:szCs w:val="23"/>
                <w:color w:val="auto"/>
              </w:rPr>
            </w:pP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217"/>
        </w:trPr>
        <w:tc>
          <w:tcPr>
            <w:tcW w:w="708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 except share and per share data)</w:t>
            </w: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Notes</w:t>
            </w:r>
          </w:p>
        </w:tc>
        <w:tc>
          <w:tcPr>
            <w:tcW w:w="280" w:type="dxa"/>
            <w:vAlign w:val="bottom"/>
          </w:tcPr>
          <w:p>
            <w:pPr>
              <w:spacing w:after="0"/>
              <w:rPr>
                <w:sz w:val="18"/>
                <w:szCs w:val="18"/>
                <w:color w:val="auto"/>
              </w:rPr>
            </w:pPr>
          </w:p>
        </w:tc>
        <w:tc>
          <w:tcPr>
            <w:tcW w:w="1440" w:type="dxa"/>
            <w:vAlign w:val="bottom"/>
          </w:tcPr>
          <w:p>
            <w:pPr>
              <w:jc w:val="center"/>
              <w:ind w:right="20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608"/>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211"/>
        </w:trPr>
        <w:tc>
          <w:tcPr>
            <w:tcW w:w="7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80" w:type="dxa"/>
            <w:vAlign w:val="bottom"/>
          </w:tcPr>
          <w:p>
            <w:pPr>
              <w:ind w:left="500"/>
              <w:spacing w:after="0"/>
              <w:rPr>
                <w:sz w:val="20"/>
                <w:szCs w:val="20"/>
                <w:color w:val="auto"/>
              </w:rPr>
            </w:pPr>
            <w:r>
              <w:rPr>
                <w:rFonts w:ascii="Arial" w:cs="Arial" w:eastAsia="Arial" w:hAnsi="Arial"/>
                <w:sz w:val="14"/>
                <w:szCs w:val="14"/>
                <w:color w:val="auto"/>
              </w:rPr>
              <w:t>Cash and cash equivalents</w:t>
            </w:r>
          </w:p>
        </w:tc>
        <w:tc>
          <w:tcPr>
            <w:tcW w:w="700" w:type="dxa"/>
            <w:vAlign w:val="bottom"/>
          </w:tcPr>
          <w:p>
            <w:pPr>
              <w:jc w:val="center"/>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440" w:type="dxa"/>
            <w:vAlign w:val="bottom"/>
          </w:tcPr>
          <w:p>
            <w:pPr>
              <w:jc w:val="right"/>
              <w:ind w:right="48"/>
              <w:spacing w:after="0"/>
              <w:rPr>
                <w:sz w:val="20"/>
                <w:szCs w:val="20"/>
                <w:color w:val="auto"/>
              </w:rPr>
            </w:pPr>
            <w:r>
              <w:rPr>
                <w:rFonts w:ascii="Arial" w:cs="Arial" w:eastAsia="Arial" w:hAnsi="Arial"/>
                <w:sz w:val="14"/>
                <w:szCs w:val="14"/>
                <w:b w:val="1"/>
                <w:bCs w:val="1"/>
                <w:color w:val="auto"/>
              </w:rPr>
              <w:t>221,222</w:t>
            </w:r>
          </w:p>
        </w:tc>
        <w:tc>
          <w:tcPr>
            <w:tcW w:w="12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68,055</w:t>
            </w: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Restricted cash</w:t>
            </w: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56,032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65,441</w:t>
            </w:r>
          </w:p>
        </w:tc>
        <w:tc>
          <w:tcPr>
            <w:tcW w:w="0" w:type="dxa"/>
            <w:vAlign w:val="bottom"/>
          </w:tcPr>
          <w:p>
            <w:pPr>
              <w:spacing w:after="0"/>
              <w:rPr>
                <w:sz w:val="1"/>
                <w:szCs w:val="1"/>
                <w:color w:val="auto"/>
              </w:rPr>
            </w:pPr>
          </w:p>
        </w:tc>
      </w:tr>
      <w:tr>
        <w:trPr>
          <w:trHeight w:val="215"/>
        </w:trPr>
        <w:tc>
          <w:tcPr>
            <w:tcW w:w="7080" w:type="dxa"/>
            <w:vAlign w:val="bottom"/>
          </w:tcPr>
          <w:p>
            <w:pPr>
              <w:ind w:left="500"/>
              <w:spacing w:after="0"/>
              <w:rPr>
                <w:sz w:val="20"/>
                <w:szCs w:val="20"/>
                <w:color w:val="auto"/>
              </w:rPr>
            </w:pPr>
            <w:r>
              <w:rPr>
                <w:rFonts w:ascii="Arial" w:cs="Arial" w:eastAsia="Arial" w:hAnsi="Arial"/>
                <w:sz w:val="14"/>
                <w:szCs w:val="14"/>
                <w:color w:val="auto"/>
              </w:rPr>
              <w:t>Accounts receivable, net</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ind w:right="48"/>
              <w:spacing w:after="0"/>
              <w:rPr>
                <w:sz w:val="20"/>
                <w:szCs w:val="20"/>
                <w:color w:val="auto"/>
              </w:rPr>
            </w:pPr>
            <w:r>
              <w:rPr>
                <w:rFonts w:ascii="Arial" w:cs="Arial" w:eastAsia="Arial" w:hAnsi="Arial"/>
                <w:sz w:val="14"/>
                <w:szCs w:val="14"/>
                <w:b w:val="1"/>
                <w:bCs w:val="1"/>
                <w:color w:val="auto"/>
              </w:rPr>
              <w:t>22,616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21,358</w:t>
            </w: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Leasing equipment, net</w:t>
            </w: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829,275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765,455</w:t>
            </w:r>
          </w:p>
        </w:tc>
        <w:tc>
          <w:tcPr>
            <w:tcW w:w="0" w:type="dxa"/>
            <w:vAlign w:val="bottom"/>
          </w:tcPr>
          <w:p>
            <w:pPr>
              <w:spacing w:after="0"/>
              <w:rPr>
                <w:sz w:val="1"/>
                <w:szCs w:val="1"/>
                <w:color w:val="auto"/>
              </w:rPr>
            </w:pPr>
          </w:p>
        </w:tc>
      </w:tr>
      <w:tr>
        <w:trPr>
          <w:trHeight w:val="215"/>
        </w:trPr>
        <w:tc>
          <w:tcPr>
            <w:tcW w:w="7080" w:type="dxa"/>
            <w:vAlign w:val="bottom"/>
          </w:tcPr>
          <w:p>
            <w:pPr>
              <w:ind w:left="500"/>
              <w:spacing w:after="0"/>
              <w:rPr>
                <w:sz w:val="20"/>
                <w:szCs w:val="20"/>
                <w:color w:val="auto"/>
              </w:rPr>
            </w:pPr>
            <w:r>
              <w:rPr>
                <w:rFonts w:ascii="Arial" w:cs="Arial" w:eastAsia="Arial" w:hAnsi="Arial"/>
                <w:sz w:val="14"/>
                <w:szCs w:val="14"/>
                <w:color w:val="auto"/>
              </w:rPr>
              <w:t>Finance leases, net</w:t>
            </w:r>
          </w:p>
        </w:tc>
        <w:tc>
          <w:tcPr>
            <w:tcW w:w="700" w:type="dxa"/>
            <w:vAlign w:val="bottom"/>
          </w:tcPr>
          <w:p>
            <w:pPr>
              <w:jc w:val="center"/>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ind w:right="48"/>
              <w:spacing w:after="0"/>
              <w:rPr>
                <w:sz w:val="20"/>
                <w:szCs w:val="20"/>
                <w:color w:val="auto"/>
              </w:rPr>
            </w:pPr>
            <w:r>
              <w:rPr>
                <w:rFonts w:ascii="Arial" w:cs="Arial" w:eastAsia="Arial" w:hAnsi="Arial"/>
                <w:sz w:val="14"/>
                <w:szCs w:val="14"/>
                <w:b w:val="1"/>
                <w:bCs w:val="1"/>
                <w:color w:val="auto"/>
              </w:rPr>
              <w:t>9,607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9,717</w:t>
            </w: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Property, plant, and equipment, net</w:t>
            </w: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363,775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352,181</w:t>
            </w:r>
          </w:p>
        </w:tc>
        <w:tc>
          <w:tcPr>
            <w:tcW w:w="0" w:type="dxa"/>
            <w:vAlign w:val="bottom"/>
          </w:tcPr>
          <w:p>
            <w:pPr>
              <w:spacing w:after="0"/>
              <w:rPr>
                <w:sz w:val="1"/>
                <w:szCs w:val="1"/>
                <w:color w:val="auto"/>
              </w:rPr>
            </w:pPr>
          </w:p>
        </w:tc>
      </w:tr>
      <w:tr>
        <w:trPr>
          <w:trHeight w:val="176"/>
        </w:trPr>
        <w:tc>
          <w:tcPr>
            <w:tcW w:w="7080" w:type="dxa"/>
            <w:vAlign w:val="bottom"/>
          </w:tcPr>
          <w:p>
            <w:pPr>
              <w:ind w:left="500"/>
              <w:spacing w:after="0"/>
              <w:rPr>
                <w:sz w:val="20"/>
                <w:szCs w:val="20"/>
                <w:color w:val="auto"/>
              </w:rPr>
            </w:pPr>
            <w:r>
              <w:rPr>
                <w:rFonts w:ascii="Arial" w:cs="Arial" w:eastAsia="Arial" w:hAnsi="Arial"/>
                <w:sz w:val="14"/>
                <w:szCs w:val="14"/>
                <w:color w:val="auto"/>
              </w:rPr>
              <w:t>Investments (includes $30,821 and $17,630 available-for-sale securities at fair value as of March 31,</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58,181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7080" w:type="dxa"/>
            <w:vAlign w:val="bottom"/>
          </w:tcPr>
          <w:p>
            <w:pPr>
              <w:ind w:left="500"/>
              <w:spacing w:after="0"/>
              <w:rPr>
                <w:sz w:val="20"/>
                <w:szCs w:val="20"/>
                <w:color w:val="auto"/>
              </w:rPr>
            </w:pPr>
            <w:r>
              <w:rPr>
                <w:rFonts w:ascii="Arial" w:cs="Arial" w:eastAsia="Arial" w:hAnsi="Arial"/>
                <w:sz w:val="14"/>
                <w:szCs w:val="14"/>
                <w:color w:val="auto"/>
              </w:rPr>
              <w:t>2017 and December 31, 2016, respectively)</w:t>
            </w:r>
          </w:p>
        </w:tc>
        <w:tc>
          <w:tcPr>
            <w:tcW w:w="700" w:type="dxa"/>
            <w:vAlign w:val="bottom"/>
          </w:tcPr>
          <w:p>
            <w:pPr>
              <w:jc w:val="center"/>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39,978</w:t>
            </w: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Intangible assets, net</w:t>
            </w: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36,638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38,954</w:t>
            </w:r>
          </w:p>
        </w:tc>
        <w:tc>
          <w:tcPr>
            <w:tcW w:w="0" w:type="dxa"/>
            <w:vAlign w:val="bottom"/>
          </w:tcPr>
          <w:p>
            <w:pPr>
              <w:spacing w:after="0"/>
              <w:rPr>
                <w:sz w:val="1"/>
                <w:szCs w:val="1"/>
                <w:color w:val="auto"/>
              </w:rPr>
            </w:pPr>
          </w:p>
        </w:tc>
      </w:tr>
      <w:tr>
        <w:trPr>
          <w:trHeight w:val="215"/>
        </w:trPr>
        <w:tc>
          <w:tcPr>
            <w:tcW w:w="7080" w:type="dxa"/>
            <w:vAlign w:val="bottom"/>
          </w:tcPr>
          <w:p>
            <w:pPr>
              <w:ind w:left="500"/>
              <w:spacing w:after="0"/>
              <w:rPr>
                <w:sz w:val="20"/>
                <w:szCs w:val="20"/>
                <w:color w:val="auto"/>
              </w:rPr>
            </w:pPr>
            <w:r>
              <w:rPr>
                <w:rFonts w:ascii="Arial" w:cs="Arial" w:eastAsia="Arial" w:hAnsi="Arial"/>
                <w:sz w:val="14"/>
                <w:szCs w:val="14"/>
                <w:color w:val="auto"/>
              </w:rPr>
              <w:t>Goodwill</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ind w:right="48"/>
              <w:spacing w:after="0"/>
              <w:rPr>
                <w:sz w:val="20"/>
                <w:szCs w:val="20"/>
                <w:color w:val="auto"/>
              </w:rPr>
            </w:pPr>
            <w:r>
              <w:rPr>
                <w:rFonts w:ascii="Arial" w:cs="Arial" w:eastAsia="Arial" w:hAnsi="Arial"/>
                <w:sz w:val="14"/>
                <w:szCs w:val="14"/>
                <w:b w:val="1"/>
                <w:bCs w:val="1"/>
                <w:color w:val="auto"/>
              </w:rPr>
              <w:t>116,584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116,584</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Other assets</w:t>
            </w: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45,168</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69,589</w:t>
            </w:r>
          </w:p>
        </w:tc>
        <w:tc>
          <w:tcPr>
            <w:tcW w:w="0" w:type="dxa"/>
            <w:vAlign w:val="bottom"/>
          </w:tcPr>
          <w:p>
            <w:pPr>
              <w:spacing w:after="0"/>
              <w:rPr>
                <w:sz w:val="1"/>
                <w:szCs w:val="1"/>
                <w:color w:val="auto"/>
              </w:rPr>
            </w:pPr>
          </w:p>
        </w:tc>
      </w:tr>
      <w:tr>
        <w:trPr>
          <w:trHeight w:val="251"/>
        </w:trPr>
        <w:tc>
          <w:tcPr>
            <w:tcW w:w="70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assets</w:t>
            </w:r>
          </w:p>
        </w:tc>
        <w:tc>
          <w:tcPr>
            <w:tcW w:w="7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1,759,098</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1,547,312</w:t>
            </w:r>
          </w:p>
        </w:tc>
        <w:tc>
          <w:tcPr>
            <w:tcW w:w="0" w:type="dxa"/>
            <w:vAlign w:val="bottom"/>
          </w:tcPr>
          <w:p>
            <w:pPr>
              <w:spacing w:after="0"/>
              <w:rPr>
                <w:sz w:val="1"/>
                <w:szCs w:val="1"/>
                <w:color w:val="auto"/>
              </w:rPr>
            </w:pPr>
          </w:p>
        </w:tc>
      </w:tr>
      <w:tr>
        <w:trPr>
          <w:trHeight w:val="197"/>
        </w:trPr>
        <w:tc>
          <w:tcPr>
            <w:tcW w:w="70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Liabilities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Accounts payable and accrued liabilities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33,362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38,239</w:t>
            </w:r>
          </w:p>
        </w:tc>
        <w:tc>
          <w:tcPr>
            <w:tcW w:w="0" w:type="dxa"/>
            <w:vAlign w:val="bottom"/>
          </w:tcPr>
          <w:p>
            <w:pPr>
              <w:spacing w:after="0"/>
              <w:rPr>
                <w:sz w:val="1"/>
                <w:szCs w:val="1"/>
                <w:color w:val="auto"/>
              </w:rPr>
            </w:pPr>
          </w:p>
        </w:tc>
      </w:tr>
      <w:tr>
        <w:trPr>
          <w:trHeight w:val="215"/>
        </w:trPr>
        <w:tc>
          <w:tcPr>
            <w:tcW w:w="7080" w:type="dxa"/>
            <w:vAlign w:val="bottom"/>
          </w:tcPr>
          <w:p>
            <w:pPr>
              <w:ind w:left="500"/>
              <w:spacing w:after="0"/>
              <w:rPr>
                <w:sz w:val="20"/>
                <w:szCs w:val="20"/>
                <w:color w:val="auto"/>
              </w:rPr>
            </w:pPr>
            <w:r>
              <w:rPr>
                <w:rFonts w:ascii="Arial" w:cs="Arial" w:eastAsia="Arial" w:hAnsi="Arial"/>
                <w:sz w:val="14"/>
                <w:szCs w:val="14"/>
                <w:color w:val="auto"/>
              </w:rPr>
              <w:t>Debt, net</w:t>
            </w:r>
          </w:p>
        </w:tc>
        <w:tc>
          <w:tcPr>
            <w:tcW w:w="700" w:type="dxa"/>
            <w:vAlign w:val="bottom"/>
          </w:tcPr>
          <w:p>
            <w:pPr>
              <w:jc w:val="center"/>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ind w:right="48"/>
              <w:spacing w:after="0"/>
              <w:rPr>
                <w:sz w:val="20"/>
                <w:szCs w:val="20"/>
                <w:color w:val="auto"/>
              </w:rPr>
            </w:pPr>
            <w:r>
              <w:rPr>
                <w:rFonts w:ascii="Arial" w:cs="Arial" w:eastAsia="Arial" w:hAnsi="Arial"/>
                <w:sz w:val="14"/>
                <w:szCs w:val="14"/>
                <w:b w:val="1"/>
                <w:bCs w:val="1"/>
                <w:color w:val="auto"/>
              </w:rPr>
              <w:t>495,482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259,512</w:t>
            </w:r>
          </w:p>
        </w:tc>
        <w:tc>
          <w:tcPr>
            <w:tcW w:w="0" w:type="dxa"/>
            <w:vAlign w:val="bottom"/>
          </w:tcPr>
          <w:p>
            <w:pPr>
              <w:spacing w:after="0"/>
              <w:rPr>
                <w:sz w:val="1"/>
                <w:szCs w:val="1"/>
                <w:color w:val="auto"/>
              </w:rPr>
            </w:pPr>
          </w:p>
        </w:tc>
      </w:tr>
      <w:tr>
        <w:trPr>
          <w:trHeight w:val="271"/>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Maintenance deposits</w:t>
            </w: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52,216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45,394</w:t>
            </w:r>
          </w:p>
        </w:tc>
        <w:tc>
          <w:tcPr>
            <w:tcW w:w="0" w:type="dxa"/>
            <w:vAlign w:val="bottom"/>
          </w:tcPr>
          <w:p>
            <w:pPr>
              <w:spacing w:after="0"/>
              <w:rPr>
                <w:sz w:val="1"/>
                <w:szCs w:val="1"/>
                <w:color w:val="auto"/>
              </w:rPr>
            </w:pPr>
          </w:p>
        </w:tc>
      </w:tr>
      <w:tr>
        <w:trPr>
          <w:trHeight w:val="269"/>
        </w:trPr>
        <w:tc>
          <w:tcPr>
            <w:tcW w:w="7080" w:type="dxa"/>
            <w:vAlign w:val="bottom"/>
          </w:tcPr>
          <w:p>
            <w:pPr>
              <w:ind w:left="500"/>
              <w:spacing w:after="0"/>
              <w:rPr>
                <w:sz w:val="20"/>
                <w:szCs w:val="20"/>
                <w:color w:val="auto"/>
              </w:rPr>
            </w:pPr>
            <w:r>
              <w:rPr>
                <w:rFonts w:ascii="Arial" w:cs="Arial" w:eastAsia="Arial" w:hAnsi="Arial"/>
                <w:sz w:val="14"/>
                <w:szCs w:val="14"/>
                <w:color w:val="auto"/>
              </w:rPr>
              <w:t>Security deposits</w:t>
            </w: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40" w:type="dxa"/>
            <w:vAlign w:val="bottom"/>
          </w:tcPr>
          <w:p>
            <w:pPr>
              <w:jc w:val="right"/>
              <w:ind w:right="48"/>
              <w:spacing w:after="0"/>
              <w:rPr>
                <w:sz w:val="20"/>
                <w:szCs w:val="20"/>
                <w:color w:val="auto"/>
              </w:rPr>
            </w:pPr>
            <w:r>
              <w:rPr>
                <w:rFonts w:ascii="Arial" w:cs="Arial" w:eastAsia="Arial" w:hAnsi="Arial"/>
                <w:sz w:val="14"/>
                <w:szCs w:val="14"/>
                <w:b w:val="1"/>
                <w:bCs w:val="1"/>
                <w:color w:val="auto"/>
              </w:rPr>
              <w:t>21,636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19,947</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Other liabilities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19,841</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18,540</w:t>
            </w:r>
          </w:p>
        </w:tc>
        <w:tc>
          <w:tcPr>
            <w:tcW w:w="0" w:type="dxa"/>
            <w:vAlign w:val="bottom"/>
          </w:tcPr>
          <w:p>
            <w:pPr>
              <w:spacing w:after="0"/>
              <w:rPr>
                <w:sz w:val="1"/>
                <w:szCs w:val="1"/>
                <w:color w:val="auto"/>
              </w:rPr>
            </w:pPr>
          </w:p>
        </w:tc>
      </w:tr>
      <w:tr>
        <w:trPr>
          <w:trHeight w:val="210"/>
        </w:trPr>
        <w:tc>
          <w:tcPr>
            <w:tcW w:w="70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liabilities</w:t>
            </w:r>
          </w:p>
        </w:tc>
        <w:tc>
          <w:tcPr>
            <w:tcW w:w="7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622,537</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381,632</w:t>
            </w:r>
          </w:p>
        </w:tc>
        <w:tc>
          <w:tcPr>
            <w:tcW w:w="0" w:type="dxa"/>
            <w:vAlign w:val="bottom"/>
          </w:tcPr>
          <w:p>
            <w:pPr>
              <w:spacing w:after="0"/>
              <w:rPr>
                <w:sz w:val="1"/>
                <w:szCs w:val="1"/>
                <w:color w:val="auto"/>
              </w:rPr>
            </w:pPr>
          </w:p>
        </w:tc>
      </w:tr>
      <w:tr>
        <w:trPr>
          <w:trHeight w:val="211"/>
        </w:trPr>
        <w:tc>
          <w:tcPr>
            <w:tcW w:w="70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80" w:type="dxa"/>
            <w:vAlign w:val="bottom"/>
          </w:tcPr>
          <w:p>
            <w:pPr>
              <w:ind w:left="500"/>
              <w:spacing w:after="0"/>
              <w:rPr>
                <w:sz w:val="20"/>
                <w:szCs w:val="20"/>
                <w:color w:val="auto"/>
              </w:rPr>
            </w:pPr>
            <w:r>
              <w:rPr>
                <w:rFonts w:ascii="Arial" w:cs="Arial" w:eastAsia="Arial" w:hAnsi="Arial"/>
                <w:sz w:val="14"/>
                <w:szCs w:val="14"/>
                <w:color w:val="auto"/>
              </w:rPr>
              <w:t>Commitments and contingencies</w:t>
            </w:r>
          </w:p>
        </w:tc>
        <w:tc>
          <w:tcPr>
            <w:tcW w:w="700" w:type="dxa"/>
            <w:vAlign w:val="bottom"/>
          </w:tcPr>
          <w:p>
            <w:pPr>
              <w:jc w:val="center"/>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0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Equity</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Common shares ($0.01 par value per share; 2,000,000,000 shares authorized; 75,762,674 and</w:t>
            </w: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75,750,943 shares issued and outstanding as of March 31, 2017 and December 31, 2016,</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758</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respectively)</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758</w:t>
            </w:r>
          </w:p>
        </w:tc>
        <w:tc>
          <w:tcPr>
            <w:tcW w:w="0" w:type="dxa"/>
            <w:vAlign w:val="bottom"/>
          </w:tcPr>
          <w:p>
            <w:pPr>
              <w:spacing w:after="0"/>
              <w:rPr>
                <w:sz w:val="1"/>
                <w:szCs w:val="1"/>
                <w:color w:val="auto"/>
              </w:rPr>
            </w:pPr>
          </w:p>
        </w:tc>
      </w:tr>
      <w:tr>
        <w:trPr>
          <w:trHeight w:val="215"/>
        </w:trPr>
        <w:tc>
          <w:tcPr>
            <w:tcW w:w="7080" w:type="dxa"/>
            <w:vAlign w:val="bottom"/>
          </w:tcPr>
          <w:p>
            <w:pPr>
              <w:ind w:left="500"/>
              <w:spacing w:after="0"/>
              <w:rPr>
                <w:sz w:val="20"/>
                <w:szCs w:val="20"/>
                <w:color w:val="auto"/>
              </w:rPr>
            </w:pPr>
            <w:r>
              <w:rPr>
                <w:rFonts w:ascii="Arial" w:cs="Arial" w:eastAsia="Arial" w:hAnsi="Arial"/>
                <w:sz w:val="14"/>
                <w:szCs w:val="14"/>
                <w:color w:val="auto"/>
              </w:rPr>
              <w:t>Additional paid in capital</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ind w:right="48"/>
              <w:spacing w:after="0"/>
              <w:rPr>
                <w:sz w:val="20"/>
                <w:szCs w:val="20"/>
                <w:color w:val="auto"/>
              </w:rPr>
            </w:pPr>
            <w:r>
              <w:rPr>
                <w:rFonts w:ascii="Arial" w:cs="Arial" w:eastAsia="Arial" w:hAnsi="Arial"/>
                <w:sz w:val="14"/>
                <w:szCs w:val="14"/>
                <w:b w:val="1"/>
                <w:bCs w:val="1"/>
                <w:color w:val="auto"/>
              </w:rPr>
              <w:t>1,059,904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1,084,757</w:t>
            </w:r>
          </w:p>
        </w:tc>
        <w:tc>
          <w:tcPr>
            <w:tcW w:w="0" w:type="dxa"/>
            <w:vAlign w:val="bottom"/>
          </w:tcPr>
          <w:p>
            <w:pPr>
              <w:spacing w:after="0"/>
              <w:rPr>
                <w:sz w:val="1"/>
                <w:szCs w:val="1"/>
                <w:color w:val="auto"/>
              </w:rPr>
            </w:pPr>
          </w:p>
        </w:tc>
      </w:tr>
      <w:tr>
        <w:trPr>
          <w:trHeight w:val="271"/>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Accumulated deficit</w:t>
            </w: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(43,247)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(38,833)</w:t>
            </w:r>
          </w:p>
        </w:tc>
        <w:tc>
          <w:tcPr>
            <w:tcW w:w="0" w:type="dxa"/>
            <w:vAlign w:val="bottom"/>
          </w:tcPr>
          <w:p>
            <w:pPr>
              <w:spacing w:after="0"/>
              <w:rPr>
                <w:sz w:val="1"/>
                <w:szCs w:val="1"/>
                <w:color w:val="auto"/>
              </w:rPr>
            </w:pPr>
          </w:p>
        </w:tc>
      </w:tr>
      <w:tr>
        <w:trPr>
          <w:trHeight w:val="215"/>
        </w:trPr>
        <w:tc>
          <w:tcPr>
            <w:tcW w:w="70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Accumulated other comprehensive income</w:t>
            </w:r>
          </w:p>
        </w:tc>
        <w:tc>
          <w:tcPr>
            <w:tcW w:w="7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11,989</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7,130</w:t>
            </w:r>
          </w:p>
        </w:tc>
        <w:tc>
          <w:tcPr>
            <w:tcW w:w="0" w:type="dxa"/>
            <w:vAlign w:val="bottom"/>
          </w:tcPr>
          <w:p>
            <w:pPr>
              <w:spacing w:after="0"/>
              <w:rPr>
                <w:sz w:val="1"/>
                <w:szCs w:val="1"/>
                <w:color w:val="auto"/>
              </w:rPr>
            </w:pPr>
          </w:p>
        </w:tc>
      </w:tr>
      <w:tr>
        <w:trPr>
          <w:trHeight w:val="211"/>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Shareholders' equity</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1,029,404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1,053,812</w:t>
            </w:r>
          </w:p>
        </w:tc>
        <w:tc>
          <w:tcPr>
            <w:tcW w:w="0" w:type="dxa"/>
            <w:vAlign w:val="bottom"/>
          </w:tcPr>
          <w:p>
            <w:pPr>
              <w:spacing w:after="0"/>
              <w:rPr>
                <w:sz w:val="1"/>
                <w:szCs w:val="1"/>
                <w:color w:val="auto"/>
              </w:rPr>
            </w:pPr>
          </w:p>
        </w:tc>
      </w:tr>
      <w:tr>
        <w:trPr>
          <w:trHeight w:val="215"/>
        </w:trPr>
        <w:tc>
          <w:tcPr>
            <w:tcW w:w="70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Non-controlling interest in equity of consolidated subsidiaries</w:t>
            </w:r>
          </w:p>
        </w:tc>
        <w:tc>
          <w:tcPr>
            <w:tcW w:w="7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107,157</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111,868</w:t>
            </w:r>
          </w:p>
        </w:tc>
        <w:tc>
          <w:tcPr>
            <w:tcW w:w="0" w:type="dxa"/>
            <w:vAlign w:val="bottom"/>
          </w:tcPr>
          <w:p>
            <w:pPr>
              <w:spacing w:after="0"/>
              <w:rPr>
                <w:sz w:val="1"/>
                <w:szCs w:val="1"/>
                <w:color w:val="auto"/>
              </w:rPr>
            </w:pPr>
          </w:p>
        </w:tc>
      </w:tr>
      <w:tr>
        <w:trPr>
          <w:trHeight w:val="210"/>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equity</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1,136,561</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1,165,680</w:t>
            </w:r>
          </w:p>
        </w:tc>
        <w:tc>
          <w:tcPr>
            <w:tcW w:w="0" w:type="dxa"/>
            <w:vAlign w:val="bottom"/>
          </w:tcPr>
          <w:p>
            <w:pPr>
              <w:spacing w:after="0"/>
              <w:rPr>
                <w:sz w:val="1"/>
                <w:szCs w:val="1"/>
                <w:color w:val="auto"/>
              </w:rPr>
            </w:pPr>
          </w:p>
        </w:tc>
      </w:tr>
      <w:tr>
        <w:trPr>
          <w:trHeight w:val="211"/>
        </w:trPr>
        <w:tc>
          <w:tcPr>
            <w:tcW w:w="7080" w:type="dxa"/>
            <w:vAlign w:val="bottom"/>
          </w:tcPr>
          <w:p>
            <w:pPr>
              <w:ind w:left="500"/>
              <w:spacing w:after="0"/>
              <w:rPr>
                <w:sz w:val="20"/>
                <w:szCs w:val="20"/>
                <w:color w:val="auto"/>
              </w:rPr>
            </w:pPr>
            <w:r>
              <w:rPr>
                <w:rFonts w:ascii="Arial" w:cs="Arial" w:eastAsia="Arial" w:hAnsi="Arial"/>
                <w:sz w:val="14"/>
                <w:szCs w:val="14"/>
                <w:color w:val="auto"/>
              </w:rPr>
              <w:t>Total liabilities and equity</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1,759,098</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1,547,312</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790" w:right="239" w:bottom="1440" w:gutter="0" w:footer="0" w:header="0"/>
        </w:sectPr>
      </w:pPr>
    </w:p>
    <w:bookmarkStart w:id="5" w:name="page6"/>
    <w:bookmarkEnd w:id="5"/>
    <w:p>
      <w:pPr>
        <w:ind w:right="3820"/>
        <w:spacing w:after="0" w:line="395" w:lineRule="auto"/>
        <w:rPr>
          <w:sz w:val="20"/>
          <w:szCs w:val="20"/>
          <w:color w:val="auto"/>
        </w:rPr>
      </w:pPr>
      <w:r>
        <w:rPr>
          <w:rFonts w:ascii="Arial" w:cs="Arial" w:eastAsia="Arial" w:hAnsi="Arial"/>
          <w:sz w:val="22"/>
          <w:szCs w:val="22"/>
          <w:b w:val="1"/>
          <w:bCs w:val="1"/>
          <w:color w:val="00497F"/>
        </w:rPr>
        <w:t xml:space="preserve">FORTRESS TRANSPORTATION AND INFRASTRUCTURE INVESTORS LLC CONSOLIDATED STATEMENTS OF OPERATIONS </w:t>
      </w:r>
      <w:r>
        <w:rPr>
          <w:rFonts w:ascii="Arial" w:cs="Arial" w:eastAsia="Arial" w:hAnsi="Arial"/>
          <w:sz w:val="22"/>
          <w:szCs w:val="22"/>
          <w:b w:val="1"/>
          <w:bCs w:val="1"/>
          <w:i w:val="1"/>
          <w:iCs w:val="1"/>
          <w:color w:val="00497F"/>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4"/>
          </w:tcPr>
          <w:p>
            <w:pPr>
              <w:jc w:val="right"/>
              <w:ind w:right="608"/>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 except share and per share data)</w:t>
            </w: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Notes</w:t>
            </w:r>
          </w:p>
        </w:tc>
        <w:tc>
          <w:tcPr>
            <w:tcW w:w="400" w:type="dxa"/>
            <w:vAlign w:val="bottom"/>
          </w:tcPr>
          <w:p>
            <w:pPr>
              <w:spacing w:after="0"/>
              <w:rPr>
                <w:sz w:val="22"/>
                <w:szCs w:val="22"/>
                <w:color w:val="auto"/>
              </w:rPr>
            </w:pPr>
          </w:p>
        </w:tc>
        <w:tc>
          <w:tcPr>
            <w:tcW w:w="1320" w:type="dxa"/>
            <w:vAlign w:val="bottom"/>
          </w:tcPr>
          <w:p>
            <w:pPr>
              <w:jc w:val="right"/>
              <w:ind w:right="62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608"/>
              <w:spacing w:after="0"/>
              <w:rPr>
                <w:sz w:val="20"/>
                <w:szCs w:val="20"/>
                <w:color w:val="auto"/>
              </w:rPr>
            </w:pPr>
            <w:r>
              <w:rPr>
                <w:rFonts w:ascii="Arial" w:cs="Arial" w:eastAsia="Arial" w:hAnsi="Arial"/>
                <w:sz w:val="14"/>
                <w:szCs w:val="14"/>
                <w:color w:val="auto"/>
              </w:rPr>
              <w:t>2016</w:t>
            </w:r>
          </w:p>
        </w:tc>
      </w:tr>
      <w:tr>
        <w:trPr>
          <w:trHeight w:val="211"/>
        </w:trPr>
        <w:tc>
          <w:tcPr>
            <w:tcW w:w="7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15"/>
        </w:trPr>
        <w:tc>
          <w:tcPr>
            <w:tcW w:w="7080" w:type="dxa"/>
            <w:vAlign w:val="bottom"/>
          </w:tcPr>
          <w:p>
            <w:pPr>
              <w:ind w:left="500"/>
              <w:spacing w:after="0"/>
              <w:rPr>
                <w:sz w:val="20"/>
                <w:szCs w:val="20"/>
                <w:color w:val="auto"/>
              </w:rPr>
            </w:pPr>
            <w:r>
              <w:rPr>
                <w:rFonts w:ascii="Arial" w:cs="Arial" w:eastAsia="Arial" w:hAnsi="Arial"/>
                <w:sz w:val="14"/>
                <w:szCs w:val="14"/>
                <w:color w:val="auto"/>
              </w:rPr>
              <w:t>Equipment leasing revenues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31,388</w:t>
            </w:r>
          </w:p>
        </w:tc>
        <w:tc>
          <w:tcPr>
            <w:tcW w:w="120" w:type="dxa"/>
            <w:vAlign w:val="bottom"/>
          </w:tcPr>
          <w:p>
            <w:pPr>
              <w:spacing w:after="0"/>
              <w:rPr>
                <w:sz w:val="18"/>
                <w:szCs w:val="18"/>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19,575</w:t>
            </w:r>
          </w:p>
        </w:tc>
      </w:tr>
      <w:tr>
        <w:trPr>
          <w:trHeight w:val="216"/>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Infrastructure revenues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13,285</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11,878</w:t>
            </w:r>
          </w:p>
        </w:tc>
      </w:tr>
      <w:tr>
        <w:trPr>
          <w:trHeight w:val="210"/>
        </w:trPr>
        <w:tc>
          <w:tcPr>
            <w:tcW w:w="70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revenues</w:t>
            </w:r>
          </w:p>
        </w:tc>
        <w:tc>
          <w:tcPr>
            <w:tcW w:w="7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44,673</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31,453</w:t>
            </w:r>
          </w:p>
        </w:tc>
      </w:tr>
      <w:tr>
        <w:trPr>
          <w:trHeight w:val="211"/>
        </w:trPr>
        <w:tc>
          <w:tcPr>
            <w:tcW w:w="70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5"/>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Expenses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7"/>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Operating expenses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21,013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14,358</w:t>
            </w:r>
          </w:p>
        </w:tc>
      </w:tr>
      <w:tr>
        <w:trPr>
          <w:trHeight w:val="215"/>
        </w:trPr>
        <w:tc>
          <w:tcPr>
            <w:tcW w:w="7080" w:type="dxa"/>
            <w:vAlign w:val="bottom"/>
          </w:tcPr>
          <w:p>
            <w:pPr>
              <w:ind w:left="500"/>
              <w:spacing w:after="0"/>
              <w:rPr>
                <w:sz w:val="20"/>
                <w:szCs w:val="20"/>
                <w:color w:val="auto"/>
              </w:rPr>
            </w:pPr>
            <w:r>
              <w:rPr>
                <w:rFonts w:ascii="Arial" w:cs="Arial" w:eastAsia="Arial" w:hAnsi="Arial"/>
                <w:sz w:val="14"/>
                <w:szCs w:val="14"/>
                <w:color w:val="auto"/>
              </w:rPr>
              <w:t>General and administrative</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3,835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2,588</w:t>
            </w:r>
          </w:p>
        </w:tc>
      </w:tr>
      <w:tr>
        <w:trPr>
          <w:trHeight w:val="217"/>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Acquisition and transaction expenses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1,452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1,059</w:t>
            </w:r>
          </w:p>
        </w:tc>
      </w:tr>
      <w:tr>
        <w:trPr>
          <w:trHeight w:val="215"/>
        </w:trPr>
        <w:tc>
          <w:tcPr>
            <w:tcW w:w="7080" w:type="dxa"/>
            <w:vAlign w:val="bottom"/>
          </w:tcPr>
          <w:p>
            <w:pPr>
              <w:ind w:left="500"/>
              <w:spacing w:after="0"/>
              <w:rPr>
                <w:sz w:val="20"/>
                <w:szCs w:val="20"/>
                <w:color w:val="auto"/>
              </w:rPr>
            </w:pPr>
            <w:r>
              <w:rPr>
                <w:rFonts w:ascii="Arial" w:cs="Arial" w:eastAsia="Arial" w:hAnsi="Arial"/>
                <w:sz w:val="14"/>
                <w:szCs w:val="14"/>
                <w:color w:val="auto"/>
              </w:rPr>
              <w:t>Management fees and incentive allocation to affiliate</w:t>
            </w:r>
          </w:p>
        </w:tc>
        <w:tc>
          <w:tcPr>
            <w:tcW w:w="700" w:type="dxa"/>
            <w:vAlign w:val="bottom"/>
          </w:tcPr>
          <w:p>
            <w:pPr>
              <w:jc w:val="center"/>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3,893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4,348</w:t>
            </w:r>
          </w:p>
        </w:tc>
      </w:tr>
      <w:tr>
        <w:trPr>
          <w:trHeight w:val="217"/>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Depreciation and amortization</w:t>
            </w: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3, 5, 7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17,377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13,217</w:t>
            </w:r>
          </w:p>
        </w:tc>
      </w:tr>
      <w:tr>
        <w:trPr>
          <w:trHeight w:val="215"/>
        </w:trPr>
        <w:tc>
          <w:tcPr>
            <w:tcW w:w="70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Interest expense</w:t>
            </w:r>
          </w:p>
        </w:tc>
        <w:tc>
          <w:tcPr>
            <w:tcW w:w="7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4,694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5,303</w:t>
            </w:r>
          </w:p>
        </w:tc>
      </w:tr>
      <w:tr>
        <w:trPr>
          <w:trHeight w:val="210"/>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expenses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52,264</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40,873</w:t>
            </w:r>
          </w:p>
        </w:tc>
      </w:tr>
      <w:tr>
        <w:trPr>
          <w:trHeight w:val="211"/>
        </w:trPr>
        <w:tc>
          <w:tcPr>
            <w:tcW w:w="7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(expense) income</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5"/>
        </w:trPr>
        <w:tc>
          <w:tcPr>
            <w:tcW w:w="7080" w:type="dxa"/>
            <w:vAlign w:val="bottom"/>
          </w:tcPr>
          <w:p>
            <w:pPr>
              <w:ind w:left="500"/>
              <w:spacing w:after="0"/>
              <w:rPr>
                <w:sz w:val="20"/>
                <w:szCs w:val="20"/>
                <w:color w:val="auto"/>
              </w:rPr>
            </w:pPr>
            <w:r>
              <w:rPr>
                <w:rFonts w:ascii="Arial" w:cs="Arial" w:eastAsia="Arial" w:hAnsi="Arial"/>
                <w:sz w:val="14"/>
                <w:szCs w:val="14"/>
                <w:color w:val="auto"/>
              </w:rPr>
              <w:t>Equity in (losses) earnings of unconsolidated entities</w:t>
            </w:r>
          </w:p>
        </w:tc>
        <w:tc>
          <w:tcPr>
            <w:tcW w:w="700" w:type="dxa"/>
            <w:vAlign w:val="bottom"/>
          </w:tcPr>
          <w:p>
            <w:pPr>
              <w:jc w:val="center"/>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(1,266)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85</w:t>
            </w:r>
          </w:p>
        </w:tc>
      </w:tr>
      <w:tr>
        <w:trPr>
          <w:trHeight w:val="217"/>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Gain on sale of equipment and finance leases, net</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1,722</w:t>
            </w:r>
          </w:p>
        </w:tc>
      </w:tr>
      <w:tr>
        <w:trPr>
          <w:trHeight w:val="215"/>
        </w:trPr>
        <w:tc>
          <w:tcPr>
            <w:tcW w:w="7080" w:type="dxa"/>
            <w:vAlign w:val="bottom"/>
          </w:tcPr>
          <w:p>
            <w:pPr>
              <w:ind w:left="500"/>
              <w:spacing w:after="0"/>
              <w:rPr>
                <w:sz w:val="20"/>
                <w:szCs w:val="20"/>
                <w:color w:val="auto"/>
              </w:rPr>
            </w:pPr>
            <w:r>
              <w:rPr>
                <w:rFonts w:ascii="Arial" w:cs="Arial" w:eastAsia="Arial" w:hAnsi="Arial"/>
                <w:sz w:val="14"/>
                <w:szCs w:val="14"/>
                <w:color w:val="auto"/>
              </w:rPr>
              <w:t>Loss on extinguishment of debt</w:t>
            </w:r>
          </w:p>
        </w:tc>
        <w:tc>
          <w:tcPr>
            <w:tcW w:w="700" w:type="dxa"/>
            <w:vAlign w:val="bottom"/>
          </w:tcPr>
          <w:p>
            <w:pPr>
              <w:jc w:val="center"/>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(2,456)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(1,579)</w:t>
            </w:r>
          </w:p>
        </w:tc>
      </w:tr>
      <w:tr>
        <w:trPr>
          <w:trHeight w:val="217"/>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Interest income</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283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r>
      <w:tr>
        <w:trPr>
          <w:trHeight w:val="215"/>
        </w:trPr>
        <w:tc>
          <w:tcPr>
            <w:tcW w:w="70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Other income</w:t>
            </w:r>
          </w:p>
        </w:tc>
        <w:tc>
          <w:tcPr>
            <w:tcW w:w="7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w:t>
            </w:r>
          </w:p>
        </w:tc>
      </w:tr>
      <w:tr>
        <w:trPr>
          <w:trHeight w:val="210"/>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other (expense) income</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(1,409)</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277</w:t>
            </w:r>
          </w:p>
        </w:tc>
      </w:tr>
      <w:tr>
        <w:trPr>
          <w:trHeight w:val="211"/>
        </w:trPr>
        <w:tc>
          <w:tcPr>
            <w:tcW w:w="7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7080" w:type="dxa"/>
            <w:vAlign w:val="bottom"/>
            <w:shd w:val="clear" w:color="auto" w:fill="CCEEFF"/>
          </w:tcPr>
          <w:p>
            <w:pPr>
              <w:ind w:left="540"/>
              <w:spacing w:after="0"/>
              <w:rPr>
                <w:sz w:val="20"/>
                <w:szCs w:val="20"/>
                <w:color w:val="auto"/>
              </w:rPr>
            </w:pPr>
            <w:r>
              <w:rPr>
                <w:rFonts w:ascii="Arial" w:cs="Arial" w:eastAsia="Arial" w:hAnsi="Arial"/>
                <w:sz w:val="14"/>
                <w:szCs w:val="14"/>
                <w:b w:val="1"/>
                <w:bCs w:val="1"/>
                <w:color w:val="auto"/>
              </w:rPr>
              <w:t>Loss before income taxes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(9,000)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(9,143)</w:t>
            </w:r>
          </w:p>
        </w:tc>
      </w:tr>
      <w:tr>
        <w:trPr>
          <w:trHeight w:val="215"/>
        </w:trPr>
        <w:tc>
          <w:tcPr>
            <w:tcW w:w="70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Provision for (benefit from) income taxes</w:t>
            </w:r>
          </w:p>
        </w:tc>
        <w:tc>
          <w:tcPr>
            <w:tcW w:w="7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212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w:t>
            </w:r>
          </w:p>
        </w:tc>
      </w:tr>
      <w:tr>
        <w:trPr>
          <w:trHeight w:val="210"/>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b w:val="1"/>
                <w:bCs w:val="1"/>
                <w:color w:val="auto"/>
              </w:rPr>
              <w:t>Net loss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(9,212)</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(9,077)</w:t>
            </w:r>
          </w:p>
        </w:tc>
      </w:tr>
      <w:tr>
        <w:trPr>
          <w:trHeight w:val="210"/>
        </w:trPr>
        <w:tc>
          <w:tcPr>
            <w:tcW w:w="708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Less: Net loss attributable to non-controlling interests in consolidated subsidiaries</w:t>
            </w:r>
          </w:p>
        </w:tc>
        <w:tc>
          <w:tcPr>
            <w:tcW w:w="7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(4,798)</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(3,295)</w:t>
            </w:r>
          </w:p>
        </w:tc>
      </w:tr>
      <w:tr>
        <w:trPr>
          <w:trHeight w:val="211"/>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7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(4,414)</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(5,782)</w:t>
            </w:r>
          </w:p>
        </w:tc>
      </w:tr>
      <w:tr>
        <w:trPr>
          <w:trHeight w:val="20"/>
        </w:trPr>
        <w:tc>
          <w:tcPr>
            <w:tcW w:w="7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97"/>
        </w:trPr>
        <w:tc>
          <w:tcPr>
            <w:tcW w:w="70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Basic and Diluted Loss per Share</w:t>
            </w: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(0.06)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(0.08)</w:t>
            </w:r>
          </w:p>
        </w:tc>
      </w:tr>
      <w:tr>
        <w:trPr>
          <w:trHeight w:val="269"/>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Weighted Average Shares Outstanding:</w:t>
            </w: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17"/>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Basic</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75,762,283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75,727,369</w:t>
            </w:r>
          </w:p>
        </w:tc>
      </w:tr>
      <w:tr>
        <w:trPr>
          <w:trHeight w:val="268"/>
        </w:trPr>
        <w:tc>
          <w:tcPr>
            <w:tcW w:w="7080" w:type="dxa"/>
            <w:vAlign w:val="bottom"/>
          </w:tcPr>
          <w:p>
            <w:pPr>
              <w:ind w:left="500"/>
              <w:spacing w:after="0"/>
              <w:rPr>
                <w:sz w:val="20"/>
                <w:szCs w:val="20"/>
                <w:color w:val="auto"/>
              </w:rPr>
            </w:pPr>
            <w:r>
              <w:rPr>
                <w:rFonts w:ascii="Arial" w:cs="Arial" w:eastAsia="Arial" w:hAnsi="Arial"/>
                <w:sz w:val="14"/>
                <w:szCs w:val="14"/>
                <w:color w:val="auto"/>
              </w:rPr>
              <w:t>Diluted</w:t>
            </w: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75,762,283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75,727,369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576" w:right="239" w:bottom="1440" w:gutter="0" w:footer="0" w:header="0"/>
        </w:sectPr>
      </w:pPr>
    </w:p>
    <w:bookmarkStart w:id="6" w:name="page7"/>
    <w:bookmarkEnd w:id="6"/>
    <w:p>
      <w:pPr>
        <w:ind w:right="2940"/>
        <w:spacing w:after="0" w:line="426" w:lineRule="auto"/>
        <w:rPr>
          <w:sz w:val="20"/>
          <w:szCs w:val="20"/>
          <w:color w:val="auto"/>
        </w:rPr>
      </w:pPr>
      <w:r>
        <w:rPr>
          <w:rFonts w:ascii="Arial" w:cs="Arial" w:eastAsia="Arial" w:hAnsi="Arial"/>
          <w:sz w:val="21"/>
          <w:szCs w:val="21"/>
          <w:b w:val="1"/>
          <w:bCs w:val="1"/>
          <w:color w:val="00497F"/>
        </w:rPr>
        <w:t xml:space="preserve">FORTRESS TRANSPORTATION AND INFRASTRUCTURE INVESTORS LLC CONSOLIDATED STATEMENTS OF COMPREHENSIVE (LOSS) INCOME </w:t>
      </w:r>
      <w:r>
        <w:rPr>
          <w:rFonts w:ascii="Arial" w:cs="Arial" w:eastAsia="Arial" w:hAnsi="Arial"/>
          <w:sz w:val="21"/>
          <w:szCs w:val="21"/>
          <w:b w:val="1"/>
          <w:bCs w:val="1"/>
          <w:i w:val="1"/>
          <w:iCs w:val="1"/>
          <w:color w:val="00497F"/>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4"/>
          </w:tcPr>
          <w:p>
            <w:pPr>
              <w:jc w:val="right"/>
              <w:ind w:right="608"/>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2016</w:t>
            </w:r>
          </w:p>
        </w:tc>
      </w:tr>
      <w:tr>
        <w:trPr>
          <w:trHeight w:val="251"/>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(9,212)</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(9,077)</w:t>
            </w:r>
          </w:p>
        </w:tc>
      </w:tr>
      <w:tr>
        <w:trPr>
          <w:trHeight w:val="266"/>
        </w:trPr>
        <w:tc>
          <w:tcPr>
            <w:tcW w:w="7900" w:type="dxa"/>
            <w:vAlign w:val="bottom"/>
          </w:tcPr>
          <w:p>
            <w:pPr>
              <w:ind w:left="40"/>
              <w:spacing w:after="0"/>
              <w:rPr>
                <w:sz w:val="20"/>
                <w:szCs w:val="20"/>
                <w:color w:val="auto"/>
              </w:rPr>
            </w:pPr>
            <w:r>
              <w:rPr>
                <w:rFonts w:ascii="Arial" w:cs="Arial" w:eastAsia="Arial" w:hAnsi="Arial"/>
                <w:sz w:val="14"/>
                <w:szCs w:val="14"/>
                <w:color w:val="auto"/>
              </w:rPr>
              <w:t>Other comprehensive (loss) income:</w:t>
            </w: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4"/>
        </w:trPr>
        <w:tc>
          <w:tcPr>
            <w:tcW w:w="79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Change in fair value of cash flow hedge</w:t>
            </w:r>
          </w:p>
        </w:tc>
        <w:tc>
          <w:tcPr>
            <w:tcW w:w="40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r>
      <w:tr>
        <w:trPr>
          <w:trHeight w:val="269"/>
        </w:trPr>
        <w:tc>
          <w:tcPr>
            <w:tcW w:w="790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Change in fair value of available-for-sale securities</w:t>
            </w:r>
          </w:p>
        </w:tc>
        <w:tc>
          <w:tcPr>
            <w:tcW w:w="4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4,859</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1"/>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Comprehensive loss</w:t>
            </w: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(4,353)</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(9,174)</w:t>
            </w:r>
          </w:p>
        </w:tc>
      </w:tr>
      <w:tr>
        <w:trPr>
          <w:trHeight w:val="269"/>
        </w:trPr>
        <w:tc>
          <w:tcPr>
            <w:tcW w:w="7900" w:type="dxa"/>
            <w:vAlign w:val="bottom"/>
          </w:tcPr>
          <w:p>
            <w:pPr>
              <w:ind w:left="500"/>
              <w:spacing w:after="0"/>
              <w:rPr>
                <w:sz w:val="20"/>
                <w:szCs w:val="20"/>
                <w:color w:val="auto"/>
              </w:rPr>
            </w:pPr>
            <w:r>
              <w:rPr>
                <w:rFonts w:ascii="Arial" w:cs="Arial" w:eastAsia="Arial" w:hAnsi="Arial"/>
                <w:sz w:val="14"/>
                <w:szCs w:val="14"/>
                <w:color w:val="auto"/>
              </w:rPr>
              <w:t>Comprehensive loss attributable to non-controlling interest</w:t>
            </w:r>
          </w:p>
        </w:tc>
        <w:tc>
          <w:tcPr>
            <w:tcW w:w="4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(4,798)</w:t>
            </w: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(3,295)</w:t>
            </w:r>
          </w:p>
        </w:tc>
      </w:tr>
      <w:tr>
        <w:trPr>
          <w:trHeight w:val="238"/>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Comprehensive income (loss) attributable to shareholders</w:t>
            </w: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445</w:t>
            </w:r>
          </w:p>
        </w:tc>
        <w:tc>
          <w:tcPr>
            <w:tcW w:w="120" w:type="dxa"/>
            <w:vAlign w:val="bottom"/>
          </w:tcPr>
          <w:p>
            <w:pPr>
              <w:spacing w:after="0"/>
              <w:rPr>
                <w:sz w:val="20"/>
                <w:szCs w:val="20"/>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(5,879)</w:t>
            </w:r>
          </w:p>
        </w:tc>
      </w:tr>
      <w:tr>
        <w:trPr>
          <w:trHeight w:val="20"/>
        </w:trPr>
        <w:tc>
          <w:tcPr>
            <w:tcW w:w="7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576" w:right="239" w:bottom="1440" w:gutter="0" w:footer="0" w:header="0"/>
        </w:sectPr>
      </w:pPr>
    </w:p>
    <w:bookmarkStart w:id="7" w:name="page8"/>
    <w:bookmarkEnd w:id="7"/>
    <w:p>
      <w:pPr>
        <w:ind w:right="3820"/>
        <w:spacing w:after="0" w:line="426" w:lineRule="auto"/>
        <w:rPr>
          <w:sz w:val="20"/>
          <w:szCs w:val="20"/>
          <w:color w:val="auto"/>
        </w:rPr>
      </w:pPr>
      <w:r>
        <w:rPr>
          <w:rFonts w:ascii="Arial" w:cs="Arial" w:eastAsia="Arial" w:hAnsi="Arial"/>
          <w:sz w:val="21"/>
          <w:szCs w:val="21"/>
          <w:b w:val="1"/>
          <w:bCs w:val="1"/>
          <w:color w:val="00497F"/>
        </w:rPr>
        <w:t xml:space="preserve">FORTRESS TRANSPORTATION AND INFRASTRUCTURE INVESTORS LLC CONSOLIDATED STATEMENT OF CHANGES IN EQUITY </w:t>
      </w:r>
      <w:r>
        <w:rPr>
          <w:rFonts w:ascii="Arial" w:cs="Arial" w:eastAsia="Arial" w:hAnsi="Arial"/>
          <w:sz w:val="21"/>
          <w:szCs w:val="21"/>
          <w:b w:val="1"/>
          <w:bCs w:val="1"/>
          <w:i w:val="1"/>
          <w:iCs w:val="1"/>
          <w:color w:val="00497F"/>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Accumulated Other</w:t>
            </w:r>
          </w:p>
        </w:tc>
        <w:tc>
          <w:tcPr>
            <w:tcW w:w="15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Interest in Equity of</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Additional Paid In</w:t>
            </w: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Consolidated</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03"/>
        </w:trPr>
        <w:tc>
          <w:tcPr>
            <w:tcW w:w="264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120" w:type="dxa"/>
            <w:vAlign w:val="bottom"/>
          </w:tcPr>
          <w:p>
            <w:pPr>
              <w:spacing w:after="0"/>
              <w:rPr>
                <w:sz w:val="17"/>
                <w:szCs w:val="17"/>
                <w:color w:val="auto"/>
              </w:rPr>
            </w:pP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7"/>
                <w:szCs w:val="17"/>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Income</w:t>
            </w:r>
          </w:p>
        </w:tc>
        <w:tc>
          <w:tcPr>
            <w:tcW w:w="14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080" w:type="dxa"/>
            <w:vAlign w:val="bottom"/>
          </w:tcPr>
          <w:p>
            <w:pPr>
              <w:jc w:val="right"/>
              <w:ind w:right="148"/>
              <w:spacing w:after="0"/>
              <w:rPr>
                <w:sz w:val="20"/>
                <w:szCs w:val="20"/>
                <w:color w:val="auto"/>
              </w:rPr>
            </w:pPr>
            <w:r>
              <w:rPr>
                <w:rFonts w:ascii="Arial" w:cs="Arial" w:eastAsia="Arial" w:hAnsi="Arial"/>
                <w:sz w:val="14"/>
                <w:szCs w:val="14"/>
                <w:b w:val="1"/>
                <w:bCs w:val="1"/>
                <w:color w:val="auto"/>
              </w:rPr>
              <w:t>Total Equity</w:t>
            </w:r>
          </w:p>
        </w:tc>
      </w:tr>
      <w:tr>
        <w:trPr>
          <w:trHeight w:val="251"/>
        </w:trPr>
        <w:tc>
          <w:tcPr>
            <w:tcW w:w="2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Equity - December 31, 2016</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758</w:t>
            </w: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1,084,757</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(38,833)</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7,130</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111,868</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1,165,680</w:t>
            </w:r>
          </w:p>
        </w:tc>
      </w:tr>
      <w:tr>
        <w:trPr>
          <w:trHeight w:val="266"/>
        </w:trPr>
        <w:tc>
          <w:tcPr>
            <w:tcW w:w="2640" w:type="dxa"/>
            <w:vAlign w:val="bottom"/>
          </w:tcPr>
          <w:p>
            <w:pPr>
              <w:ind w:left="40"/>
              <w:spacing w:after="0"/>
              <w:rPr>
                <w:sz w:val="20"/>
                <w:szCs w:val="20"/>
                <w:color w:val="auto"/>
              </w:rPr>
            </w:pPr>
            <w:r>
              <w:rPr>
                <w:rFonts w:ascii="Arial" w:cs="Arial" w:eastAsia="Arial" w:hAnsi="Arial"/>
                <w:sz w:val="14"/>
                <w:szCs w:val="14"/>
                <w:color w:val="auto"/>
              </w:rPr>
              <w:t>Comprehensive loss:</w:t>
            </w: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4"/>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loss for the period</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(4,414)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(4,798)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(9,212)</w:t>
            </w:r>
          </w:p>
        </w:tc>
      </w:tr>
      <w:tr>
        <w:trPr>
          <w:trHeight w:val="269"/>
        </w:trPr>
        <w:tc>
          <w:tcPr>
            <w:tcW w:w="2640" w:type="dxa"/>
            <w:vAlign w:val="bottom"/>
          </w:tcPr>
          <w:p>
            <w:pPr>
              <w:ind w:left="180"/>
              <w:spacing w:after="0"/>
              <w:rPr>
                <w:sz w:val="20"/>
                <w:szCs w:val="20"/>
                <w:color w:val="auto"/>
              </w:rPr>
            </w:pPr>
            <w:r>
              <w:rPr>
                <w:rFonts w:ascii="Arial" w:cs="Arial" w:eastAsia="Arial" w:hAnsi="Arial"/>
                <w:sz w:val="14"/>
                <w:szCs w:val="14"/>
                <w:color w:val="auto"/>
              </w:rPr>
              <w:t>Other comprehensive income</w:t>
            </w: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b w:val="1"/>
                <w:bCs w:val="1"/>
                <w:color w:val="auto"/>
              </w:rPr>
              <w:t>4,859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b w:val="1"/>
                <w:bCs w:val="1"/>
                <w:color w:val="auto"/>
              </w:rPr>
              <w:t>4,859</w:t>
            </w:r>
          </w:p>
        </w:tc>
      </w:tr>
      <w:tr>
        <w:trPr>
          <w:trHeight w:val="251"/>
        </w:trPr>
        <w:tc>
          <w:tcPr>
            <w:tcW w:w="264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 comprehensive (loss) income</w:t>
            </w:r>
          </w:p>
        </w:tc>
        <w:tc>
          <w:tcPr>
            <w:tcW w:w="12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(4,414)</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4,859</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(4,798)</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(4,353)</w:t>
            </w:r>
          </w:p>
        </w:tc>
      </w:tr>
      <w:tr>
        <w:trPr>
          <w:trHeight w:val="269"/>
        </w:trPr>
        <w:tc>
          <w:tcPr>
            <w:tcW w:w="2640" w:type="dxa"/>
            <w:vAlign w:val="bottom"/>
          </w:tcPr>
          <w:p>
            <w:pPr>
              <w:ind w:left="40"/>
              <w:spacing w:after="0"/>
              <w:rPr>
                <w:sz w:val="20"/>
                <w:szCs w:val="20"/>
                <w:color w:val="auto"/>
              </w:rPr>
            </w:pPr>
            <w:r>
              <w:rPr>
                <w:rFonts w:ascii="Arial" w:cs="Arial" w:eastAsia="Arial" w:hAnsi="Arial"/>
                <w:sz w:val="14"/>
                <w:szCs w:val="14"/>
                <w:color w:val="auto"/>
              </w:rPr>
              <w:t>Dividends declared</w:t>
            </w: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b w:val="1"/>
                <w:bCs w:val="1"/>
                <w:color w:val="auto"/>
              </w:rPr>
              <w:t>(25,013)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(25,013)</w:t>
            </w:r>
          </w:p>
        </w:tc>
      </w:tr>
      <w:tr>
        <w:trPr>
          <w:trHeight w:val="271"/>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common shares</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160</w:t>
            </w:r>
          </w:p>
        </w:tc>
      </w:tr>
      <w:tr>
        <w:trPr>
          <w:trHeight w:val="269"/>
        </w:trPr>
        <w:tc>
          <w:tcPr>
            <w:tcW w:w="2640" w:type="dxa"/>
            <w:vAlign w:val="bottom"/>
          </w:tcPr>
          <w:p>
            <w:pPr>
              <w:ind w:left="40"/>
              <w:spacing w:after="0"/>
              <w:rPr>
                <w:sz w:val="20"/>
                <w:szCs w:val="20"/>
                <w:color w:val="auto"/>
              </w:rPr>
            </w:pPr>
            <w:r>
              <w:rPr>
                <w:rFonts w:ascii="Arial" w:cs="Arial" w:eastAsia="Arial" w:hAnsi="Arial"/>
                <w:sz w:val="14"/>
                <w:szCs w:val="14"/>
                <w:color w:val="auto"/>
              </w:rPr>
              <w:t>Equity-based compensation</w:t>
            </w: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b w:val="1"/>
                <w:bCs w:val="1"/>
                <w:color w:val="auto"/>
              </w:rPr>
              <w:t>87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b w:val="1"/>
                <w:bCs w:val="1"/>
                <w:color w:val="auto"/>
              </w:rPr>
              <w:t>87</w:t>
            </w:r>
          </w:p>
        </w:tc>
      </w:tr>
      <w:tr>
        <w:trPr>
          <w:trHeight w:val="238"/>
        </w:trPr>
        <w:tc>
          <w:tcPr>
            <w:tcW w:w="2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Equity - March 31, 2017</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758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1,059,904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(43,247)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11,989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107,157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1,136,561</w:t>
            </w:r>
          </w:p>
        </w:tc>
      </w:tr>
      <w:tr>
        <w:trPr>
          <w:trHeight w:val="20"/>
        </w:trPr>
        <w:tc>
          <w:tcPr>
            <w:tcW w:w="2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576" w:right="239" w:bottom="1440" w:gutter="0" w:footer="0" w:header="0"/>
        </w:sectPr>
      </w:pPr>
    </w:p>
    <w:bookmarkStart w:id="8" w:name="page9"/>
    <w:bookmarkEnd w:id="8"/>
    <w:p>
      <w:pPr>
        <w:ind w:right="3820"/>
        <w:spacing w:after="0" w:line="395" w:lineRule="auto"/>
        <w:rPr>
          <w:sz w:val="20"/>
          <w:szCs w:val="20"/>
          <w:color w:val="auto"/>
        </w:rPr>
      </w:pPr>
      <w:r>
        <w:rPr>
          <w:rFonts w:ascii="Arial" w:cs="Arial" w:eastAsia="Arial" w:hAnsi="Arial"/>
          <w:sz w:val="22"/>
          <w:szCs w:val="22"/>
          <w:b w:val="1"/>
          <w:bCs w:val="1"/>
          <w:color w:val="00497F"/>
        </w:rPr>
        <w:t xml:space="preserve">FORTRESS TRANSPORTATION AND INFRASTRUCTURE INVESTORS LLC CONSOLIDATED STATEMENTS OF CASH FLOWS </w:t>
      </w:r>
      <w:r>
        <w:rPr>
          <w:rFonts w:ascii="Arial" w:cs="Arial" w:eastAsia="Arial" w:hAnsi="Arial"/>
          <w:sz w:val="22"/>
          <w:szCs w:val="22"/>
          <w:b w:val="1"/>
          <w:bCs w:val="1"/>
          <w:i w:val="1"/>
          <w:iCs w:val="1"/>
          <w:color w:val="00497F"/>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4"/>
          </w:tcPr>
          <w:p>
            <w:pPr>
              <w:jc w:val="right"/>
              <w:ind w:right="608"/>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2016</w:t>
            </w:r>
          </w:p>
        </w:tc>
      </w:tr>
      <w:tr>
        <w:trPr>
          <w:trHeight w:val="265"/>
        </w:trPr>
        <w:tc>
          <w:tcPr>
            <w:tcW w:w="790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Cash flows from operating activities:</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9"/>
        </w:trPr>
        <w:tc>
          <w:tcPr>
            <w:tcW w:w="7900" w:type="dxa"/>
            <w:vAlign w:val="bottom"/>
          </w:tcPr>
          <w:p>
            <w:pPr>
              <w:ind w:left="80"/>
              <w:spacing w:after="0"/>
              <w:rPr>
                <w:sz w:val="20"/>
                <w:szCs w:val="20"/>
                <w:color w:val="auto"/>
              </w:rPr>
            </w:pPr>
            <w:r>
              <w:rPr>
                <w:rFonts w:ascii="Arial" w:cs="Arial" w:eastAsia="Arial" w:hAnsi="Arial"/>
                <w:sz w:val="14"/>
                <w:szCs w:val="14"/>
                <w:color w:val="auto"/>
              </w:rPr>
              <w:t>Net loss</w:t>
            </w:r>
          </w:p>
        </w:tc>
        <w:tc>
          <w:tcPr>
            <w:tcW w:w="40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(9,212)</w:t>
            </w:r>
          </w:p>
        </w:tc>
        <w:tc>
          <w:tcPr>
            <w:tcW w:w="120" w:type="dxa"/>
            <w:vAlign w:val="bottom"/>
          </w:tcPr>
          <w:p>
            <w:pPr>
              <w:spacing w:after="0"/>
              <w:rPr>
                <w:sz w:val="23"/>
                <w:szCs w:val="23"/>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(9,077)</w:t>
            </w:r>
          </w:p>
        </w:tc>
      </w:tr>
      <w:tr>
        <w:trPr>
          <w:trHeight w:val="271"/>
        </w:trPr>
        <w:tc>
          <w:tcPr>
            <w:tcW w:w="7900" w:type="dxa"/>
            <w:vAlign w:val="bottom"/>
            <w:shd w:val="clear" w:color="auto" w:fill="CCEEFF"/>
          </w:tcPr>
          <w:p>
            <w:pPr>
              <w:ind w:left="60"/>
              <w:spacing w:after="0"/>
              <w:rPr>
                <w:sz w:val="20"/>
                <w:szCs w:val="20"/>
                <w:color w:val="auto"/>
              </w:rPr>
            </w:pPr>
            <w:r>
              <w:rPr>
                <w:rFonts w:ascii="Arial" w:cs="Arial" w:eastAsia="Arial" w:hAnsi="Arial"/>
                <w:sz w:val="14"/>
                <w:szCs w:val="14"/>
                <w:color w:val="auto"/>
              </w:rPr>
              <w:t>Adjustments to reconcile net loss to net cash provided by (used in) operating activities:</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9"/>
        </w:trPr>
        <w:tc>
          <w:tcPr>
            <w:tcW w:w="7900" w:type="dxa"/>
            <w:vAlign w:val="bottom"/>
          </w:tcPr>
          <w:p>
            <w:pPr>
              <w:ind w:left="600"/>
              <w:spacing w:after="0"/>
              <w:rPr>
                <w:sz w:val="20"/>
                <w:szCs w:val="20"/>
                <w:color w:val="auto"/>
              </w:rPr>
            </w:pPr>
            <w:r>
              <w:rPr>
                <w:rFonts w:ascii="Arial" w:cs="Arial" w:eastAsia="Arial" w:hAnsi="Arial"/>
                <w:sz w:val="14"/>
                <w:szCs w:val="14"/>
                <w:color w:val="auto"/>
              </w:rPr>
              <w:t>Equity in losses (earnings) of unconsolidated entities</w:t>
            </w:r>
          </w:p>
        </w:tc>
        <w:tc>
          <w:tcPr>
            <w:tcW w:w="40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1,266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(85)</w:t>
            </w:r>
          </w:p>
        </w:tc>
      </w:tr>
      <w:tr>
        <w:trPr>
          <w:trHeight w:val="271"/>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Gain on sale of equipment and finance leases, net</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(2,018)</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(1,722)</w:t>
            </w:r>
          </w:p>
        </w:tc>
      </w:tr>
      <w:tr>
        <w:trPr>
          <w:trHeight w:val="269"/>
        </w:trPr>
        <w:tc>
          <w:tcPr>
            <w:tcW w:w="7900" w:type="dxa"/>
            <w:vAlign w:val="bottom"/>
          </w:tcPr>
          <w:p>
            <w:pPr>
              <w:ind w:left="600"/>
              <w:spacing w:after="0"/>
              <w:rPr>
                <w:sz w:val="20"/>
                <w:szCs w:val="20"/>
                <w:color w:val="auto"/>
              </w:rPr>
            </w:pPr>
            <w:r>
              <w:rPr>
                <w:rFonts w:ascii="Arial" w:cs="Arial" w:eastAsia="Arial" w:hAnsi="Arial"/>
                <w:sz w:val="14"/>
                <w:szCs w:val="14"/>
                <w:color w:val="auto"/>
              </w:rPr>
              <w:t>Loss on extinguishment of debt</w:t>
            </w:r>
          </w:p>
        </w:tc>
        <w:tc>
          <w:tcPr>
            <w:tcW w:w="40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2,456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1,579</w:t>
            </w:r>
          </w:p>
        </w:tc>
      </w:tr>
      <w:tr>
        <w:trPr>
          <w:trHeight w:val="271"/>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Equity-based compensation</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87</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(3,963)</w:t>
            </w:r>
          </w:p>
        </w:tc>
      </w:tr>
      <w:tr>
        <w:trPr>
          <w:trHeight w:val="269"/>
        </w:trPr>
        <w:tc>
          <w:tcPr>
            <w:tcW w:w="7900" w:type="dxa"/>
            <w:vAlign w:val="bottom"/>
          </w:tcPr>
          <w:p>
            <w:pPr>
              <w:ind w:left="600"/>
              <w:spacing w:after="0"/>
              <w:rPr>
                <w:sz w:val="20"/>
                <w:szCs w:val="20"/>
                <w:color w:val="auto"/>
              </w:rPr>
            </w:pPr>
            <w:r>
              <w:rPr>
                <w:rFonts w:ascii="Arial" w:cs="Arial" w:eastAsia="Arial" w:hAnsi="Arial"/>
                <w:sz w:val="14"/>
                <w:szCs w:val="14"/>
                <w:color w:val="auto"/>
              </w:rPr>
              <w:t>Depreciation and amortization</w:t>
            </w:r>
          </w:p>
        </w:tc>
        <w:tc>
          <w:tcPr>
            <w:tcW w:w="40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17,377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13,217</w:t>
            </w:r>
          </w:p>
        </w:tc>
      </w:tr>
      <w:tr>
        <w:trPr>
          <w:trHeight w:val="271"/>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Change in current and deferred income taxes</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209</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w:t>
            </w:r>
          </w:p>
        </w:tc>
      </w:tr>
      <w:tr>
        <w:trPr>
          <w:trHeight w:val="269"/>
        </w:trPr>
        <w:tc>
          <w:tcPr>
            <w:tcW w:w="7900" w:type="dxa"/>
            <w:vAlign w:val="bottom"/>
          </w:tcPr>
          <w:p>
            <w:pPr>
              <w:ind w:left="600"/>
              <w:spacing w:after="0"/>
              <w:rPr>
                <w:sz w:val="20"/>
                <w:szCs w:val="20"/>
                <w:color w:val="auto"/>
              </w:rPr>
            </w:pPr>
            <w:r>
              <w:rPr>
                <w:rFonts w:ascii="Arial" w:cs="Arial" w:eastAsia="Arial" w:hAnsi="Arial"/>
                <w:sz w:val="14"/>
                <w:szCs w:val="14"/>
                <w:color w:val="auto"/>
              </w:rPr>
              <w:t>Change in fair value of non-hedge derivative</w:t>
            </w:r>
          </w:p>
        </w:tc>
        <w:tc>
          <w:tcPr>
            <w:tcW w:w="400" w:type="dxa"/>
            <w:vAlign w:val="bottom"/>
          </w:tcPr>
          <w:p>
            <w:pPr>
              <w:spacing w:after="0"/>
              <w:rPr>
                <w:sz w:val="23"/>
                <w:szCs w:val="23"/>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3</w:t>
            </w:r>
          </w:p>
        </w:tc>
      </w:tr>
      <w:tr>
        <w:trPr>
          <w:trHeight w:val="271"/>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Amortization of lease intangibles and incentives</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1,949</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1,637</w:t>
            </w:r>
          </w:p>
        </w:tc>
      </w:tr>
      <w:tr>
        <w:trPr>
          <w:trHeight w:val="269"/>
        </w:trPr>
        <w:tc>
          <w:tcPr>
            <w:tcW w:w="7900" w:type="dxa"/>
            <w:vAlign w:val="bottom"/>
          </w:tcPr>
          <w:p>
            <w:pPr>
              <w:ind w:left="600"/>
              <w:spacing w:after="0"/>
              <w:rPr>
                <w:sz w:val="20"/>
                <w:szCs w:val="20"/>
                <w:color w:val="auto"/>
              </w:rPr>
            </w:pPr>
            <w:r>
              <w:rPr>
                <w:rFonts w:ascii="Arial" w:cs="Arial" w:eastAsia="Arial" w:hAnsi="Arial"/>
                <w:sz w:val="14"/>
                <w:szCs w:val="14"/>
                <w:color w:val="auto"/>
              </w:rPr>
              <w:t>Amortization of deferred financing costs</w:t>
            </w:r>
          </w:p>
        </w:tc>
        <w:tc>
          <w:tcPr>
            <w:tcW w:w="40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1,133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585</w:t>
            </w:r>
          </w:p>
        </w:tc>
      </w:tr>
      <w:tr>
        <w:trPr>
          <w:trHeight w:val="271"/>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Operating distributions from unconsolidated entities</w:t>
            </w:r>
          </w:p>
        </w:tc>
        <w:tc>
          <w:tcPr>
            <w:tcW w:w="40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w:t>
            </w:r>
          </w:p>
        </w:tc>
      </w:tr>
      <w:tr>
        <w:trPr>
          <w:trHeight w:val="269"/>
        </w:trPr>
        <w:tc>
          <w:tcPr>
            <w:tcW w:w="7900" w:type="dxa"/>
            <w:vAlign w:val="bottom"/>
          </w:tcPr>
          <w:p>
            <w:pPr>
              <w:ind w:left="600"/>
              <w:spacing w:after="0"/>
              <w:rPr>
                <w:sz w:val="20"/>
                <w:szCs w:val="20"/>
                <w:color w:val="auto"/>
              </w:rPr>
            </w:pPr>
            <w:r>
              <w:rPr>
                <w:rFonts w:ascii="Arial" w:cs="Arial" w:eastAsia="Arial" w:hAnsi="Arial"/>
                <w:sz w:val="14"/>
                <w:szCs w:val="14"/>
                <w:color w:val="auto"/>
              </w:rPr>
              <w:t>Bad debt expense</w:t>
            </w:r>
          </w:p>
        </w:tc>
        <w:tc>
          <w:tcPr>
            <w:tcW w:w="40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31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32</w:t>
            </w:r>
          </w:p>
        </w:tc>
      </w:tr>
      <w:tr>
        <w:trPr>
          <w:trHeight w:val="271"/>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Other</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37</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138</w:t>
            </w:r>
          </w:p>
        </w:tc>
      </w:tr>
      <w:tr>
        <w:trPr>
          <w:trHeight w:val="266"/>
        </w:trPr>
        <w:tc>
          <w:tcPr>
            <w:tcW w:w="7900" w:type="dxa"/>
            <w:vAlign w:val="bottom"/>
          </w:tcPr>
          <w:p>
            <w:pPr>
              <w:ind w:left="600"/>
              <w:spacing w:after="0"/>
              <w:rPr>
                <w:sz w:val="20"/>
                <w:szCs w:val="20"/>
                <w:color w:val="auto"/>
              </w:rPr>
            </w:pPr>
            <w:r>
              <w:rPr>
                <w:rFonts w:ascii="Arial" w:cs="Arial" w:eastAsia="Arial" w:hAnsi="Arial"/>
                <w:sz w:val="14"/>
                <w:szCs w:val="14"/>
                <w:color w:val="auto"/>
              </w:rPr>
              <w:t>Change in:</w:t>
            </w: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4"/>
        </w:trPr>
        <w:tc>
          <w:tcPr>
            <w:tcW w:w="7900" w:type="dxa"/>
            <w:vAlign w:val="bottom"/>
            <w:shd w:val="clear" w:color="auto" w:fill="CCEEFF"/>
          </w:tcPr>
          <w:p>
            <w:pPr>
              <w:ind w:left="1280"/>
              <w:spacing w:after="0"/>
              <w:rPr>
                <w:sz w:val="20"/>
                <w:szCs w:val="20"/>
                <w:color w:val="auto"/>
              </w:rPr>
            </w:pPr>
            <w:r>
              <w:rPr>
                <w:rFonts w:ascii="Arial" w:cs="Arial" w:eastAsia="Arial" w:hAnsi="Arial"/>
                <w:sz w:val="14"/>
                <w:szCs w:val="14"/>
                <w:color w:val="auto"/>
              </w:rPr>
              <w:t>Accounts receivable</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(1,626)</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(1,769)</w:t>
            </w:r>
          </w:p>
        </w:tc>
      </w:tr>
      <w:tr>
        <w:trPr>
          <w:trHeight w:val="269"/>
        </w:trPr>
        <w:tc>
          <w:tcPr>
            <w:tcW w:w="7900" w:type="dxa"/>
            <w:vAlign w:val="bottom"/>
          </w:tcPr>
          <w:p>
            <w:pPr>
              <w:ind w:left="1300"/>
              <w:spacing w:after="0"/>
              <w:rPr>
                <w:sz w:val="20"/>
                <w:szCs w:val="20"/>
                <w:color w:val="auto"/>
              </w:rPr>
            </w:pPr>
            <w:r>
              <w:rPr>
                <w:rFonts w:ascii="Arial" w:cs="Arial" w:eastAsia="Arial" w:hAnsi="Arial"/>
                <w:sz w:val="14"/>
                <w:szCs w:val="14"/>
                <w:color w:val="auto"/>
              </w:rPr>
              <w:t>Other assets</w:t>
            </w:r>
          </w:p>
        </w:tc>
        <w:tc>
          <w:tcPr>
            <w:tcW w:w="40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11,227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(2,849)</w:t>
            </w:r>
          </w:p>
        </w:tc>
      </w:tr>
      <w:tr>
        <w:trPr>
          <w:trHeight w:val="271"/>
        </w:trPr>
        <w:tc>
          <w:tcPr>
            <w:tcW w:w="7900" w:type="dxa"/>
            <w:vAlign w:val="bottom"/>
            <w:shd w:val="clear" w:color="auto" w:fill="CCEEFF"/>
          </w:tcPr>
          <w:p>
            <w:pPr>
              <w:ind w:left="1280"/>
              <w:spacing w:after="0"/>
              <w:rPr>
                <w:sz w:val="20"/>
                <w:szCs w:val="20"/>
                <w:color w:val="auto"/>
              </w:rPr>
            </w:pPr>
            <w:r>
              <w:rPr>
                <w:rFonts w:ascii="Arial" w:cs="Arial" w:eastAsia="Arial" w:hAnsi="Arial"/>
                <w:sz w:val="14"/>
                <w:szCs w:val="14"/>
                <w:color w:val="auto"/>
              </w:rPr>
              <w:t>Accounts payable and accrued liabilities</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(4,992)</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(1,284)</w:t>
            </w:r>
          </w:p>
        </w:tc>
      </w:tr>
      <w:tr>
        <w:trPr>
          <w:trHeight w:val="269"/>
        </w:trPr>
        <w:tc>
          <w:tcPr>
            <w:tcW w:w="7900" w:type="dxa"/>
            <w:vAlign w:val="bottom"/>
          </w:tcPr>
          <w:p>
            <w:pPr>
              <w:ind w:left="1300"/>
              <w:spacing w:after="0"/>
              <w:rPr>
                <w:sz w:val="20"/>
                <w:szCs w:val="20"/>
                <w:color w:val="auto"/>
              </w:rPr>
            </w:pPr>
            <w:r>
              <w:rPr>
                <w:rFonts w:ascii="Arial" w:cs="Arial" w:eastAsia="Arial" w:hAnsi="Arial"/>
                <w:sz w:val="14"/>
                <w:szCs w:val="14"/>
                <w:color w:val="auto"/>
              </w:rPr>
              <w:t>Management fees payable to affiliate</w:t>
            </w:r>
          </w:p>
        </w:tc>
        <w:tc>
          <w:tcPr>
            <w:tcW w:w="4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(347)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(81)</w:t>
            </w:r>
          </w:p>
        </w:tc>
      </w:tr>
      <w:tr>
        <w:trPr>
          <w:trHeight w:val="270"/>
        </w:trPr>
        <w:tc>
          <w:tcPr>
            <w:tcW w:w="7900" w:type="dxa"/>
            <w:vAlign w:val="bottom"/>
            <w:shd w:val="clear" w:color="auto" w:fill="CCEEFF"/>
          </w:tcPr>
          <w:p>
            <w:pPr>
              <w:ind w:left="1300"/>
              <w:spacing w:after="0"/>
              <w:rPr>
                <w:sz w:val="20"/>
                <w:szCs w:val="20"/>
                <w:color w:val="auto"/>
              </w:rPr>
            </w:pPr>
            <w:r>
              <w:rPr>
                <w:rFonts w:ascii="Arial" w:cs="Arial" w:eastAsia="Arial" w:hAnsi="Arial"/>
                <w:sz w:val="14"/>
                <w:szCs w:val="14"/>
                <w:color w:val="auto"/>
              </w:rPr>
              <w:t>Other liabilities</w:t>
            </w:r>
          </w:p>
        </w:tc>
        <w:tc>
          <w:tcPr>
            <w:tcW w:w="4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103</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199</w:t>
            </w:r>
          </w:p>
        </w:tc>
      </w:tr>
      <w:tr>
        <w:trPr>
          <w:trHeight w:val="250"/>
        </w:trPr>
        <w:tc>
          <w:tcPr>
            <w:tcW w:w="7900" w:type="dxa"/>
            <w:vAlign w:val="bottom"/>
            <w:tcBorders>
              <w:bottom w:val="single" w:sz="8" w:color="CCEEFF"/>
            </w:tcBorders>
          </w:tcPr>
          <w:p>
            <w:pPr>
              <w:ind w:left="80"/>
              <w:spacing w:after="0"/>
              <w:rPr>
                <w:sz w:val="20"/>
                <w:szCs w:val="20"/>
                <w:color w:val="auto"/>
              </w:rPr>
            </w:pPr>
            <w:r>
              <w:rPr>
                <w:rFonts w:ascii="Arial" w:cs="Arial" w:eastAsia="Arial" w:hAnsi="Arial"/>
                <w:sz w:val="14"/>
                <w:szCs w:val="14"/>
                <w:b w:val="1"/>
                <w:bCs w:val="1"/>
                <w:color w:val="auto"/>
              </w:rPr>
              <w:t>Net cash provided by (used in) operating activities</w:t>
            </w: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17,680</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(3,799)</w:t>
            </w:r>
          </w:p>
        </w:tc>
      </w:tr>
      <w:tr>
        <w:trPr>
          <w:trHeight w:val="278"/>
        </w:trPr>
        <w:tc>
          <w:tcPr>
            <w:tcW w:w="79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9"/>
        </w:trPr>
        <w:tc>
          <w:tcPr>
            <w:tcW w:w="7900" w:type="dxa"/>
            <w:vAlign w:val="bottom"/>
          </w:tcPr>
          <w:p>
            <w:pPr>
              <w:ind w:left="80"/>
              <w:spacing w:after="0"/>
              <w:rPr>
                <w:sz w:val="20"/>
                <w:szCs w:val="20"/>
                <w:color w:val="auto"/>
              </w:rPr>
            </w:pPr>
            <w:r>
              <w:rPr>
                <w:rFonts w:ascii="Arial" w:cs="Arial" w:eastAsia="Arial" w:hAnsi="Arial"/>
                <w:sz w:val="14"/>
                <w:szCs w:val="14"/>
                <w:b w:val="1"/>
                <w:bCs w:val="1"/>
                <w:color w:val="auto"/>
              </w:rPr>
              <w:t>Cash flows from investing activities:</w:t>
            </w: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1"/>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Change in restricted cash</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9,409</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(2,917)</w:t>
            </w:r>
          </w:p>
        </w:tc>
      </w:tr>
      <w:tr>
        <w:trPr>
          <w:trHeight w:val="269"/>
        </w:trPr>
        <w:tc>
          <w:tcPr>
            <w:tcW w:w="7900" w:type="dxa"/>
            <w:vAlign w:val="bottom"/>
          </w:tcPr>
          <w:p>
            <w:pPr>
              <w:ind w:left="600"/>
              <w:spacing w:after="0"/>
              <w:rPr>
                <w:sz w:val="20"/>
                <w:szCs w:val="20"/>
                <w:color w:val="auto"/>
              </w:rPr>
            </w:pPr>
            <w:r>
              <w:rPr>
                <w:rFonts w:ascii="Arial" w:cs="Arial" w:eastAsia="Arial" w:hAnsi="Arial"/>
                <w:sz w:val="14"/>
                <w:szCs w:val="14"/>
                <w:color w:val="auto"/>
              </w:rPr>
              <w:t>Investment in notes receivable</w:t>
            </w:r>
          </w:p>
        </w:tc>
        <w:tc>
          <w:tcPr>
            <w:tcW w:w="400" w:type="dxa"/>
            <w:vAlign w:val="bottom"/>
          </w:tcPr>
          <w:p>
            <w:pPr>
              <w:spacing w:after="0"/>
              <w:rPr>
                <w:sz w:val="23"/>
                <w:szCs w:val="23"/>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(408)</w:t>
            </w:r>
          </w:p>
        </w:tc>
      </w:tr>
      <w:tr>
        <w:trPr>
          <w:trHeight w:val="271"/>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Investment in unconsolidated entities and available for sale securities</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(14,654)</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9"/>
        </w:trPr>
        <w:tc>
          <w:tcPr>
            <w:tcW w:w="7900" w:type="dxa"/>
            <w:vAlign w:val="bottom"/>
          </w:tcPr>
          <w:p>
            <w:pPr>
              <w:ind w:left="600"/>
              <w:spacing w:after="0"/>
              <w:rPr>
                <w:sz w:val="20"/>
                <w:szCs w:val="20"/>
                <w:color w:val="auto"/>
              </w:rPr>
            </w:pPr>
            <w:r>
              <w:rPr>
                <w:rFonts w:ascii="Arial" w:cs="Arial" w:eastAsia="Arial" w:hAnsi="Arial"/>
                <w:sz w:val="14"/>
                <w:szCs w:val="14"/>
                <w:color w:val="auto"/>
              </w:rPr>
              <w:t>Principal collections on finance leases</w:t>
            </w:r>
          </w:p>
        </w:tc>
        <w:tc>
          <w:tcPr>
            <w:tcW w:w="40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110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2,204</w:t>
            </w:r>
          </w:p>
        </w:tc>
      </w:tr>
      <w:tr>
        <w:trPr>
          <w:trHeight w:val="271"/>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Acquisition of leasing equipment</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(67,695)</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(27,317)</w:t>
            </w:r>
          </w:p>
        </w:tc>
      </w:tr>
      <w:tr>
        <w:trPr>
          <w:trHeight w:val="269"/>
        </w:trPr>
        <w:tc>
          <w:tcPr>
            <w:tcW w:w="7900" w:type="dxa"/>
            <w:vAlign w:val="bottom"/>
          </w:tcPr>
          <w:p>
            <w:pPr>
              <w:ind w:left="600"/>
              <w:spacing w:after="0"/>
              <w:rPr>
                <w:sz w:val="20"/>
                <w:szCs w:val="20"/>
                <w:color w:val="auto"/>
              </w:rPr>
            </w:pPr>
            <w:r>
              <w:rPr>
                <w:rFonts w:ascii="Arial" w:cs="Arial" w:eastAsia="Arial" w:hAnsi="Arial"/>
                <w:sz w:val="14"/>
                <w:szCs w:val="14"/>
                <w:color w:val="auto"/>
              </w:rPr>
              <w:t>Acquisition of property plant and equipment</w:t>
            </w:r>
          </w:p>
        </w:tc>
        <w:tc>
          <w:tcPr>
            <w:tcW w:w="4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(14,796)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(8,622)</w:t>
            </w:r>
          </w:p>
        </w:tc>
      </w:tr>
      <w:tr>
        <w:trPr>
          <w:trHeight w:val="271"/>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Purchase deposit for aircraft and aircraft engines</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(1,120)</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(3,275)</w:t>
            </w:r>
          </w:p>
        </w:tc>
      </w:tr>
      <w:tr>
        <w:trPr>
          <w:trHeight w:val="269"/>
        </w:trPr>
        <w:tc>
          <w:tcPr>
            <w:tcW w:w="7900" w:type="dxa"/>
            <w:vAlign w:val="bottom"/>
          </w:tcPr>
          <w:p>
            <w:pPr>
              <w:ind w:left="600"/>
              <w:spacing w:after="0"/>
              <w:rPr>
                <w:sz w:val="20"/>
                <w:szCs w:val="20"/>
                <w:color w:val="auto"/>
              </w:rPr>
            </w:pPr>
            <w:r>
              <w:rPr>
                <w:rFonts w:ascii="Arial" w:cs="Arial" w:eastAsia="Arial" w:hAnsi="Arial"/>
                <w:sz w:val="14"/>
                <w:szCs w:val="14"/>
                <w:color w:val="auto"/>
              </w:rPr>
              <w:t>Proceeds from sale of finance leases</w:t>
            </w:r>
          </w:p>
        </w:tc>
        <w:tc>
          <w:tcPr>
            <w:tcW w:w="400" w:type="dxa"/>
            <w:vAlign w:val="bottom"/>
          </w:tcPr>
          <w:p>
            <w:pPr>
              <w:spacing w:after="0"/>
              <w:rPr>
                <w:sz w:val="23"/>
                <w:szCs w:val="23"/>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71,000</w:t>
            </w:r>
          </w:p>
        </w:tc>
      </w:tr>
      <w:tr>
        <w:trPr>
          <w:trHeight w:val="271"/>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Proceeds from sale of leasing equipment</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9,834</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4,392</w:t>
            </w:r>
          </w:p>
        </w:tc>
      </w:tr>
      <w:tr>
        <w:trPr>
          <w:trHeight w:val="269"/>
        </w:trPr>
        <w:tc>
          <w:tcPr>
            <w:tcW w:w="7900" w:type="dxa"/>
            <w:vAlign w:val="bottom"/>
          </w:tcPr>
          <w:p>
            <w:pPr>
              <w:ind w:left="600"/>
              <w:spacing w:after="0"/>
              <w:rPr>
                <w:sz w:val="20"/>
                <w:szCs w:val="20"/>
                <w:color w:val="auto"/>
              </w:rPr>
            </w:pPr>
            <w:r>
              <w:rPr>
                <w:rFonts w:ascii="Arial" w:cs="Arial" w:eastAsia="Arial" w:hAnsi="Arial"/>
                <w:sz w:val="14"/>
                <w:szCs w:val="14"/>
                <w:color w:val="auto"/>
              </w:rPr>
              <w:t>Proceeds from sale of property, plant and equipment</w:t>
            </w:r>
          </w:p>
        </w:tc>
        <w:tc>
          <w:tcPr>
            <w:tcW w:w="40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52</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36</w:t>
            </w:r>
          </w:p>
        </w:tc>
      </w:tr>
      <w:tr>
        <w:trPr>
          <w:trHeight w:val="271"/>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Proceeds from deposit on sale of leasing equipment</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60</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9"/>
        </w:trPr>
        <w:tc>
          <w:tcPr>
            <w:tcW w:w="7900" w:type="dxa"/>
            <w:vAlign w:val="bottom"/>
          </w:tcPr>
          <w:p>
            <w:pPr>
              <w:ind w:left="600"/>
              <w:spacing w:after="0"/>
              <w:rPr>
                <w:sz w:val="20"/>
                <w:szCs w:val="20"/>
                <w:color w:val="auto"/>
              </w:rPr>
            </w:pPr>
            <w:r>
              <w:rPr>
                <w:rFonts w:ascii="Arial" w:cs="Arial" w:eastAsia="Arial" w:hAnsi="Arial"/>
                <w:sz w:val="14"/>
                <w:szCs w:val="14"/>
                <w:color w:val="auto"/>
              </w:rPr>
              <w:t>Return of capital distributions from unconsolidated entities</w:t>
            </w:r>
          </w:p>
        </w:tc>
        <w:tc>
          <w:tcPr>
            <w:tcW w:w="400" w:type="dxa"/>
            <w:vAlign w:val="bottom"/>
          </w:tcPr>
          <w:p>
            <w:pPr>
              <w:spacing w:after="0"/>
              <w:rPr>
                <w:sz w:val="23"/>
                <w:szCs w:val="23"/>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401</w:t>
            </w:r>
          </w:p>
        </w:tc>
      </w:tr>
      <w:tr>
        <w:trPr>
          <w:trHeight w:val="250"/>
        </w:trPr>
        <w:tc>
          <w:tcPr>
            <w:tcW w:w="790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4"/>
                <w:szCs w:val="14"/>
                <w:b w:val="1"/>
                <w:bCs w:val="1"/>
                <w:color w:val="auto"/>
              </w:rPr>
              <w:t>Net cash (used in) provided by investing activities</w:t>
            </w:r>
          </w:p>
        </w:tc>
        <w:tc>
          <w:tcPr>
            <w:tcW w:w="40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(78,800)</w:t>
            </w:r>
          </w:p>
        </w:tc>
        <w:tc>
          <w:tcPr>
            <w:tcW w:w="12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35,494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00497F"/>
        </w:rPr>
        <w:t>See accompanying notes to consolidated financial statements.</w:t>
      </w:r>
    </w:p>
    <w:p>
      <w:pPr>
        <w:sectPr>
          <w:pgSz w:w="11900" w:h="16838" w:orient="portrait"/>
          <w:cols w:equalWidth="0" w:num="1">
            <w:col w:w="11420"/>
          </w:cols>
          <w:pgMar w:left="240" w:top="576" w:right="239" w:bottom="1440"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576" w:right="239" w:bottom="1440" w:gutter="0" w:footer="0" w:header="0"/>
          <w:type w:val="continuous"/>
        </w:sectPr>
      </w:pPr>
    </w:p>
    <w:bookmarkStart w:id="9" w:name="page10"/>
    <w:bookmarkEnd w:id="9"/>
    <w:p>
      <w:pPr>
        <w:ind w:right="3820"/>
        <w:spacing w:after="0" w:line="395" w:lineRule="auto"/>
        <w:rPr>
          <w:sz w:val="20"/>
          <w:szCs w:val="20"/>
          <w:color w:val="auto"/>
        </w:rPr>
      </w:pPr>
      <w:r>
        <w:rPr>
          <w:rFonts w:ascii="Arial" w:cs="Arial" w:eastAsia="Arial" w:hAnsi="Arial"/>
          <w:sz w:val="22"/>
          <w:szCs w:val="22"/>
          <w:b w:val="1"/>
          <w:bCs w:val="1"/>
          <w:color w:val="00497F"/>
        </w:rPr>
        <w:t xml:space="preserve">FORTRESS TRANSPORTATION AND INFRASTRUCTURE INVESTORS LLC CONSOLIDATED STATEMENTS OF CASH FLOWS </w:t>
      </w:r>
      <w:r>
        <w:rPr>
          <w:rFonts w:ascii="Arial" w:cs="Arial" w:eastAsia="Arial" w:hAnsi="Arial"/>
          <w:sz w:val="22"/>
          <w:szCs w:val="22"/>
          <w:b w:val="1"/>
          <w:bCs w:val="1"/>
          <w:i w:val="1"/>
          <w:iCs w:val="1"/>
          <w:color w:val="00497F"/>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4"/>
          </w:tcPr>
          <w:p>
            <w:pPr>
              <w:jc w:val="right"/>
              <w:ind w:right="607"/>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07"/>
              <w:spacing w:after="0"/>
              <w:rPr>
                <w:sz w:val="20"/>
                <w:szCs w:val="20"/>
                <w:color w:val="auto"/>
              </w:rPr>
            </w:pPr>
            <w:r>
              <w:rPr>
                <w:rFonts w:ascii="Arial" w:cs="Arial" w:eastAsia="Arial" w:hAnsi="Arial"/>
                <w:sz w:val="14"/>
                <w:szCs w:val="14"/>
                <w:color w:val="auto"/>
              </w:rPr>
              <w:t>2016</w:t>
            </w:r>
          </w:p>
        </w:tc>
      </w:tr>
      <w:tr>
        <w:trPr>
          <w:trHeight w:val="265"/>
        </w:trPr>
        <w:tc>
          <w:tcPr>
            <w:tcW w:w="790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Cash flows from financing activities:</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9"/>
        </w:trPr>
        <w:tc>
          <w:tcPr>
            <w:tcW w:w="7900" w:type="dxa"/>
            <w:vAlign w:val="bottom"/>
          </w:tcPr>
          <w:p>
            <w:pPr>
              <w:ind w:left="600"/>
              <w:spacing w:after="0"/>
              <w:rPr>
                <w:sz w:val="20"/>
                <w:szCs w:val="20"/>
                <w:color w:val="auto"/>
              </w:rPr>
            </w:pPr>
            <w:r>
              <w:rPr>
                <w:rFonts w:ascii="Arial" w:cs="Arial" w:eastAsia="Arial" w:hAnsi="Arial"/>
                <w:sz w:val="14"/>
                <w:szCs w:val="14"/>
                <w:color w:val="auto"/>
              </w:rPr>
              <w:t>Proceeds from debt</w:t>
            </w:r>
          </w:p>
        </w:tc>
        <w:tc>
          <w:tcPr>
            <w:tcW w:w="40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235,411</w:t>
            </w:r>
          </w:p>
        </w:tc>
        <w:tc>
          <w:tcPr>
            <w:tcW w:w="120" w:type="dxa"/>
            <w:vAlign w:val="bottom"/>
          </w:tcPr>
          <w:p>
            <w:pPr>
              <w:spacing w:after="0"/>
              <w:rPr>
                <w:sz w:val="23"/>
                <w:szCs w:val="23"/>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7"/>
              <w:spacing w:after="0"/>
              <w:rPr>
                <w:sz w:val="20"/>
                <w:szCs w:val="20"/>
                <w:color w:val="auto"/>
              </w:rPr>
            </w:pPr>
            <w:r>
              <w:rPr>
                <w:rFonts w:ascii="Arial" w:cs="Arial" w:eastAsia="Arial" w:hAnsi="Arial"/>
                <w:sz w:val="14"/>
                <w:szCs w:val="14"/>
                <w:color w:val="auto"/>
              </w:rPr>
              <w:t>103,158</w:t>
            </w:r>
          </w:p>
        </w:tc>
      </w:tr>
      <w:tr>
        <w:trPr>
          <w:trHeight w:val="271"/>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Repayment of debt</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(1,562)</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(146,410)</w:t>
            </w:r>
          </w:p>
        </w:tc>
      </w:tr>
      <w:tr>
        <w:trPr>
          <w:trHeight w:val="269"/>
        </w:trPr>
        <w:tc>
          <w:tcPr>
            <w:tcW w:w="7900" w:type="dxa"/>
            <w:vAlign w:val="bottom"/>
          </w:tcPr>
          <w:p>
            <w:pPr>
              <w:ind w:left="600"/>
              <w:spacing w:after="0"/>
              <w:rPr>
                <w:sz w:val="20"/>
                <w:szCs w:val="20"/>
                <w:color w:val="auto"/>
              </w:rPr>
            </w:pPr>
            <w:r>
              <w:rPr>
                <w:rFonts w:ascii="Arial" w:cs="Arial" w:eastAsia="Arial" w:hAnsi="Arial"/>
                <w:sz w:val="14"/>
                <w:szCs w:val="14"/>
                <w:color w:val="auto"/>
              </w:rPr>
              <w:t>Payment of deferred financing costs</w:t>
            </w:r>
          </w:p>
        </w:tc>
        <w:tc>
          <w:tcPr>
            <w:tcW w:w="4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(366)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(2,494)</w:t>
            </w:r>
          </w:p>
        </w:tc>
      </w:tr>
      <w:tr>
        <w:trPr>
          <w:trHeight w:val="271"/>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Receipt of security deposits</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1,425</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455</w:t>
            </w:r>
          </w:p>
        </w:tc>
      </w:tr>
      <w:tr>
        <w:trPr>
          <w:trHeight w:val="269"/>
        </w:trPr>
        <w:tc>
          <w:tcPr>
            <w:tcW w:w="7900" w:type="dxa"/>
            <w:vAlign w:val="bottom"/>
          </w:tcPr>
          <w:p>
            <w:pPr>
              <w:ind w:left="600"/>
              <w:spacing w:after="0"/>
              <w:rPr>
                <w:sz w:val="20"/>
                <w:szCs w:val="20"/>
                <w:color w:val="auto"/>
              </w:rPr>
            </w:pPr>
            <w:r>
              <w:rPr>
                <w:rFonts w:ascii="Arial" w:cs="Arial" w:eastAsia="Arial" w:hAnsi="Arial"/>
                <w:sz w:val="14"/>
                <w:szCs w:val="14"/>
                <w:color w:val="auto"/>
              </w:rPr>
              <w:t>Return of security deposits</w:t>
            </w:r>
          </w:p>
        </w:tc>
        <w:tc>
          <w:tcPr>
            <w:tcW w:w="4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(32)</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(124)</w:t>
            </w:r>
          </w:p>
        </w:tc>
      </w:tr>
      <w:tr>
        <w:trPr>
          <w:trHeight w:val="271"/>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Receipt of maintenance deposits</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4,424</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3,071</w:t>
            </w:r>
          </w:p>
        </w:tc>
      </w:tr>
      <w:tr>
        <w:trPr>
          <w:trHeight w:val="269"/>
        </w:trPr>
        <w:tc>
          <w:tcPr>
            <w:tcW w:w="7900" w:type="dxa"/>
            <w:vAlign w:val="bottom"/>
          </w:tcPr>
          <w:p>
            <w:pPr>
              <w:ind w:left="600"/>
              <w:spacing w:after="0"/>
              <w:rPr>
                <w:sz w:val="20"/>
                <w:szCs w:val="20"/>
                <w:color w:val="auto"/>
              </w:rPr>
            </w:pPr>
            <w:r>
              <w:rPr>
                <w:rFonts w:ascii="Arial" w:cs="Arial" w:eastAsia="Arial" w:hAnsi="Arial"/>
                <w:sz w:val="14"/>
                <w:szCs w:val="14"/>
                <w:color w:val="auto"/>
              </w:rPr>
              <w:t>Release of maintenance deposits</w:t>
            </w:r>
          </w:p>
        </w:tc>
        <w:tc>
          <w:tcPr>
            <w:tcW w:w="400" w:type="dxa"/>
            <w:vAlign w:val="bottom"/>
          </w:tcPr>
          <w:p>
            <w:pPr>
              <w:spacing w:after="0"/>
              <w:rPr>
                <w:sz w:val="23"/>
                <w:szCs w:val="23"/>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(5,385)</w:t>
            </w:r>
          </w:p>
        </w:tc>
      </w:tr>
      <w:tr>
        <w:trPr>
          <w:trHeight w:val="271"/>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Capital contributions from non-controlling interests</w:t>
            </w:r>
          </w:p>
        </w:tc>
        <w:tc>
          <w:tcPr>
            <w:tcW w:w="40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6,420</w:t>
            </w:r>
          </w:p>
        </w:tc>
      </w:tr>
      <w:tr>
        <w:trPr>
          <w:trHeight w:val="269"/>
        </w:trPr>
        <w:tc>
          <w:tcPr>
            <w:tcW w:w="7900" w:type="dxa"/>
            <w:vAlign w:val="bottom"/>
            <w:tcBorders>
              <w:bottom w:val="single" w:sz="8" w:color="CCEEFF"/>
            </w:tcBorders>
          </w:tcPr>
          <w:p>
            <w:pPr>
              <w:ind w:left="600"/>
              <w:spacing w:after="0"/>
              <w:rPr>
                <w:sz w:val="20"/>
                <w:szCs w:val="20"/>
                <w:color w:val="auto"/>
              </w:rPr>
            </w:pPr>
            <w:r>
              <w:rPr>
                <w:rFonts w:ascii="Arial" w:cs="Arial" w:eastAsia="Arial" w:hAnsi="Arial"/>
                <w:sz w:val="14"/>
                <w:szCs w:val="14"/>
                <w:color w:val="auto"/>
              </w:rPr>
              <w:t>Cash dividends</w:t>
            </w:r>
          </w:p>
        </w:tc>
        <w:tc>
          <w:tcPr>
            <w:tcW w:w="4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(25,013)</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(24,177)</w:t>
            </w:r>
          </w:p>
        </w:tc>
      </w:tr>
      <w:tr>
        <w:trPr>
          <w:trHeight w:val="250"/>
        </w:trPr>
        <w:tc>
          <w:tcPr>
            <w:tcW w:w="790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Net cash provided by (used in) financing activities</w:t>
            </w: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214,287</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(65,486)</w:t>
            </w:r>
          </w:p>
        </w:tc>
      </w:tr>
      <w:tr>
        <w:trPr>
          <w:trHeight w:val="278"/>
        </w:trPr>
        <w:tc>
          <w:tcPr>
            <w:tcW w:w="7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790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Net increase (decrease) in cash and cash equivalents</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153,167</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(33,791)</w:t>
            </w:r>
          </w:p>
        </w:tc>
      </w:tr>
      <w:tr>
        <w:trPr>
          <w:trHeight w:val="269"/>
        </w:trPr>
        <w:tc>
          <w:tcPr>
            <w:tcW w:w="790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Cash and cash equivalents, beginning of period</w:t>
            </w:r>
          </w:p>
        </w:tc>
        <w:tc>
          <w:tcPr>
            <w:tcW w:w="4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68,055</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381,703</w:t>
            </w:r>
          </w:p>
        </w:tc>
      </w:tr>
      <w:tr>
        <w:trPr>
          <w:trHeight w:val="238"/>
        </w:trPr>
        <w:tc>
          <w:tcPr>
            <w:tcW w:w="7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b w:val="1"/>
                <w:bCs w:val="1"/>
                <w:color w:val="auto"/>
              </w:rPr>
              <w:t>Cash and cash equivalents, end of period</w:t>
            </w: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221,222</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347,912</w:t>
            </w:r>
          </w:p>
        </w:tc>
      </w:tr>
      <w:tr>
        <w:trPr>
          <w:trHeight w:val="20"/>
        </w:trPr>
        <w:tc>
          <w:tcPr>
            <w:tcW w:w="7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64"/>
        </w:trPr>
        <w:tc>
          <w:tcPr>
            <w:tcW w:w="79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70"/>
        </w:trPr>
        <w:tc>
          <w:tcPr>
            <w:tcW w:w="790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9"/>
        </w:trPr>
        <w:tc>
          <w:tcPr>
            <w:tcW w:w="7900" w:type="dxa"/>
            <w:vAlign w:val="bottom"/>
          </w:tcPr>
          <w:p>
            <w:pPr>
              <w:ind w:left="600"/>
              <w:spacing w:after="0"/>
              <w:rPr>
                <w:sz w:val="20"/>
                <w:szCs w:val="20"/>
                <w:color w:val="auto"/>
              </w:rPr>
            </w:pPr>
            <w:r>
              <w:rPr>
                <w:rFonts w:ascii="Arial" w:cs="Arial" w:eastAsia="Arial" w:hAnsi="Arial"/>
                <w:sz w:val="14"/>
                <w:szCs w:val="14"/>
                <w:color w:val="auto"/>
              </w:rPr>
              <w:t>Restricted cash proceeds from borrowings of debt</w:t>
            </w:r>
          </w:p>
        </w:tc>
        <w:tc>
          <w:tcPr>
            <w:tcW w:w="40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14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7"/>
              <w:spacing w:after="0"/>
              <w:rPr>
                <w:sz w:val="20"/>
                <w:szCs w:val="20"/>
                <w:color w:val="auto"/>
              </w:rPr>
            </w:pPr>
            <w:r>
              <w:rPr>
                <w:rFonts w:ascii="Arial" w:cs="Arial" w:eastAsia="Arial" w:hAnsi="Arial"/>
                <w:sz w:val="14"/>
                <w:szCs w:val="14"/>
                <w:color w:val="auto"/>
              </w:rPr>
              <w:t>44,342</w:t>
            </w:r>
          </w:p>
        </w:tc>
      </w:tr>
      <w:tr>
        <w:trPr>
          <w:trHeight w:val="271"/>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Proceeds from borrowings of debt</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108,089</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6"/>
                <w:szCs w:val="16"/>
                <w:color w:val="auto"/>
              </w:rPr>
              <w:t>—</w:t>
            </w:r>
          </w:p>
        </w:tc>
      </w:tr>
      <w:tr>
        <w:trPr>
          <w:trHeight w:val="269"/>
        </w:trPr>
        <w:tc>
          <w:tcPr>
            <w:tcW w:w="7900" w:type="dxa"/>
            <w:vAlign w:val="bottom"/>
          </w:tcPr>
          <w:p>
            <w:pPr>
              <w:ind w:left="600"/>
              <w:spacing w:after="0"/>
              <w:rPr>
                <w:sz w:val="20"/>
                <w:szCs w:val="20"/>
                <w:color w:val="auto"/>
              </w:rPr>
            </w:pPr>
            <w:r>
              <w:rPr>
                <w:rFonts w:ascii="Arial" w:cs="Arial" w:eastAsia="Arial" w:hAnsi="Arial"/>
                <w:sz w:val="14"/>
                <w:szCs w:val="14"/>
                <w:color w:val="auto"/>
              </w:rPr>
              <w:t>Repayment of debt</w:t>
            </w:r>
          </w:p>
        </w:tc>
        <w:tc>
          <w:tcPr>
            <w:tcW w:w="4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(100,000)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ind w:right="27"/>
              <w:spacing w:after="0"/>
              <w:rPr>
                <w:sz w:val="20"/>
                <w:szCs w:val="20"/>
                <w:color w:val="auto"/>
              </w:rPr>
            </w:pPr>
            <w:r>
              <w:rPr>
                <w:rFonts w:ascii="Times New Roman" w:cs="Times New Roman" w:eastAsia="Times New Roman" w:hAnsi="Times New Roman"/>
                <w:sz w:val="16"/>
                <w:szCs w:val="16"/>
                <w:color w:val="auto"/>
              </w:rPr>
              <w:t>—</w:t>
            </w:r>
          </w:p>
        </w:tc>
      </w:tr>
      <w:tr>
        <w:trPr>
          <w:trHeight w:val="271"/>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Acquisition of leasing equipment</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(18,324)</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(1,920)</w:t>
            </w:r>
          </w:p>
        </w:tc>
      </w:tr>
      <w:tr>
        <w:trPr>
          <w:trHeight w:val="269"/>
        </w:trPr>
        <w:tc>
          <w:tcPr>
            <w:tcW w:w="7900" w:type="dxa"/>
            <w:vAlign w:val="bottom"/>
          </w:tcPr>
          <w:p>
            <w:pPr>
              <w:ind w:left="600"/>
              <w:spacing w:after="0"/>
              <w:rPr>
                <w:sz w:val="20"/>
                <w:szCs w:val="20"/>
                <w:color w:val="auto"/>
              </w:rPr>
            </w:pPr>
            <w:r>
              <w:rPr>
                <w:rFonts w:ascii="Arial" w:cs="Arial" w:eastAsia="Arial" w:hAnsi="Arial"/>
                <w:sz w:val="14"/>
                <w:szCs w:val="14"/>
                <w:color w:val="auto"/>
              </w:rPr>
              <w:t>Acquisition of property, plant and equipment</w:t>
            </w:r>
          </w:p>
        </w:tc>
        <w:tc>
          <w:tcPr>
            <w:tcW w:w="4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(303)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(353)</w:t>
            </w:r>
          </w:p>
        </w:tc>
      </w:tr>
      <w:tr>
        <w:trPr>
          <w:trHeight w:val="271"/>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Settled and assumed security deposits</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296</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w:t>
            </w:r>
          </w:p>
        </w:tc>
      </w:tr>
      <w:tr>
        <w:trPr>
          <w:trHeight w:val="269"/>
        </w:trPr>
        <w:tc>
          <w:tcPr>
            <w:tcW w:w="7900" w:type="dxa"/>
            <w:vAlign w:val="bottom"/>
          </w:tcPr>
          <w:p>
            <w:pPr>
              <w:ind w:left="600"/>
              <w:spacing w:after="0"/>
              <w:rPr>
                <w:sz w:val="20"/>
                <w:szCs w:val="20"/>
                <w:color w:val="auto"/>
              </w:rPr>
            </w:pPr>
            <w:r>
              <w:rPr>
                <w:rFonts w:ascii="Arial" w:cs="Arial" w:eastAsia="Arial" w:hAnsi="Arial"/>
                <w:sz w:val="14"/>
                <w:szCs w:val="14"/>
                <w:color w:val="auto"/>
              </w:rPr>
              <w:t>Billed, assumed and settled maintenance deposits</w:t>
            </w:r>
          </w:p>
        </w:tc>
        <w:tc>
          <w:tcPr>
            <w:tcW w:w="40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2,398</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ind w:right="27"/>
              <w:spacing w:after="0"/>
              <w:rPr>
                <w:sz w:val="20"/>
                <w:szCs w:val="20"/>
                <w:color w:val="auto"/>
              </w:rPr>
            </w:pPr>
            <w:r>
              <w:rPr>
                <w:rFonts w:ascii="Arial" w:cs="Arial" w:eastAsia="Arial" w:hAnsi="Arial"/>
                <w:sz w:val="14"/>
                <w:szCs w:val="14"/>
                <w:color w:val="auto"/>
              </w:rPr>
              <w:t>173</w:t>
            </w:r>
          </w:p>
        </w:tc>
      </w:tr>
      <w:tr>
        <w:trPr>
          <w:trHeight w:val="271"/>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Deferred financing costs</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(9,117)</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(3,072)</w:t>
            </w:r>
          </w:p>
        </w:tc>
      </w:tr>
      <w:tr>
        <w:trPr>
          <w:trHeight w:val="269"/>
        </w:trPr>
        <w:tc>
          <w:tcPr>
            <w:tcW w:w="7900" w:type="dxa"/>
            <w:vAlign w:val="bottom"/>
          </w:tcPr>
          <w:p>
            <w:pPr>
              <w:ind w:left="600"/>
              <w:spacing w:after="0"/>
              <w:rPr>
                <w:sz w:val="20"/>
                <w:szCs w:val="20"/>
                <w:color w:val="auto"/>
              </w:rPr>
            </w:pPr>
            <w:r>
              <w:rPr>
                <w:rFonts w:ascii="Arial" w:cs="Arial" w:eastAsia="Arial" w:hAnsi="Arial"/>
                <w:sz w:val="14"/>
                <w:szCs w:val="14"/>
                <w:color w:val="auto"/>
              </w:rPr>
              <w:t>Common share issuance costs</w:t>
            </w:r>
          </w:p>
        </w:tc>
        <w:tc>
          <w:tcPr>
            <w:tcW w:w="40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160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ind w:right="27"/>
              <w:spacing w:after="0"/>
              <w:rPr>
                <w:sz w:val="20"/>
                <w:szCs w:val="20"/>
                <w:color w:val="auto"/>
              </w:rPr>
            </w:pPr>
            <w:r>
              <w:rPr>
                <w:rFonts w:ascii="Arial" w:cs="Arial" w:eastAsia="Arial" w:hAnsi="Arial"/>
                <w:sz w:val="14"/>
                <w:szCs w:val="14"/>
                <w:color w:val="auto"/>
              </w:rPr>
              <w:t>112</w:t>
            </w:r>
          </w:p>
        </w:tc>
      </w:tr>
      <w:tr>
        <w:trPr>
          <w:trHeight w:val="258"/>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Dividends payable</w:t>
            </w:r>
          </w:p>
        </w:tc>
        <w:tc>
          <w:tcPr>
            <w:tcW w:w="40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ectPr>
          <w:pgSz w:w="11900" w:h="16838" w:orient="portrait"/>
          <w:cols w:equalWidth="0" w:num="1">
            <w:col w:w="11420"/>
          </w:cols>
          <w:pgMar w:left="240" w:top="576" w:right="239"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576" w:right="239" w:bottom="1440" w:gutter="0" w:footer="0" w:header="0"/>
          <w:type w:val="continuous"/>
        </w:sectPr>
      </w:pPr>
    </w:p>
    <w:bookmarkStart w:id="10" w:name="page11"/>
    <w:bookmarkEnd w:id="10"/>
    <w:p>
      <w:pPr>
        <w:ind w:right="382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00497F"/>
        </w:rPr>
      </w:pPr>
      <w:r>
        <w:rPr>
          <w:rFonts w:ascii="Arial" w:cs="Arial" w:eastAsia="Arial" w:hAnsi="Arial"/>
          <w:sz w:val="22"/>
          <w:szCs w:val="22"/>
          <w:b w:val="1"/>
          <w:bCs w:val="1"/>
          <w:color w:val="00497F"/>
        </w:rPr>
        <w:t>ORGANIZATION</w:t>
      </w:r>
    </w:p>
    <w:p>
      <w:pPr>
        <w:spacing w:after="0" w:line="279" w:lineRule="exact"/>
        <w:rPr>
          <w:sz w:val="20"/>
          <w:szCs w:val="20"/>
          <w:color w:val="auto"/>
        </w:rPr>
      </w:pPr>
    </w:p>
    <w:p>
      <w:pPr>
        <w:jc w:val="both"/>
        <w:ind w:left="340"/>
        <w:spacing w:after="0" w:line="254" w:lineRule="auto"/>
        <w:rPr>
          <w:sz w:val="20"/>
          <w:szCs w:val="20"/>
          <w:color w:val="auto"/>
        </w:rPr>
      </w:pPr>
      <w:r>
        <w:rPr>
          <w:rFonts w:ascii="Arial" w:cs="Arial" w:eastAsia="Arial" w:hAnsi="Arial"/>
          <w:sz w:val="16"/>
          <w:szCs w:val="16"/>
          <w:color w:val="auto"/>
        </w:rPr>
        <w:t>Fortress Transportation and Infrastructure Investors LLC (the “Company”) is a Delaware limited liability company which, through its subsidiary, Fortress Worldwide Transportation and Infrastructure General Partnership (the “Partnership”), is engaged in the ownership and leasing of aviation equipment, offshore energy equipment and shipping containers, and also owns and operates a short line railroad in North America, Central Maine and Québec Railway (“CMQR”), a multi-modal crude oil and refined products terminal in Beaumont, Texas (“Jefferson Terminal”) and deep-water port located along the Delaware River with an underground storage cavern and multiple industrial development opportunities (“Repauno”). The Company has six reportable segments, Aviation Leasing, Offshore Energy, Shipping Containers, Jefferson Terminal, Railroad, and Ports and Terminals, which operate in two primary businesses, Equipment Leasing and Infrastructure (Note 14).</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2. SUMMARY OF SIGNIFICANT ACCOUNTING POLICIES</w:t>
      </w:r>
    </w:p>
    <w:p>
      <w:pPr>
        <w:spacing w:after="0" w:line="171" w:lineRule="exact"/>
        <w:rPr>
          <w:sz w:val="20"/>
          <w:szCs w:val="20"/>
          <w:color w:val="auto"/>
        </w:rPr>
      </w:pPr>
    </w:p>
    <w:p>
      <w:pPr>
        <w:jc w:val="both"/>
        <w:ind w:left="340"/>
        <w:spacing w:after="0" w:line="291" w:lineRule="auto"/>
        <w:rPr>
          <w:sz w:val="20"/>
          <w:szCs w:val="20"/>
          <w:color w:val="auto"/>
        </w:rPr>
      </w:pPr>
      <w:r>
        <w:rPr>
          <w:rFonts w:ascii="Arial" w:cs="Arial" w:eastAsia="Arial" w:hAnsi="Arial"/>
          <w:sz w:val="16"/>
          <w:szCs w:val="16"/>
          <w:b w:val="1"/>
          <w:bCs w:val="1"/>
          <w:i w:val="1"/>
          <w:iCs w:val="1"/>
          <w:color w:val="00497F"/>
        </w:rPr>
        <w:t>Basis of Accounting</w:t>
      </w:r>
      <w:r>
        <w:rPr>
          <w:rFonts w:ascii="Arial" w:cs="Arial" w:eastAsia="Arial" w:hAnsi="Arial"/>
          <w:sz w:val="16"/>
          <w:szCs w:val="16"/>
          <w:color w:val="00497F"/>
        </w:rPr>
        <w:t>—</w:t>
      </w:r>
      <w:r>
        <w:rPr>
          <w:rFonts w:ascii="Arial" w:cs="Arial" w:eastAsia="Arial" w:hAnsi="Arial"/>
          <w:sz w:val="16"/>
          <w:szCs w:val="16"/>
          <w:color w:val="000000"/>
        </w:rPr>
        <w:t>The accompanying consolidated financial statements are prepared in accordance with U.S. generally accepted accounting</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principles (“GAAP”) and include the accounts of the Company and its subsidiaries.</w:t>
      </w:r>
    </w:p>
    <w:p>
      <w:pPr>
        <w:spacing w:after="0" w:line="94" w:lineRule="exact"/>
        <w:rPr>
          <w:sz w:val="20"/>
          <w:szCs w:val="20"/>
          <w:color w:val="auto"/>
        </w:rPr>
      </w:pPr>
    </w:p>
    <w:p>
      <w:pPr>
        <w:jc w:val="both"/>
        <w:ind w:left="340"/>
        <w:spacing w:after="0" w:line="261" w:lineRule="auto"/>
        <w:rPr>
          <w:sz w:val="20"/>
          <w:szCs w:val="20"/>
          <w:color w:val="auto"/>
        </w:rPr>
      </w:pPr>
      <w:r>
        <w:rPr>
          <w:rFonts w:ascii="Arial" w:cs="Arial" w:eastAsia="Arial" w:hAnsi="Arial"/>
          <w:sz w:val="16"/>
          <w:szCs w:val="16"/>
          <w:b w:val="1"/>
          <w:bCs w:val="1"/>
          <w:i w:val="1"/>
          <w:iCs w:val="1"/>
          <w:color w:val="00497F"/>
        </w:rPr>
        <w:t>Principles of Consolidation</w:t>
      </w:r>
      <w:r>
        <w:rPr>
          <w:rFonts w:ascii="Arial" w:cs="Arial" w:eastAsia="Arial" w:hAnsi="Arial"/>
          <w:sz w:val="16"/>
          <w:szCs w:val="16"/>
          <w:color w:val="00497F"/>
        </w:rPr>
        <w:t>—</w:t>
      </w:r>
      <w:r>
        <w:rPr>
          <w:rFonts w:ascii="Arial" w:cs="Arial" w:eastAsia="Arial" w:hAnsi="Arial"/>
          <w:sz w:val="16"/>
          <w:szCs w:val="16"/>
          <w:color w:val="000000"/>
        </w:rPr>
        <w:t>The Company consolidates all entities in which it has a controlling financial interest and in which it has control over</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significant operating decisions, as well as variable interest entities (“VIEs”) in which the Company is the primary beneficiary. All significant intercompany transactions and balances have been eliminated. The ownership interest of other investors in consolidated subsidiaries is recorded as non-controlling interest.</w:t>
      </w:r>
    </w:p>
    <w:p>
      <w:pPr>
        <w:spacing w:after="0" w:line="118" w:lineRule="exact"/>
        <w:rPr>
          <w:sz w:val="20"/>
          <w:szCs w:val="20"/>
          <w:color w:val="auto"/>
        </w:rPr>
      </w:pPr>
    </w:p>
    <w:p>
      <w:pPr>
        <w:jc w:val="both"/>
        <w:ind w:left="340"/>
        <w:spacing w:after="0" w:line="269" w:lineRule="auto"/>
        <w:rPr>
          <w:sz w:val="20"/>
          <w:szCs w:val="20"/>
          <w:color w:val="auto"/>
        </w:rPr>
      </w:pPr>
      <w:r>
        <w:rPr>
          <w:rFonts w:ascii="Arial" w:cs="Arial" w:eastAsia="Arial" w:hAnsi="Arial"/>
          <w:sz w:val="16"/>
          <w:szCs w:val="16"/>
          <w:color w:val="auto"/>
        </w:rPr>
        <w:t>The Company uses the equity method of accounting for investments in entities in which the Company exercises significant influence but which do not meet the requirements for consolidation. Under the equity method, the Company records its proportionate share of the underlying net income (loss) of these entities.</w:t>
      </w:r>
    </w:p>
    <w:p>
      <w:pPr>
        <w:spacing w:after="0" w:line="111" w:lineRule="exact"/>
        <w:rPr>
          <w:sz w:val="20"/>
          <w:szCs w:val="20"/>
          <w:color w:val="auto"/>
        </w:rPr>
      </w:pPr>
    </w:p>
    <w:p>
      <w:pPr>
        <w:jc w:val="both"/>
        <w:ind w:left="340"/>
        <w:spacing w:after="0" w:line="269" w:lineRule="auto"/>
        <w:rPr>
          <w:sz w:val="20"/>
          <w:szCs w:val="20"/>
          <w:color w:val="auto"/>
        </w:rPr>
      </w:pPr>
      <w:r>
        <w:rPr>
          <w:rFonts w:ascii="Arial" w:cs="Arial" w:eastAsia="Arial" w:hAnsi="Arial"/>
          <w:sz w:val="16"/>
          <w:szCs w:val="16"/>
          <w:b w:val="1"/>
          <w:bCs w:val="1"/>
          <w:i w:val="1"/>
          <w:iCs w:val="1"/>
          <w:color w:val="00497F"/>
        </w:rPr>
        <w:t>Use of Estimates</w:t>
      </w:r>
      <w:r>
        <w:rPr>
          <w:rFonts w:ascii="Arial" w:cs="Arial" w:eastAsia="Arial" w:hAnsi="Arial"/>
          <w:sz w:val="16"/>
          <w:szCs w:val="16"/>
          <w:color w:val="00497F"/>
        </w:rPr>
        <w:t>—</w:t>
      </w:r>
      <w:r>
        <w:rPr>
          <w:rFonts w:ascii="Arial" w:cs="Arial" w:eastAsia="Arial" w:hAnsi="Arial"/>
          <w:sz w:val="16"/>
          <w:szCs w:val="16"/>
          <w:color w:val="000000"/>
        </w:rPr>
        <w:t>The preparation of financial statements in conformity with GAAP requires management to make estimates and assumptions that affect</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the reported amounts of assets and liabilities, the disclosure of contingent assets and liabilities at the date of the consolidated financial statements and the reported amounts of revenues and expenses during the reporting period. Actual results could differ from those estimates.</w:t>
      </w:r>
    </w:p>
    <w:p>
      <w:pPr>
        <w:spacing w:after="0" w:line="111" w:lineRule="exact"/>
        <w:rPr>
          <w:sz w:val="20"/>
          <w:szCs w:val="20"/>
          <w:color w:val="auto"/>
        </w:rPr>
      </w:pPr>
    </w:p>
    <w:p>
      <w:pPr>
        <w:jc w:val="both"/>
        <w:ind w:left="340"/>
        <w:spacing w:after="0" w:line="251" w:lineRule="auto"/>
        <w:rPr>
          <w:sz w:val="20"/>
          <w:szCs w:val="20"/>
          <w:color w:val="auto"/>
        </w:rPr>
      </w:pPr>
      <w:r>
        <w:rPr>
          <w:rFonts w:ascii="Arial" w:cs="Arial" w:eastAsia="Arial" w:hAnsi="Arial"/>
          <w:sz w:val="16"/>
          <w:szCs w:val="16"/>
          <w:b w:val="1"/>
          <w:bCs w:val="1"/>
          <w:i w:val="1"/>
          <w:iCs w:val="1"/>
          <w:color w:val="00497F"/>
        </w:rPr>
        <w:t xml:space="preserve">Risks and Uncertainties </w:t>
      </w:r>
      <w:r>
        <w:rPr>
          <w:rFonts w:ascii="Arial" w:cs="Arial" w:eastAsia="Arial" w:hAnsi="Arial"/>
          <w:sz w:val="16"/>
          <w:szCs w:val="16"/>
          <w:color w:val="00497F"/>
        </w:rPr>
        <w:t>—</w:t>
      </w:r>
      <w:r>
        <w:rPr>
          <w:rFonts w:ascii="Arial" w:cs="Arial" w:eastAsia="Arial" w:hAnsi="Arial"/>
          <w:sz w:val="16"/>
          <w:szCs w:val="16"/>
          <w:color w:val="000000"/>
        </w:rPr>
        <w:t>In the normal course of business, the Company encounters several significant types of economic risk including credit, market,</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and capital market risks. Credit risk is the risk of the inability or unwillingness of a lessee, customer, or derivative counterparty to make contractually required payments or to fulfill its other contractual obligations. Market risk reflects the risk of a downturn or volatility in the underlying industry segments in which the Company operates which could adversely impact the pricing of the services offered by the Company or a lessee’s or customer’s ability to make payments, increase the risk of unscheduled lease terminations and depress lease rates and the value of the Company’s leasing equipment or operating assets. Capital market risk is the risk that the Company is unable to obtain capital at reasonable rates to fund the growth of its business or to refinance existing debt facilities. The Company, through its subsidiaries, also conducts operations outside of the United States; such international operations are subject to the same risks as those associated with its United States operations as well as additional risks, including unexpected changes in regulatory requirements, heightened risk of political and economic instability, potentially adverse tax consequences and the burden of complying with foreign laws. The Company does not have significant exposure to foreign currency risk as all of its leasing arrangements, terminal services revenue and the majority of freight rail revenue are denominated in U.S. dollars.</w:t>
      </w:r>
    </w:p>
    <w:p>
      <w:pPr>
        <w:spacing w:after="0" w:line="125" w:lineRule="exact"/>
        <w:rPr>
          <w:sz w:val="20"/>
          <w:szCs w:val="20"/>
          <w:color w:val="auto"/>
        </w:rPr>
      </w:pPr>
    </w:p>
    <w:p>
      <w:pPr>
        <w:jc w:val="both"/>
        <w:ind w:left="340"/>
        <w:spacing w:after="0" w:line="255" w:lineRule="auto"/>
        <w:rPr>
          <w:sz w:val="20"/>
          <w:szCs w:val="20"/>
          <w:color w:val="auto"/>
        </w:rPr>
      </w:pPr>
      <w:r>
        <w:rPr>
          <w:rFonts w:ascii="Arial" w:cs="Arial" w:eastAsia="Arial" w:hAnsi="Arial"/>
          <w:sz w:val="16"/>
          <w:szCs w:val="16"/>
          <w:b w:val="1"/>
          <w:bCs w:val="1"/>
          <w:i w:val="1"/>
          <w:iCs w:val="1"/>
          <w:color w:val="00497F"/>
        </w:rPr>
        <w:t>Variable Interest Entities</w:t>
      </w:r>
      <w:r>
        <w:rPr>
          <w:rFonts w:ascii="Arial" w:cs="Arial" w:eastAsia="Arial" w:hAnsi="Arial"/>
          <w:sz w:val="16"/>
          <w:szCs w:val="16"/>
          <w:color w:val="00497F"/>
        </w:rPr>
        <w:t>—</w:t>
      </w:r>
      <w:r>
        <w:rPr>
          <w:rFonts w:ascii="Arial" w:cs="Arial" w:eastAsia="Arial" w:hAnsi="Arial"/>
          <w:sz w:val="16"/>
          <w:szCs w:val="16"/>
          <w:color w:val="000000"/>
        </w:rPr>
        <w:t>The assessment of whether an entity is a variable interest entity (“VIE”) and the determination of whether to consolidate a VIE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requires judgment. VIEs are defined as entities in which equity investors do not have the characteristics of a controlling financial interest or do not have sufficient equity at risk for the entity to finance its activities without additional subordinated financial support from other parties. A VIE is required to be consolidated by its primary beneficiary, and only by its primary beneficiary, which is defined as the party who has the power to direct the activities of a VIE that most significantly impact its economic performance and who has the obligation to absorb losses or the right to receive benefits from the VIE that could potentially be significant to the VIE.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17" w:right="239" w:bottom="1440" w:gutter="0" w:footer="0" w:header="0"/>
        </w:sectPr>
      </w:pPr>
    </w:p>
    <w:bookmarkStart w:id="11" w:name="page12"/>
    <w:bookmarkEnd w:id="11"/>
    <w:p>
      <w:pPr>
        <w:ind w:right="382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9"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00497F"/>
        </w:rPr>
        <w:t>WWTAI IES MT6015 Ltd</w:t>
      </w:r>
    </w:p>
    <w:p>
      <w:pPr>
        <w:spacing w:after="0" w:line="165" w:lineRule="exact"/>
        <w:rPr>
          <w:sz w:val="20"/>
          <w:szCs w:val="20"/>
          <w:color w:val="auto"/>
        </w:rPr>
      </w:pPr>
    </w:p>
    <w:p>
      <w:pPr>
        <w:jc w:val="both"/>
        <w:ind w:left="340"/>
        <w:spacing w:after="0" w:line="254" w:lineRule="auto"/>
        <w:rPr>
          <w:sz w:val="20"/>
          <w:szCs w:val="20"/>
          <w:color w:val="auto"/>
        </w:rPr>
      </w:pPr>
      <w:r>
        <w:rPr>
          <w:rFonts w:ascii="Arial" w:cs="Arial" w:eastAsia="Arial" w:hAnsi="Arial"/>
          <w:sz w:val="16"/>
          <w:szCs w:val="16"/>
          <w:color w:val="auto"/>
        </w:rPr>
        <w:t>The Company has an interest in WWTAI IES MT6015 Ltd. (“MT6015”), an entity formed in 2014 which had entered into a contract with a shipbuilder for the construction of an offshore multi service / inspection, maintenance and repair vessel (the “Vessel”) for a price of approximately $75,000. A subsidiary of the Company and a third party each hold a 50% interest in MT6015 and have equal representation on its board of directors. In connection with the initial capitalization of MT6015, another subsidiary of the Company provided the third party partner with a $3,725 loan which was utilized by the third party partner to fund its equity contribution to MT6015. In addition, the agreement provides the Company with disproportionate voting rights, in certain situations, as defined in the agreement. Accordingly, the Company determined that MT6015 is a VIE and that it was the primary beneficiary; accordingly, MT6015 has been presented on a consolidated basis in the accompanying financial statements.</w:t>
      </w:r>
    </w:p>
    <w:p>
      <w:pPr>
        <w:spacing w:after="0" w:line="177" w:lineRule="exact"/>
        <w:rPr>
          <w:sz w:val="20"/>
          <w:szCs w:val="20"/>
          <w:color w:val="auto"/>
        </w:rPr>
      </w:pPr>
    </w:p>
    <w:p>
      <w:pPr>
        <w:jc w:val="both"/>
        <w:ind w:left="340"/>
        <w:spacing w:after="0" w:line="269" w:lineRule="auto"/>
        <w:rPr>
          <w:sz w:val="20"/>
          <w:szCs w:val="20"/>
          <w:color w:val="auto"/>
        </w:rPr>
      </w:pPr>
      <w:r>
        <w:rPr>
          <w:rFonts w:ascii="Arial" w:cs="Arial" w:eastAsia="Arial" w:hAnsi="Arial"/>
          <w:sz w:val="16"/>
          <w:szCs w:val="16"/>
          <w:color w:val="auto"/>
        </w:rPr>
        <w:t>During the second quarter of 2016, the Company determined not to proceed with the purchase of the Vessel. The shipbuilder delivered a notice of termination of the shipbuilding contract to MT6015 in July 2016. Correspondingly, in the second quarter of 2016, the Company recorded an impairment in its MT6015 investment of $7,450. The shipbuilder has no further recourse to the Company.</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00497F"/>
        </w:rPr>
        <w:t>JGP Energy Partners LLC</w:t>
      </w:r>
    </w:p>
    <w:p>
      <w:pPr>
        <w:spacing w:after="0" w:line="165" w:lineRule="exact"/>
        <w:rPr>
          <w:sz w:val="20"/>
          <w:szCs w:val="20"/>
          <w:color w:val="auto"/>
        </w:rPr>
      </w:pPr>
    </w:p>
    <w:p>
      <w:pPr>
        <w:jc w:val="both"/>
        <w:ind w:left="340"/>
        <w:spacing w:after="0" w:line="254" w:lineRule="auto"/>
        <w:rPr>
          <w:sz w:val="20"/>
          <w:szCs w:val="20"/>
          <w:color w:val="auto"/>
        </w:rPr>
      </w:pPr>
      <w:r>
        <w:rPr>
          <w:rFonts w:ascii="Arial" w:cs="Arial" w:eastAsia="Arial" w:hAnsi="Arial"/>
          <w:sz w:val="16"/>
          <w:szCs w:val="16"/>
          <w:color w:val="auto"/>
        </w:rPr>
        <w:t>During the quarter ended September 30, 2016, the Company initiated activities in its 50% owned joint venture, JGP Energy Partners LLC (“JGP”). The other 50% member to the joint venture is a third party ethanol producer. The purpose of the venture is to build storage capacity with capabilities to receive and/or distribute ethanol via water, rail or truck. Each member agreed to contribute up to $27,000 (for a total of $54,000) for the development and construction of the ethanol terminal facilities. JGP is governed by a designated operating committee selected by the members in proportion to their equity interests. JGP is solely reliant on its members to finance its activities and therefore is a VIE. The Company concluded that it is not the primary beneficiary of JGP as the members share equally in the risks and rewards and decision making authority of the entity; therefore, the Company does not consolidate JGP and accounts for this investment in accordance with the equity method. Refer to Note 6 for details.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00497F"/>
        </w:rPr>
        <w:t>Delaware River Partners LLC</w:t>
      </w:r>
    </w:p>
    <w:p>
      <w:pPr>
        <w:spacing w:after="0" w:line="165" w:lineRule="exact"/>
        <w:rPr>
          <w:sz w:val="20"/>
          <w:szCs w:val="20"/>
          <w:color w:val="auto"/>
        </w:rPr>
      </w:pPr>
    </w:p>
    <w:p>
      <w:pPr>
        <w:jc w:val="both"/>
        <w:ind w:left="340"/>
        <w:spacing w:after="0" w:line="252" w:lineRule="auto"/>
        <w:rPr>
          <w:sz w:val="20"/>
          <w:szCs w:val="20"/>
          <w:color w:val="auto"/>
        </w:rPr>
      </w:pPr>
      <w:r>
        <w:rPr>
          <w:rFonts w:ascii="Arial" w:cs="Arial" w:eastAsia="Arial" w:hAnsi="Arial"/>
          <w:sz w:val="16"/>
          <w:szCs w:val="16"/>
          <w:color w:val="auto"/>
        </w:rPr>
        <w:t>On July 1, 2016, the Company, through Delaware River Partners LLC (“DRP”), a consolidated subsidiary, purchased the assets of Repauno, which consisted primarily of land, a storage cavern, and riparian rights for the acquired land, site improvements and rights. Currently there are no operational processes that could be applied to these assets that would result in outputs without significant green field development. The Company currently holds a 90% economic interest and a 100% voting interests in DRP. DRP is solely reliant on the Company to finance its activities and therefore is a VIE. The Company concluded it was the primary beneficiary; and accordingly, DRP has been presented on a consolidated basis in the accompanying financial statements. The Company has the right to purchase an additional 8% economic interest from the non-controlling party after the second anniversary but prior to the fifth year anniversary of the acquisition of Repauno. At the time of the purchase, the Company concluded that 8% of the 10% interest held by the non-controlling party does not share in the risks or rewards of true equity; and, therefore $5,321 was recorded in other liabilities on the Company’s Consolidated Balance Sheets. The remaining 2% economic non-controlling interest was valued at $641 at the acquisition date.</w:t>
      </w:r>
    </w:p>
    <w:p>
      <w:pPr>
        <w:spacing w:after="0" w:line="125" w:lineRule="exact"/>
        <w:rPr>
          <w:sz w:val="20"/>
          <w:szCs w:val="20"/>
          <w:color w:val="auto"/>
        </w:rPr>
      </w:pPr>
    </w:p>
    <w:p>
      <w:pPr>
        <w:jc w:val="both"/>
        <w:ind w:left="340"/>
        <w:spacing w:after="0" w:line="291" w:lineRule="auto"/>
        <w:rPr>
          <w:sz w:val="20"/>
          <w:szCs w:val="20"/>
          <w:color w:val="auto"/>
        </w:rPr>
      </w:pPr>
      <w:r>
        <w:rPr>
          <w:rFonts w:ascii="Arial" w:cs="Arial" w:eastAsia="Arial" w:hAnsi="Arial"/>
          <w:sz w:val="16"/>
          <w:szCs w:val="16"/>
          <w:b w:val="1"/>
          <w:bCs w:val="1"/>
          <w:i w:val="1"/>
          <w:iCs w:val="1"/>
          <w:color w:val="00497F"/>
        </w:rPr>
        <w:t>Cash and Cash Equivalents</w:t>
      </w:r>
      <w:r>
        <w:rPr>
          <w:rFonts w:ascii="Arial" w:cs="Arial" w:eastAsia="Arial" w:hAnsi="Arial"/>
          <w:sz w:val="16"/>
          <w:szCs w:val="16"/>
          <w:color w:val="00497F"/>
        </w:rPr>
        <w:t>—</w:t>
      </w:r>
      <w:r>
        <w:rPr>
          <w:rFonts w:ascii="Arial" w:cs="Arial" w:eastAsia="Arial" w:hAnsi="Arial"/>
          <w:sz w:val="16"/>
          <w:szCs w:val="16"/>
          <w:color w:val="000000"/>
        </w:rPr>
        <w:t>The Company considers all highly liquid short-term investments with a maturity of 90 days or less when purchased to be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cash equivalents.</w:t>
      </w:r>
    </w:p>
    <w:p>
      <w:pPr>
        <w:spacing w:after="0" w:line="94" w:lineRule="exact"/>
        <w:rPr>
          <w:sz w:val="20"/>
          <w:szCs w:val="20"/>
          <w:color w:val="auto"/>
        </w:rPr>
      </w:pPr>
    </w:p>
    <w:p>
      <w:pPr>
        <w:jc w:val="both"/>
        <w:ind w:left="340"/>
        <w:spacing w:after="0" w:line="269" w:lineRule="auto"/>
        <w:rPr>
          <w:sz w:val="20"/>
          <w:szCs w:val="20"/>
          <w:color w:val="auto"/>
        </w:rPr>
      </w:pPr>
      <w:r>
        <w:rPr>
          <w:rFonts w:ascii="Arial" w:cs="Arial" w:eastAsia="Arial" w:hAnsi="Arial"/>
          <w:sz w:val="16"/>
          <w:szCs w:val="16"/>
          <w:b w:val="1"/>
          <w:bCs w:val="1"/>
          <w:i w:val="1"/>
          <w:iCs w:val="1"/>
          <w:color w:val="00497F"/>
        </w:rPr>
        <w:t>Restricted Cash</w:t>
      </w:r>
      <w:r>
        <w:rPr>
          <w:rFonts w:ascii="Arial" w:cs="Arial" w:eastAsia="Arial" w:hAnsi="Arial"/>
          <w:sz w:val="16"/>
          <w:szCs w:val="16"/>
          <w:color w:val="00497F"/>
        </w:rPr>
        <w:t>—</w:t>
      </w:r>
      <w:r>
        <w:rPr>
          <w:rFonts w:ascii="Arial" w:cs="Arial" w:eastAsia="Arial" w:hAnsi="Arial"/>
          <w:sz w:val="16"/>
          <w:szCs w:val="16"/>
          <w:color w:val="000000"/>
        </w:rPr>
        <w:t>Restricted cash of $56,032 and $65,441 as of March 31, 2017 and December 31, 2016, respectively, consists of prepaid interest and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principal pursuant to the requirements of certain of the Company’s debt agreements (Note 8), and funds set aside for qualifying constructions projects at Jefferson Terminal.</w:t>
      </w:r>
    </w:p>
    <w:p>
      <w:pPr>
        <w:spacing w:after="0" w:line="111" w:lineRule="exact"/>
        <w:rPr>
          <w:sz w:val="20"/>
          <w:szCs w:val="20"/>
          <w:color w:val="auto"/>
        </w:rPr>
      </w:pPr>
    </w:p>
    <w:p>
      <w:pPr>
        <w:jc w:val="both"/>
        <w:ind w:left="340"/>
        <w:spacing w:after="0" w:line="255" w:lineRule="auto"/>
        <w:rPr>
          <w:sz w:val="20"/>
          <w:szCs w:val="20"/>
          <w:color w:val="auto"/>
        </w:rPr>
      </w:pPr>
      <w:r>
        <w:rPr>
          <w:rFonts w:ascii="Arial" w:cs="Arial" w:eastAsia="Arial" w:hAnsi="Arial"/>
          <w:sz w:val="16"/>
          <w:szCs w:val="16"/>
          <w:b w:val="1"/>
          <w:bCs w:val="1"/>
          <w:i w:val="1"/>
          <w:iCs w:val="1"/>
          <w:color w:val="00497F"/>
        </w:rPr>
        <w:t>Available-For-Sale Securities</w:t>
      </w:r>
      <w:r>
        <w:rPr>
          <w:rFonts w:ascii="Arial" w:cs="Arial" w:eastAsia="Arial" w:hAnsi="Arial"/>
          <w:sz w:val="16"/>
          <w:szCs w:val="16"/>
          <w:color w:val="00497F"/>
        </w:rPr>
        <w:t>—</w:t>
      </w:r>
      <w:r>
        <w:rPr>
          <w:rFonts w:ascii="Arial" w:cs="Arial" w:eastAsia="Arial" w:hAnsi="Arial"/>
          <w:sz w:val="16"/>
          <w:szCs w:val="16"/>
          <w:color w:val="000000"/>
        </w:rPr>
        <w:t>The Company considers listed equity securities as available-for-sale securities recorded at fair value with unrealized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gains (losses) recorded in other comprehensive income (loss) and realized gains (losses) recorded in earnings. The Company’s basis on which the cost of the security sold or the amount reclassified out of other comprehensive income into earnings is determined using specific identification. Available-for-sale securities are included as a component of investments on the accompanying Consolidated Balance Sheets. At each balance sheet date, the Company evaluates its available for sale securities holdings with unrealized losses to determine if an other-than-temporary impairment has occurred. Refer to Note 6 and 9 for details.</w:t>
      </w:r>
    </w:p>
    <w:p>
      <w:pPr>
        <w:spacing w:after="0" w:line="137" w:lineRule="exact"/>
        <w:rPr>
          <w:sz w:val="20"/>
          <w:szCs w:val="20"/>
          <w:color w:val="auto"/>
        </w:rPr>
      </w:pPr>
    </w:p>
    <w:p>
      <w:pPr>
        <w:jc w:val="both"/>
        <w:ind w:left="340"/>
        <w:spacing w:after="0" w:line="284" w:lineRule="auto"/>
        <w:rPr>
          <w:sz w:val="20"/>
          <w:szCs w:val="20"/>
          <w:color w:val="auto"/>
        </w:rPr>
      </w:pPr>
      <w:r>
        <w:rPr>
          <w:rFonts w:ascii="Arial" w:cs="Arial" w:eastAsia="Arial" w:hAnsi="Arial"/>
          <w:sz w:val="16"/>
          <w:szCs w:val="16"/>
          <w:b w:val="1"/>
          <w:bCs w:val="1"/>
          <w:i w:val="1"/>
          <w:iCs w:val="1"/>
          <w:color w:val="00497F"/>
        </w:rPr>
        <w:t>Deferred Financing Costs</w:t>
      </w:r>
      <w:r>
        <w:rPr>
          <w:rFonts w:ascii="Arial" w:cs="Arial" w:eastAsia="Arial" w:hAnsi="Arial"/>
          <w:sz w:val="16"/>
          <w:szCs w:val="16"/>
          <w:color w:val="00497F"/>
        </w:rPr>
        <w:t>—</w:t>
      </w:r>
      <w:r>
        <w:rPr>
          <w:rFonts w:ascii="Arial" w:cs="Arial" w:eastAsia="Arial" w:hAnsi="Arial"/>
          <w:sz w:val="16"/>
          <w:szCs w:val="16"/>
          <w:color w:val="000000"/>
        </w:rPr>
        <w:t>Costs incurred in connection with obtaining long term financing are capitalized and amortized to interest expense over the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 xml:space="preserve">term of the underlying loans. Unamortized deferred financing costs of $12,493 and $6,489 as of March 31, 2017 and December 31, 2016, respectively, are recorded as a component of debt in the accompanying Consolidated Balance Sheets. Amortization expense of $1,133 and $585 for the three months ended March 31, 2017 </w:t>
      </w:r>
      <w:r>
        <w:rPr>
          <w:rFonts w:ascii="Arial" w:cs="Arial" w:eastAsia="Arial" w:hAnsi="Arial"/>
          <w:sz w:val="18"/>
          <w:szCs w:val="18"/>
          <w:color w:val="000000"/>
        </w:rPr>
        <w:t>and</w:t>
      </w:r>
      <w:r>
        <w:rPr>
          <w:rFonts w:ascii="Arial" w:cs="Arial" w:eastAsia="Arial" w:hAnsi="Arial"/>
          <w:sz w:val="16"/>
          <w:szCs w:val="16"/>
          <w:color w:val="000000"/>
        </w:rPr>
        <w:t xml:space="preserve"> 2016, respectively, are included as a component of interest expense in the accompanying Consolidated Statements of Operations.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17" w:right="239" w:bottom="1440" w:gutter="0" w:footer="0" w:header="0"/>
        </w:sectPr>
      </w:pPr>
    </w:p>
    <w:bookmarkStart w:id="12" w:name="page13"/>
    <w:bookmarkEnd w:id="12"/>
    <w:p>
      <w:pPr>
        <w:ind w:right="382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7" w:lineRule="exact"/>
        <w:rPr>
          <w:sz w:val="20"/>
          <w:szCs w:val="20"/>
          <w:color w:val="auto"/>
        </w:rPr>
      </w:pPr>
    </w:p>
    <w:p>
      <w:pPr>
        <w:jc w:val="both"/>
        <w:ind w:left="340"/>
        <w:spacing w:after="0" w:line="261" w:lineRule="auto"/>
        <w:rPr>
          <w:sz w:val="20"/>
          <w:szCs w:val="20"/>
          <w:color w:val="auto"/>
        </w:rPr>
      </w:pPr>
      <w:r>
        <w:rPr>
          <w:rFonts w:ascii="Arial" w:cs="Arial" w:eastAsia="Arial" w:hAnsi="Arial"/>
          <w:sz w:val="16"/>
          <w:szCs w:val="16"/>
          <w:b w:val="1"/>
          <w:bCs w:val="1"/>
          <w:i w:val="1"/>
          <w:iCs w:val="1"/>
          <w:color w:val="00497F"/>
        </w:rPr>
        <w:t>Concentration of Credit Risk</w:t>
      </w:r>
      <w:r>
        <w:rPr>
          <w:rFonts w:ascii="Arial" w:cs="Arial" w:eastAsia="Arial" w:hAnsi="Arial"/>
          <w:sz w:val="16"/>
          <w:szCs w:val="16"/>
          <w:color w:val="00497F"/>
        </w:rPr>
        <w:t>—</w:t>
      </w:r>
      <w:r>
        <w:rPr>
          <w:rFonts w:ascii="Arial" w:cs="Arial" w:eastAsia="Arial" w:hAnsi="Arial"/>
          <w:sz w:val="16"/>
          <w:szCs w:val="16"/>
          <w:color w:val="000000"/>
        </w:rPr>
        <w:t>The Company is subject to concentrations of credit risk with respect to amounts due from customers on its finance lease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and operating leases. The Company attempts to limit its credit risk by performing ongoing credit evaluations. During the three months ended March 31, 2017, the Company had no revenue concentration over 10% of total revenue from any one customer. During the three months ended March 31, 2016, the Company earned approximately 12% of its revenue from one customer in the Jefferson Terminal segment.</w:t>
      </w:r>
    </w:p>
    <w:p>
      <w:pPr>
        <w:spacing w:after="0" w:line="118" w:lineRule="exact"/>
        <w:rPr>
          <w:sz w:val="20"/>
          <w:szCs w:val="20"/>
          <w:color w:val="auto"/>
        </w:rPr>
      </w:pPr>
    </w:p>
    <w:p>
      <w:pPr>
        <w:jc w:val="both"/>
        <w:ind w:left="340"/>
        <w:spacing w:after="0" w:line="269" w:lineRule="auto"/>
        <w:rPr>
          <w:sz w:val="20"/>
          <w:szCs w:val="20"/>
          <w:color w:val="auto"/>
        </w:rPr>
      </w:pPr>
      <w:r>
        <w:rPr>
          <w:rFonts w:ascii="Arial" w:cs="Arial" w:eastAsia="Arial" w:hAnsi="Arial"/>
          <w:sz w:val="16"/>
          <w:szCs w:val="16"/>
          <w:color w:val="auto"/>
        </w:rPr>
        <w:t>As of March 31, 2017, accounts receivable from two customers in the Offshore Energy segment each represented 15% and 17% of total accounts receivable, net. As of December 31, 2016, accounts receivable from two customers in the Offshore Segment each represented 22% and 18% of total accounts receivable, net.</w:t>
      </w:r>
    </w:p>
    <w:p>
      <w:pPr>
        <w:spacing w:after="0" w:line="111" w:lineRule="exact"/>
        <w:rPr>
          <w:sz w:val="20"/>
          <w:szCs w:val="20"/>
          <w:color w:val="auto"/>
        </w:rPr>
      </w:pPr>
    </w:p>
    <w:p>
      <w:pPr>
        <w:jc w:val="both"/>
        <w:ind w:left="340"/>
        <w:spacing w:after="0" w:line="269" w:lineRule="auto"/>
        <w:rPr>
          <w:sz w:val="20"/>
          <w:szCs w:val="20"/>
          <w:color w:val="auto"/>
        </w:rPr>
      </w:pPr>
      <w:r>
        <w:rPr>
          <w:rFonts w:ascii="Arial" w:cs="Arial" w:eastAsia="Arial" w:hAnsi="Arial"/>
          <w:sz w:val="16"/>
          <w:szCs w:val="16"/>
          <w:color w:val="auto"/>
        </w:rPr>
        <w:t>The Company maintains cash and restricted cash balances, which generally exceed federally insured limits, and subject the Company to credit risk, in high credit quality financial institutions. The Company monitors the financial condition of these institutions and has not experienced any losses associated with these accounts.</w:t>
      </w:r>
    </w:p>
    <w:p>
      <w:pPr>
        <w:spacing w:after="0" w:line="124" w:lineRule="exact"/>
        <w:rPr>
          <w:sz w:val="20"/>
          <w:szCs w:val="20"/>
          <w:color w:val="auto"/>
        </w:rPr>
      </w:pPr>
    </w:p>
    <w:p>
      <w:pPr>
        <w:jc w:val="both"/>
        <w:ind w:left="340"/>
        <w:spacing w:after="0" w:line="304" w:lineRule="auto"/>
        <w:rPr>
          <w:sz w:val="20"/>
          <w:szCs w:val="20"/>
          <w:color w:val="auto"/>
        </w:rPr>
      </w:pPr>
      <w:r>
        <w:rPr>
          <w:rFonts w:ascii="Arial" w:cs="Arial" w:eastAsia="Arial" w:hAnsi="Arial"/>
          <w:sz w:val="16"/>
          <w:szCs w:val="16"/>
          <w:b w:val="1"/>
          <w:bCs w:val="1"/>
          <w:i w:val="1"/>
          <w:iCs w:val="1"/>
          <w:color w:val="00497F"/>
        </w:rPr>
        <w:t>Provision for Doubtful Accounts</w:t>
      </w:r>
      <w:r>
        <w:rPr>
          <w:rFonts w:ascii="Arial" w:cs="Arial" w:eastAsia="Arial" w:hAnsi="Arial"/>
          <w:sz w:val="16"/>
          <w:szCs w:val="16"/>
          <w:color w:val="00497F"/>
        </w:rPr>
        <w:t>—</w:t>
      </w:r>
      <w:r>
        <w:rPr>
          <w:rFonts w:ascii="Arial" w:cs="Arial" w:eastAsia="Arial" w:hAnsi="Arial"/>
          <w:sz w:val="16"/>
          <w:szCs w:val="16"/>
          <w:color w:val="000000"/>
        </w:rPr>
        <w:t>The Company determines the provision for doubtful accounts based on its assessment of the collectability of its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receivables on a customer-by-customer basis. The provision for doubtful accounts at March 31, 2017 and December 31, 2016 was $430 and $418, respectively. Bad debt expense was $31 and $32 for the three months ended March 31, 2017 and 2016, respectively.</w:t>
      </w:r>
    </w:p>
    <w:p>
      <w:pPr>
        <w:spacing w:after="0" w:line="98" w:lineRule="exact"/>
        <w:rPr>
          <w:sz w:val="20"/>
          <w:szCs w:val="20"/>
          <w:color w:val="auto"/>
        </w:rPr>
      </w:pPr>
    </w:p>
    <w:p>
      <w:pPr>
        <w:jc w:val="both"/>
        <w:ind w:left="340"/>
        <w:spacing w:after="0" w:line="261" w:lineRule="auto"/>
        <w:rPr>
          <w:sz w:val="20"/>
          <w:szCs w:val="20"/>
          <w:color w:val="auto"/>
        </w:rPr>
      </w:pPr>
      <w:r>
        <w:rPr>
          <w:rFonts w:ascii="Arial" w:cs="Arial" w:eastAsia="Arial" w:hAnsi="Arial"/>
          <w:sz w:val="16"/>
          <w:szCs w:val="16"/>
          <w:b w:val="1"/>
          <w:bCs w:val="1"/>
          <w:i w:val="1"/>
          <w:iCs w:val="1"/>
          <w:color w:val="00497F"/>
        </w:rPr>
        <w:t>Comprehensive Income (Loss)</w:t>
      </w:r>
      <w:r>
        <w:rPr>
          <w:rFonts w:ascii="Arial" w:cs="Arial" w:eastAsia="Arial" w:hAnsi="Arial"/>
          <w:sz w:val="16"/>
          <w:szCs w:val="16"/>
          <w:color w:val="00497F"/>
        </w:rPr>
        <w:t>—</w:t>
      </w:r>
      <w:r>
        <w:rPr>
          <w:rFonts w:ascii="Arial" w:cs="Arial" w:eastAsia="Arial" w:hAnsi="Arial"/>
          <w:sz w:val="16"/>
          <w:szCs w:val="16"/>
          <w:color w:val="000000"/>
        </w:rPr>
        <w:t>Comprehensive income (loss) is defined as the change in equity of a business enterprise during a period from</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transactions and other events and circumstances, excluding those resulting from investments by and distributions to owners. The Company’s comprehensive income (loss) represents net income (loss), as presented in the Consolidated Statements of Operations, adjusted for fair value changes related to the available-for-sale securities and derivatives accounted for as cash flow hedges.</w:t>
      </w:r>
    </w:p>
    <w:p>
      <w:pPr>
        <w:spacing w:after="0" w:line="118" w:lineRule="exact"/>
        <w:rPr>
          <w:sz w:val="20"/>
          <w:szCs w:val="20"/>
          <w:color w:val="auto"/>
        </w:rPr>
      </w:pPr>
    </w:p>
    <w:p>
      <w:pPr>
        <w:jc w:val="both"/>
        <w:ind w:left="340"/>
        <w:spacing w:after="0" w:line="269" w:lineRule="auto"/>
        <w:rPr>
          <w:sz w:val="20"/>
          <w:szCs w:val="20"/>
          <w:color w:val="auto"/>
        </w:rPr>
      </w:pPr>
      <w:r>
        <w:rPr>
          <w:rFonts w:ascii="Arial" w:cs="Arial" w:eastAsia="Arial" w:hAnsi="Arial"/>
          <w:sz w:val="16"/>
          <w:szCs w:val="16"/>
          <w:b w:val="1"/>
          <w:bCs w:val="1"/>
          <w:i w:val="1"/>
          <w:iCs w:val="1"/>
          <w:color w:val="00497F"/>
        </w:rPr>
        <w:t>Other Assets—</w:t>
      </w:r>
      <w:r>
        <w:rPr>
          <w:rFonts w:ascii="Arial" w:cs="Arial" w:eastAsia="Arial" w:hAnsi="Arial"/>
          <w:sz w:val="16"/>
          <w:szCs w:val="16"/>
          <w:color w:val="000000"/>
        </w:rPr>
        <w:t>Other assets is primarily comprised of notes receivables of $22,513 and $22,469, leasing equipment purchase deposits of $1,873 and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$13,701, capitalized costs for potential asset acquisitions of $2,749 and $2,116, prepaid expenses of $2,233 and $3,440, and receivables of $9,244 and $21,501 as of March 31, 2017 and December 31, 2016, respectively.</w:t>
      </w:r>
    </w:p>
    <w:p>
      <w:pPr>
        <w:spacing w:after="0" w:line="111" w:lineRule="exact"/>
        <w:rPr>
          <w:sz w:val="20"/>
          <w:szCs w:val="20"/>
          <w:color w:val="auto"/>
        </w:rPr>
      </w:pPr>
    </w:p>
    <w:p>
      <w:pPr>
        <w:jc w:val="both"/>
        <w:ind w:left="340"/>
        <w:spacing w:after="0" w:line="279" w:lineRule="auto"/>
        <w:rPr>
          <w:sz w:val="20"/>
          <w:szCs w:val="20"/>
          <w:color w:val="auto"/>
        </w:rPr>
      </w:pPr>
      <w:r>
        <w:rPr>
          <w:rFonts w:ascii="Arial" w:cs="Arial" w:eastAsia="Arial" w:hAnsi="Arial"/>
          <w:sz w:val="16"/>
          <w:szCs w:val="16"/>
          <w:b w:val="1"/>
          <w:bCs w:val="1"/>
          <w:i w:val="1"/>
          <w:iCs w:val="1"/>
          <w:color w:val="00497F"/>
        </w:rPr>
        <w:t>Dividends—</w:t>
      </w:r>
      <w:r>
        <w:rPr>
          <w:rFonts w:ascii="Arial" w:cs="Arial" w:eastAsia="Arial" w:hAnsi="Arial"/>
          <w:sz w:val="16"/>
          <w:szCs w:val="16"/>
          <w:color w:val="000000"/>
        </w:rPr>
        <w:t>Dividends are recorded if and when declared by the Board of Directors. For the first quarter ended March 31, 2017, the Board of Directors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declared a cash dividend of $0.33 per share. For the first quarter ended March 31, 2016, the Board of Directors declared a cash dividend of $0.33 per share.</w:t>
      </w:r>
    </w:p>
    <w:p>
      <w:pPr>
        <w:spacing w:after="0" w:line="302" w:lineRule="exact"/>
        <w:rPr>
          <w:sz w:val="20"/>
          <w:szCs w:val="20"/>
          <w:color w:val="auto"/>
        </w:rPr>
      </w:pPr>
    </w:p>
    <w:p>
      <w:pPr>
        <w:jc w:val="both"/>
        <w:ind w:left="340"/>
        <w:spacing w:after="0" w:line="255" w:lineRule="auto"/>
        <w:rPr>
          <w:sz w:val="20"/>
          <w:szCs w:val="20"/>
          <w:color w:val="auto"/>
        </w:rPr>
      </w:pPr>
      <w:r>
        <w:rPr>
          <w:rFonts w:ascii="Arial" w:cs="Arial" w:eastAsia="Arial" w:hAnsi="Arial"/>
          <w:sz w:val="16"/>
          <w:szCs w:val="16"/>
          <w:b w:val="1"/>
          <w:bCs w:val="1"/>
          <w:i w:val="1"/>
          <w:iCs w:val="1"/>
          <w:color w:val="00497F"/>
        </w:rPr>
        <w:t>Recent Accounting Pronouncements</w:t>
      </w:r>
      <w:r>
        <w:rPr>
          <w:rFonts w:ascii="Arial" w:cs="Arial" w:eastAsia="Arial" w:hAnsi="Arial"/>
          <w:sz w:val="16"/>
          <w:szCs w:val="16"/>
          <w:color w:val="00497F"/>
        </w:rPr>
        <w:t>—</w:t>
      </w:r>
      <w:r>
        <w:rPr>
          <w:rFonts w:ascii="Arial" w:cs="Arial" w:eastAsia="Arial" w:hAnsi="Arial"/>
          <w:sz w:val="16"/>
          <w:szCs w:val="16"/>
          <w:color w:val="000000"/>
        </w:rPr>
        <w:t>In July 2015, the FASB issued ASU 2015-11,</w:t>
      </w:r>
      <w:r>
        <w:rPr>
          <w:rFonts w:ascii="Arial" w:cs="Arial" w:eastAsia="Arial" w:hAnsi="Arial"/>
          <w:sz w:val="16"/>
          <w:szCs w:val="16"/>
          <w:b w:val="1"/>
          <w:bCs w:val="1"/>
          <w:i w:val="1"/>
          <w:iCs w:val="1"/>
          <w:color w:val="00497F"/>
        </w:rPr>
        <w:t xml:space="preserve"> </w:t>
      </w:r>
      <w:r>
        <w:rPr>
          <w:rFonts w:ascii="Arial" w:cs="Arial" w:eastAsia="Arial" w:hAnsi="Arial"/>
          <w:sz w:val="16"/>
          <w:szCs w:val="16"/>
          <w:i w:val="1"/>
          <w:iCs w:val="1"/>
          <w:color w:val="000000"/>
        </w:rPr>
        <w:t>Simplifying the Measurement of Inventory (Topic 330)</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(“ASU 2015-11”), which simplifies the measurement of inventory by requiring certain inventory to be measured at the “lower of cost and net realizable value” and the previous parameters for “market value” will be eliminated. ASU 2015-11 defines net realizable value as the “estimated selling prices in the ordinary course of business, less reasonably predictable costs of completion, disposal, and transportation.” The standard will be effective for fiscal years beginning after December 15, 2016, with earlier adoption permitted. The adoption of this standard did not have a material impact on our financial statements during the first quarter of 2017.</w:t>
      </w:r>
    </w:p>
    <w:p>
      <w:pPr>
        <w:spacing w:after="0" w:line="124" w:lineRule="exact"/>
        <w:rPr>
          <w:sz w:val="20"/>
          <w:szCs w:val="20"/>
          <w:color w:val="auto"/>
        </w:rPr>
      </w:pPr>
    </w:p>
    <w:p>
      <w:pPr>
        <w:jc w:val="both"/>
        <w:ind w:left="340"/>
        <w:spacing w:after="0" w:line="261" w:lineRule="auto"/>
        <w:rPr>
          <w:sz w:val="20"/>
          <w:szCs w:val="20"/>
          <w:color w:val="auto"/>
        </w:rPr>
      </w:pPr>
      <w:r>
        <w:rPr>
          <w:rFonts w:ascii="Arial" w:cs="Arial" w:eastAsia="Arial" w:hAnsi="Arial"/>
          <w:sz w:val="16"/>
          <w:szCs w:val="16"/>
          <w:color w:val="auto"/>
        </w:rPr>
        <w:t xml:space="preserve">In March 2016, the FASB issued ASU 2016-06, </w:t>
      </w:r>
      <w:r>
        <w:rPr>
          <w:rFonts w:ascii="Arial" w:cs="Arial" w:eastAsia="Arial" w:hAnsi="Arial"/>
          <w:sz w:val="16"/>
          <w:szCs w:val="16"/>
          <w:i w:val="1"/>
          <w:iCs w:val="1"/>
          <w:color w:val="auto"/>
        </w:rPr>
        <w:t>Contingent put and call options in debt instruments</w:t>
      </w:r>
      <w:r>
        <w:rPr>
          <w:rFonts w:ascii="Arial" w:cs="Arial" w:eastAsia="Arial" w:hAnsi="Arial"/>
          <w:sz w:val="16"/>
          <w:szCs w:val="16"/>
          <w:color w:val="auto"/>
        </w:rPr>
        <w:t xml:space="preserve"> (“ASU 2016-06”). ASU 2016-06 simplifies the embedded derivative analysis for debt instruments containing contingent call or put options. ASU 2016-06 will be effective fiscal years beginning after December 15, 2016, and interim periods within those fiscal years, with early adoption permitted. The Company adopted ASU 2016-06 as of January 1, 2017 and the adoption of this guidance did not have a material impact on the Company’s consolidated financial statements.</w:t>
      </w:r>
    </w:p>
    <w:p>
      <w:pPr>
        <w:spacing w:after="0" w:line="226" w:lineRule="exact"/>
        <w:rPr>
          <w:sz w:val="20"/>
          <w:szCs w:val="20"/>
          <w:color w:val="auto"/>
        </w:rPr>
      </w:pPr>
    </w:p>
    <w:p>
      <w:pPr>
        <w:jc w:val="both"/>
        <w:ind w:left="340"/>
        <w:spacing w:after="0" w:line="257" w:lineRule="auto"/>
        <w:rPr>
          <w:sz w:val="20"/>
          <w:szCs w:val="20"/>
          <w:color w:val="auto"/>
        </w:rPr>
      </w:pPr>
      <w:r>
        <w:rPr>
          <w:rFonts w:ascii="Arial" w:cs="Arial" w:eastAsia="Arial" w:hAnsi="Arial"/>
          <w:sz w:val="16"/>
          <w:szCs w:val="16"/>
          <w:color w:val="auto"/>
        </w:rPr>
        <w:t xml:space="preserve">In March 2016, the FASB issued ASU 2016-09, </w:t>
      </w:r>
      <w:r>
        <w:rPr>
          <w:rFonts w:ascii="Arial" w:cs="Arial" w:eastAsia="Arial" w:hAnsi="Arial"/>
          <w:sz w:val="16"/>
          <w:szCs w:val="16"/>
          <w:i w:val="1"/>
          <w:iCs w:val="1"/>
          <w:color w:val="auto"/>
        </w:rPr>
        <w:t>Improvements to Employee Share-Based Payment Accounting</w:t>
      </w:r>
      <w:r>
        <w:rPr>
          <w:rFonts w:ascii="Arial" w:cs="Arial" w:eastAsia="Arial" w:hAnsi="Arial"/>
          <w:sz w:val="16"/>
          <w:szCs w:val="16"/>
          <w:color w:val="auto"/>
        </w:rPr>
        <w:t xml:space="preserve"> (“ASU 2016-09”). ASU 2016-09 requires the income tax effects of awards to be recognized in the income statement when the awards vest or are settled, increases the amount an employer can withhold to cover income taxes on awards and still qualify for the exception to liability classification, and allow recognizing forfeitures of awards as they occur. ASU 2016-09 will be effective beginning in the first quarter of 2017, with early adoption permitted. The Company adopted ASU 2016-09 as of January 1, 2017 and the adoption of this guidance did not have a material impact on the Company’s consolidated financial statements.</w:t>
      </w:r>
    </w:p>
    <w:p>
      <w:pPr>
        <w:spacing w:after="0" w:line="230" w:lineRule="exact"/>
        <w:rPr>
          <w:sz w:val="20"/>
          <w:szCs w:val="20"/>
          <w:color w:val="auto"/>
        </w:rPr>
      </w:pPr>
    </w:p>
    <w:p>
      <w:pPr>
        <w:jc w:val="both"/>
        <w:ind w:left="340"/>
        <w:spacing w:after="0" w:line="252" w:lineRule="auto"/>
        <w:rPr>
          <w:sz w:val="20"/>
          <w:szCs w:val="20"/>
          <w:color w:val="auto"/>
        </w:rPr>
      </w:pPr>
      <w:r>
        <w:rPr>
          <w:rFonts w:ascii="Arial" w:cs="Arial" w:eastAsia="Arial" w:hAnsi="Arial"/>
          <w:sz w:val="16"/>
          <w:szCs w:val="16"/>
          <w:color w:val="auto"/>
        </w:rPr>
        <w:t xml:space="preserve">In October 2016, the FASB issued ASU 2016-17, </w:t>
      </w:r>
      <w:r>
        <w:rPr>
          <w:rFonts w:ascii="Arial" w:cs="Arial" w:eastAsia="Arial" w:hAnsi="Arial"/>
          <w:sz w:val="16"/>
          <w:szCs w:val="16"/>
          <w:i w:val="1"/>
          <w:iCs w:val="1"/>
          <w:color w:val="auto"/>
        </w:rPr>
        <w:t>Consolidation (Topic 810): Interests Held through Related Parties That Are under Common Control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(“ASU 2016-17”). ASU 2016-17 </w:t>
      </w:r>
      <w:r>
        <w:rPr>
          <w:rFonts w:ascii="Arial" w:cs="Arial" w:eastAsia="Arial" w:hAnsi="Arial"/>
          <w:sz w:val="16"/>
          <w:szCs w:val="16"/>
          <w:color w:val="auto"/>
        </w:rPr>
        <w:t>amends the consolidation guidance on how a reporting entity that is the single decision maker of a VIE should treat</w:t>
      </w:r>
      <w:r>
        <w:rPr>
          <w:rFonts w:ascii="Arial" w:cs="Arial" w:eastAsia="Arial" w:hAnsi="Arial"/>
          <w:sz w:val="16"/>
          <w:szCs w:val="16"/>
          <w:i w:val="1"/>
          <w:iCs w:val="1"/>
          <w:color w:val="auto"/>
        </w:rPr>
        <w:t xml:space="preserve"> </w:t>
      </w:r>
      <w:r>
        <w:rPr>
          <w:rFonts w:ascii="Arial" w:cs="Arial" w:eastAsia="Arial" w:hAnsi="Arial"/>
          <w:sz w:val="16"/>
          <w:szCs w:val="16"/>
          <w:color w:val="auto"/>
        </w:rPr>
        <w:t>indirect interests in the entity held through related parties that are under common control with the reporting entity when determining whether it is the primary beneficiary of that VIE. Under the amendments, a single decision maker is not required to consider indirect interests held through related parties that are under common control with the single decision maker to be the equivalent of direct interests in their entirety. Instead, a single decision maker is required to include those interests on a proportionate basis consistent with indirect interests held through other related parties. ASU 2016-17 will be effective for fiscal years beginning after December 15, 2016, and interim periods within those fiscal years. Early adoption is permitted, including adoption in an interim period. The Company adopted ASU 2016-17 as of January 1, 2017 and the adoption of this guidance did not have a material impact on the Company’s consolidated financial statements.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17" w:right="239" w:bottom="1440" w:gutter="0" w:footer="0" w:header="0"/>
        </w:sectPr>
      </w:pPr>
    </w:p>
    <w:bookmarkStart w:id="13" w:name="page14"/>
    <w:bookmarkEnd w:id="13"/>
    <w:p>
      <w:pPr>
        <w:ind w:right="382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7" w:lineRule="exact"/>
        <w:rPr>
          <w:sz w:val="20"/>
          <w:szCs w:val="20"/>
          <w:color w:val="auto"/>
        </w:rPr>
      </w:pPr>
    </w:p>
    <w:p>
      <w:pPr>
        <w:jc w:val="both"/>
        <w:ind w:left="340"/>
        <w:spacing w:after="0" w:line="257" w:lineRule="auto"/>
        <w:rPr>
          <w:sz w:val="20"/>
          <w:szCs w:val="20"/>
          <w:color w:val="auto"/>
        </w:rPr>
      </w:pPr>
      <w:r>
        <w:rPr>
          <w:rFonts w:ascii="Arial" w:cs="Arial" w:eastAsia="Arial" w:hAnsi="Arial"/>
          <w:sz w:val="16"/>
          <w:szCs w:val="16"/>
          <w:color w:val="auto"/>
        </w:rPr>
        <w:t xml:space="preserve">In January 2017, the FASB issued ASU 2017-01, </w:t>
      </w:r>
      <w:r>
        <w:rPr>
          <w:rFonts w:ascii="Arial" w:cs="Arial" w:eastAsia="Arial" w:hAnsi="Arial"/>
          <w:sz w:val="16"/>
          <w:szCs w:val="16"/>
          <w:i w:val="1"/>
          <w:iCs w:val="1"/>
          <w:color w:val="auto"/>
        </w:rPr>
        <w:t>Business Combinations (Topic 805)(“ASU 2017-01”)</w:t>
      </w:r>
      <w:r>
        <w:rPr>
          <w:rFonts w:ascii="Arial" w:cs="Arial" w:eastAsia="Arial" w:hAnsi="Arial"/>
          <w:sz w:val="16"/>
          <w:szCs w:val="16"/>
          <w:color w:val="auto"/>
        </w:rPr>
        <w:t>. ASU 2017-01 clarifying the definition of a business with the objective of adding guidance to assist entities with evaluating whether transactions should be accounted for as acquisitions (or disposals) of businesses or assets. ASU 2017-01 will be effective for fiscal years beginning after December 15, 2017, and interim periods within those fiscal years. Early adoption is permitted. The Company adopted ASU 2017-01 as of January 1, 2017 and the adoption of this guidance did not have a material impact on the Company’s consolidated financial statements.</w:t>
      </w:r>
    </w:p>
    <w:p>
      <w:pPr>
        <w:spacing w:after="0" w:line="230" w:lineRule="exact"/>
        <w:rPr>
          <w:sz w:val="20"/>
          <w:szCs w:val="20"/>
          <w:color w:val="auto"/>
        </w:rPr>
      </w:pPr>
    </w:p>
    <w:p>
      <w:pPr>
        <w:jc w:val="both"/>
        <w:ind w:left="340"/>
        <w:spacing w:after="0" w:line="249" w:lineRule="auto"/>
        <w:rPr>
          <w:sz w:val="20"/>
          <w:szCs w:val="20"/>
          <w:color w:val="auto"/>
        </w:rPr>
      </w:pPr>
      <w:r>
        <w:rPr>
          <w:rFonts w:ascii="Arial" w:cs="Arial" w:eastAsia="Arial" w:hAnsi="Arial"/>
          <w:sz w:val="16"/>
          <w:szCs w:val="16"/>
          <w:b w:val="1"/>
          <w:bCs w:val="1"/>
          <w:i w:val="1"/>
          <w:iCs w:val="1"/>
          <w:color w:val="00497F"/>
        </w:rPr>
        <w:t>Unadopted Accounting Pronouncements</w:t>
      </w:r>
      <w:r>
        <w:rPr>
          <w:rFonts w:ascii="Arial" w:cs="Arial" w:eastAsia="Arial" w:hAnsi="Arial"/>
          <w:sz w:val="16"/>
          <w:szCs w:val="16"/>
          <w:color w:val="00497F"/>
        </w:rPr>
        <w:t>—</w:t>
      </w:r>
      <w:r>
        <w:rPr>
          <w:rFonts w:ascii="Arial" w:cs="Arial" w:eastAsia="Arial" w:hAnsi="Arial"/>
          <w:sz w:val="16"/>
          <w:szCs w:val="16"/>
          <w:color w:val="000000"/>
        </w:rPr>
        <w:t>In May 2014, the FASB issued ASU 2014-09,</w:t>
      </w:r>
      <w:r>
        <w:rPr>
          <w:rFonts w:ascii="Arial" w:cs="Arial" w:eastAsia="Arial" w:hAnsi="Arial"/>
          <w:sz w:val="16"/>
          <w:szCs w:val="16"/>
          <w:b w:val="1"/>
          <w:bCs w:val="1"/>
          <w:i w:val="1"/>
          <w:iCs w:val="1"/>
          <w:color w:val="00497F"/>
        </w:rPr>
        <w:t xml:space="preserve"> </w:t>
      </w:r>
      <w:r>
        <w:rPr>
          <w:rFonts w:ascii="Arial" w:cs="Arial" w:eastAsia="Arial" w:hAnsi="Arial"/>
          <w:sz w:val="16"/>
          <w:szCs w:val="16"/>
          <w:i w:val="1"/>
          <w:iCs w:val="1"/>
          <w:color w:val="000000"/>
        </w:rPr>
        <w:t>Revenues from Contracts with Customers (Topic 606)</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(“ASU</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2014-09”)</w:t>
      </w:r>
      <w:r>
        <w:rPr>
          <w:rFonts w:ascii="Arial" w:cs="Arial" w:eastAsia="Arial" w:hAnsi="Arial"/>
          <w:sz w:val="16"/>
          <w:szCs w:val="16"/>
          <w:i w:val="1"/>
          <w:iCs w:val="1"/>
          <w:color w:val="000000"/>
        </w:rPr>
        <w:t>.</w:t>
      </w:r>
      <w:r>
        <w:rPr>
          <w:rFonts w:ascii="Arial" w:cs="Arial" w:eastAsia="Arial" w:hAnsi="Arial"/>
          <w:sz w:val="16"/>
          <w:szCs w:val="16"/>
          <w:color w:val="000000"/>
        </w:rPr>
        <w:t xml:space="preserve"> ASU 2014-09 requires that a company recognize revenue when it transfers promised goods or services to customers in an amount that reflects the consideration to which the company expects to be entitled in exchange for those goods or services. In doing so, companies will need to use more judgment and make more estimates than under current guidance. These may include identifying performance obligations in the contract, estimating the amount of variable consideration to include in the transaction price and allocating the transaction price to each separate performance obligation. In August 2015, the FASB deferred the effective date of this standard by one year, which will be for fiscal years, and interim periods within those years, beginning after December 15, 2017. Additionally, during 2016, the FASB issued ASU 2016-08, </w:t>
      </w:r>
      <w:r>
        <w:rPr>
          <w:rFonts w:ascii="Arial" w:cs="Arial" w:eastAsia="Arial" w:hAnsi="Arial"/>
          <w:sz w:val="16"/>
          <w:szCs w:val="16"/>
          <w:i w:val="1"/>
          <w:iCs w:val="1"/>
          <w:color w:val="000000"/>
        </w:rPr>
        <w:t>Revenue from Contracts with Customers, Principal versus Agent</w:t>
      </w:r>
      <w:r>
        <w:rPr>
          <w:rFonts w:ascii="Arial" w:cs="Arial" w:eastAsia="Arial" w:hAnsi="Arial"/>
          <w:sz w:val="16"/>
          <w:szCs w:val="16"/>
          <w:color w:val="000000"/>
        </w:rPr>
        <w:t xml:space="preserve"> </w:t>
      </w:r>
      <w:r>
        <w:rPr>
          <w:rFonts w:ascii="Arial" w:cs="Arial" w:eastAsia="Arial" w:hAnsi="Arial"/>
          <w:sz w:val="16"/>
          <w:szCs w:val="16"/>
          <w:i w:val="1"/>
          <w:iCs w:val="1"/>
          <w:color w:val="000000"/>
        </w:rPr>
        <w:t xml:space="preserve">Considerations, </w:t>
      </w:r>
      <w:r>
        <w:rPr>
          <w:rFonts w:ascii="Arial" w:cs="Arial" w:eastAsia="Arial" w:hAnsi="Arial"/>
          <w:sz w:val="16"/>
          <w:szCs w:val="16"/>
          <w:color w:val="000000"/>
        </w:rPr>
        <w:t>ASU 2016-10,</w:t>
      </w:r>
      <w:r>
        <w:rPr>
          <w:rFonts w:ascii="Arial" w:cs="Arial" w:eastAsia="Arial" w:hAnsi="Arial"/>
          <w:sz w:val="16"/>
          <w:szCs w:val="16"/>
          <w:i w:val="1"/>
          <w:iCs w:val="1"/>
          <w:color w:val="000000"/>
        </w:rPr>
        <w:t xml:space="preserve"> Revenue from Contracts with Customers, Identifying Performance Obligations and Licensing </w:t>
      </w:r>
      <w:r>
        <w:rPr>
          <w:rFonts w:ascii="Arial" w:cs="Arial" w:eastAsia="Arial" w:hAnsi="Arial"/>
          <w:sz w:val="16"/>
          <w:szCs w:val="16"/>
          <w:color w:val="000000"/>
        </w:rPr>
        <w:t>and ASU 2016-12,</w:t>
      </w:r>
      <w:r>
        <w:rPr>
          <w:rFonts w:ascii="Arial" w:cs="Arial" w:eastAsia="Arial" w:hAnsi="Arial"/>
          <w:sz w:val="16"/>
          <w:szCs w:val="16"/>
          <w:i w:val="1"/>
          <w:iCs w:val="1"/>
          <w:color w:val="000000"/>
        </w:rPr>
        <w:t xml:space="preserve"> Revenue from Contracts with Customers, Narrow-Scope Improvements and Practical Expedients</w:t>
      </w:r>
      <w:r>
        <w:rPr>
          <w:rFonts w:ascii="Arial" w:cs="Arial" w:eastAsia="Arial" w:hAnsi="Arial"/>
          <w:sz w:val="16"/>
          <w:szCs w:val="16"/>
          <w:color w:val="000000"/>
        </w:rPr>
        <w:t>, ASU 2016-20,</w:t>
      </w:r>
      <w:r>
        <w:rPr>
          <w:rFonts w:ascii="Arial" w:cs="Arial" w:eastAsia="Arial" w:hAnsi="Arial"/>
          <w:sz w:val="16"/>
          <w:szCs w:val="16"/>
          <w:i w:val="1"/>
          <w:iCs w:val="1"/>
          <w:color w:val="000000"/>
        </w:rPr>
        <w:t xml:space="preserve"> Technical Corrections and Improvements to Topic 606, Revenue from Contracts with Customers</w:t>
      </w:r>
      <w:r>
        <w:rPr>
          <w:rFonts w:ascii="Arial" w:cs="Arial" w:eastAsia="Arial" w:hAnsi="Arial"/>
          <w:sz w:val="16"/>
          <w:szCs w:val="16"/>
          <w:color w:val="000000"/>
        </w:rPr>
        <w:t>, which clarify the guidance on reporting revenue as a principal versus agent, identifying and disclosing</w:t>
      </w:r>
      <w:r>
        <w:rPr>
          <w:rFonts w:ascii="Arial" w:cs="Arial" w:eastAsia="Arial" w:hAnsi="Arial"/>
          <w:sz w:val="16"/>
          <w:szCs w:val="16"/>
          <w:i w:val="1"/>
          <w:iCs w:val="1"/>
          <w:color w:val="000000"/>
        </w:rPr>
        <w:t xml:space="preserve"> </w:t>
      </w:r>
      <w:r>
        <w:rPr>
          <w:rFonts w:ascii="Arial" w:cs="Arial" w:eastAsia="Arial" w:hAnsi="Arial"/>
          <w:sz w:val="16"/>
          <w:szCs w:val="16"/>
          <w:color w:val="000000"/>
        </w:rPr>
        <w:t xml:space="preserve">performance obligations, accounting for intellectual property licenses, and assessing collectibility, present sales tax, treating noncash consideration. The Company’s evaluation of the impact of the new guidance on its consolidated financial statements is ongoing. The Company’s implementation efforts include the identification of revenue within the scope of the guidance, the evaluation of those revenue contracts, education and discussions with the Company’s control functions. The Company continues to evaluate the timing of recognition for various revenues, however, since a substantial portion of the Company’s revenue is recognized from its leasing contracts, subject to ASU 2016-02 </w:t>
      </w:r>
      <w:r>
        <w:rPr>
          <w:rFonts w:ascii="Arial" w:cs="Arial" w:eastAsia="Arial" w:hAnsi="Arial"/>
          <w:sz w:val="16"/>
          <w:szCs w:val="16"/>
          <w:i w:val="1"/>
          <w:iCs w:val="1"/>
          <w:color w:val="000000"/>
        </w:rPr>
        <w:t>Leases,</w:t>
      </w:r>
      <w:r>
        <w:rPr>
          <w:rFonts w:ascii="Arial" w:cs="Arial" w:eastAsia="Arial" w:hAnsi="Arial"/>
          <w:sz w:val="16"/>
          <w:szCs w:val="16"/>
          <w:color w:val="000000"/>
        </w:rPr>
        <w:t xml:space="preserve"> these have been excluded from the evaluation.</w:t>
      </w:r>
    </w:p>
    <w:p>
      <w:pPr>
        <w:spacing w:after="0" w:line="243" w:lineRule="exact"/>
        <w:rPr>
          <w:sz w:val="20"/>
          <w:szCs w:val="20"/>
          <w:color w:val="auto"/>
        </w:rPr>
      </w:pPr>
    </w:p>
    <w:p>
      <w:pPr>
        <w:jc w:val="both"/>
        <w:ind w:left="340"/>
        <w:spacing w:after="0" w:line="255"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(“ASU 2016-02”). ASU 2016-02 amends the existing accounting standards for lease accounting, including requiring lessees to recognize most leases on their balance sheets and making targeted changes to lessor accounting. ASU 2016-02 will be effective beginning in the first quarter of 2019, with early adoption permitted. ASU 2016-02 requires a modified retrospective transition approach for all leases existing at, or entered into after, the date of initial application, with an option to use certain transition relief. The Company’s evaluation of the impact of the new guidance on its consolidated financial statements is ongoing. The Company is currently identifying the lease arrangements within the scope of the new guidance, and evaluating the impact of the lease arrangements.</w:t>
      </w:r>
    </w:p>
    <w:p>
      <w:pPr>
        <w:spacing w:after="0" w:line="232" w:lineRule="exact"/>
        <w:rPr>
          <w:sz w:val="20"/>
          <w:szCs w:val="20"/>
          <w:color w:val="auto"/>
        </w:rPr>
      </w:pPr>
    </w:p>
    <w:p>
      <w:pPr>
        <w:jc w:val="both"/>
        <w:ind w:left="340"/>
        <w:spacing w:after="0" w:line="252" w:lineRule="auto"/>
        <w:rPr>
          <w:sz w:val="20"/>
          <w:szCs w:val="20"/>
          <w:color w:val="auto"/>
        </w:rPr>
      </w:pPr>
      <w:r>
        <w:rPr>
          <w:rFonts w:ascii="Arial" w:cs="Arial" w:eastAsia="Arial" w:hAnsi="Arial"/>
          <w:sz w:val="16"/>
          <w:szCs w:val="16"/>
          <w:color w:val="auto"/>
        </w:rPr>
        <w:t xml:space="preserve">In January 2016, the FASB issued ASU 2016-01, </w:t>
      </w:r>
      <w:r>
        <w:rPr>
          <w:rFonts w:ascii="Arial" w:cs="Arial" w:eastAsia="Arial" w:hAnsi="Arial"/>
          <w:sz w:val="16"/>
          <w:szCs w:val="16"/>
          <w:i w:val="1"/>
          <w:iCs w:val="1"/>
          <w:color w:val="auto"/>
        </w:rPr>
        <w:t>Financial Instruments-Overall (Subtopic 825-10): Recognition and Measurement of Financial Assets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Liabilities </w:t>
      </w:r>
      <w:r>
        <w:rPr>
          <w:rFonts w:ascii="Arial" w:cs="Arial" w:eastAsia="Arial" w:hAnsi="Arial"/>
          <w:sz w:val="16"/>
          <w:szCs w:val="16"/>
          <w:color w:val="auto"/>
        </w:rPr>
        <w:t>(“ASU 2016-01”). ASU 2016-01 requires (i) equity investments, except those accounted for under the equity method of accounting or</w:t>
      </w:r>
      <w:r>
        <w:rPr>
          <w:rFonts w:ascii="Arial" w:cs="Arial" w:eastAsia="Arial" w:hAnsi="Arial"/>
          <w:sz w:val="16"/>
          <w:szCs w:val="16"/>
          <w:i w:val="1"/>
          <w:iCs w:val="1"/>
          <w:color w:val="auto"/>
        </w:rPr>
        <w:t xml:space="preserve"> </w:t>
      </w:r>
      <w:r>
        <w:rPr>
          <w:rFonts w:ascii="Arial" w:cs="Arial" w:eastAsia="Arial" w:hAnsi="Arial"/>
          <w:sz w:val="16"/>
          <w:szCs w:val="16"/>
          <w:color w:val="auto"/>
        </w:rPr>
        <w:t>those that result in consolidation of the investee, to be measured at fair value with changes in fair value recognized in net income, (ii) public business entities to use the exit price notion when measuring the fair value of financial instruments for disclosure purposes, and (iii) separate presentation of financial assets and financial liabilities by measurement category and form of financial asset. ASU 2016-01 also eliminates the requirement for public business entities to disclose the methods and significant assumptions used to estimate the fair value that is required to be disclosed for financial instruments measured at amortized cost. The pronouncement is effective for fiscal years, and interim periods within those years, beginning after December 15, 2017, with early adoption permitted. The Company is currently evaluating the impact of adopting this new guidance on its consolidated financial statements.</w:t>
      </w:r>
    </w:p>
    <w:p>
      <w:pPr>
        <w:spacing w:after="0" w:line="200" w:lineRule="exact"/>
        <w:rPr>
          <w:sz w:val="20"/>
          <w:szCs w:val="20"/>
          <w:color w:val="auto"/>
        </w:rPr>
      </w:pPr>
    </w:p>
    <w:p>
      <w:pPr>
        <w:spacing w:after="0" w:line="226" w:lineRule="exact"/>
        <w:rPr>
          <w:sz w:val="20"/>
          <w:szCs w:val="20"/>
          <w:color w:val="auto"/>
        </w:rPr>
      </w:pPr>
    </w:p>
    <w:p>
      <w:pPr>
        <w:jc w:val="both"/>
        <w:ind w:left="340"/>
        <w:spacing w:after="0" w:line="269" w:lineRule="auto"/>
        <w:rPr>
          <w:sz w:val="20"/>
          <w:szCs w:val="20"/>
          <w:color w:val="auto"/>
        </w:rPr>
      </w:pPr>
      <w:r>
        <w:rPr>
          <w:rFonts w:ascii="Arial" w:cs="Arial" w:eastAsia="Arial" w:hAnsi="Arial"/>
          <w:sz w:val="16"/>
          <w:szCs w:val="16"/>
          <w:color w:val="auto"/>
        </w:rPr>
        <w:t xml:space="preserve">In May 2016, the FASB issued ASU 2016-11, </w:t>
      </w:r>
      <w:r>
        <w:rPr>
          <w:rFonts w:ascii="Arial" w:cs="Arial" w:eastAsia="Arial" w:hAnsi="Arial"/>
          <w:sz w:val="16"/>
          <w:szCs w:val="16"/>
          <w:i w:val="1"/>
          <w:iCs w:val="1"/>
          <w:color w:val="auto"/>
        </w:rPr>
        <w:t>Revenue Recognition (Topic 605) and Derivatives and Hedging (Topic 815): Rescission of SEC Guidance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Because of Accounting Standards Updates 2014-09 and 2014-16 Pursuant to Staff Announcements at the March 3, 2016 EITF Meeting. </w:t>
      </w:r>
      <w:r>
        <w:rPr>
          <w:rFonts w:ascii="Arial" w:cs="Arial" w:eastAsia="Arial" w:hAnsi="Arial"/>
          <w:sz w:val="16"/>
          <w:szCs w:val="16"/>
          <w:color w:val="auto"/>
        </w:rPr>
        <w:t>The Company is</w:t>
      </w:r>
      <w:r>
        <w:rPr>
          <w:rFonts w:ascii="Arial" w:cs="Arial" w:eastAsia="Arial" w:hAnsi="Arial"/>
          <w:sz w:val="16"/>
          <w:szCs w:val="16"/>
          <w:i w:val="1"/>
          <w:iCs w:val="1"/>
          <w:color w:val="auto"/>
        </w:rPr>
        <w:t xml:space="preserve"> </w:t>
      </w:r>
      <w:r>
        <w:rPr>
          <w:rFonts w:ascii="Arial" w:cs="Arial" w:eastAsia="Arial" w:hAnsi="Arial"/>
          <w:sz w:val="16"/>
          <w:szCs w:val="16"/>
          <w:color w:val="auto"/>
        </w:rPr>
        <w:t>currently evaluating the impact of adopting this new guidance on its consolidated financial statements.</w:t>
      </w:r>
    </w:p>
    <w:p>
      <w:pPr>
        <w:spacing w:after="0" w:line="219" w:lineRule="exact"/>
        <w:rPr>
          <w:sz w:val="20"/>
          <w:szCs w:val="20"/>
          <w:color w:val="auto"/>
        </w:rPr>
      </w:pPr>
    </w:p>
    <w:p>
      <w:pPr>
        <w:jc w:val="both"/>
        <w:ind w:left="340"/>
        <w:spacing w:after="0" w:line="251"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 (Topic 326): Measurement of Credit Losses on Financial Instruments</w:t>
      </w:r>
      <w:r>
        <w:rPr>
          <w:rFonts w:ascii="Arial" w:cs="Arial" w:eastAsia="Arial" w:hAnsi="Arial"/>
          <w:sz w:val="16"/>
          <w:szCs w:val="16"/>
          <w:color w:val="auto"/>
        </w:rPr>
        <w:t xml:space="preserve"> (“ASU 2016-13”)</w:t>
      </w:r>
      <w:r>
        <w:rPr>
          <w:rFonts w:ascii="Arial" w:cs="Arial" w:eastAsia="Arial" w:hAnsi="Arial"/>
          <w:sz w:val="16"/>
          <w:szCs w:val="16"/>
          <w:i w:val="1"/>
          <w:iCs w:val="1"/>
          <w:color w:val="auto"/>
        </w:rPr>
        <w:t>.</w:t>
      </w:r>
      <w:r>
        <w:rPr>
          <w:rFonts w:ascii="Arial" w:cs="Arial" w:eastAsia="Arial" w:hAnsi="Arial"/>
          <w:sz w:val="16"/>
          <w:szCs w:val="16"/>
          <w:color w:val="auto"/>
        </w:rPr>
        <w:t xml:space="preserve"> For assets held at amortized cost basis, ASU 2016-13 eliminates the probable initial recognition threshold in current GAAP and, instead, requires an entity to reflect its current estimate of all expected credit losses. The allowance for credit losses is a valuation account that is deducted from the amortized cost basis of the financial assets to present the net amount expected to be collected. For available for sale debt securities, credit losses should be measured in a manner similar to current GAAP, however this ASU requires that credit losses be presented as an allowance rather than as a write-down. This ASU affects entities holding financial assets and net investment in leases that are not accounted for at fair value through net income. The amendments affect loans, debt securities, trade receivables, net investments in leases, off balance sheet credit exposures, reinsurance receivables, and any other financial assets not excluded from the scope that have the contractual right to receive cash. ASU 2016-13 will be effective for fiscal years beginning after December 15, 2019, including interim periods within those fiscal years. The Company is currently evaluating the impact of adopting this new guidance on its consolidated financial statements.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17" w:right="239" w:bottom="1440" w:gutter="0" w:footer="0" w:header="0"/>
        </w:sectPr>
      </w:pPr>
    </w:p>
    <w:bookmarkStart w:id="14" w:name="page15"/>
    <w:bookmarkEnd w:id="14"/>
    <w:p>
      <w:pPr>
        <w:ind w:right="382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In August 2016, the FASB issued ASU 2016-15, </w:t>
      </w:r>
      <w:r>
        <w:rPr>
          <w:rFonts w:ascii="Arial" w:cs="Arial" w:eastAsia="Arial" w:hAnsi="Arial"/>
          <w:sz w:val="16"/>
          <w:szCs w:val="16"/>
          <w:i w:val="1"/>
          <w:iCs w:val="1"/>
          <w:color w:val="auto"/>
        </w:rPr>
        <w:t>Statement of Cash Flows: Classification of Certain Cash Receipts and Cash Payments</w:t>
      </w:r>
      <w:r>
        <w:rPr>
          <w:rFonts w:ascii="Arial" w:cs="Arial" w:eastAsia="Arial" w:hAnsi="Arial"/>
          <w:sz w:val="16"/>
          <w:szCs w:val="16"/>
          <w:color w:val="auto"/>
        </w:rPr>
        <w:t xml:space="preserve"> (“ASU 2016-15”)</w:t>
      </w:r>
      <w:r>
        <w:rPr>
          <w:rFonts w:ascii="Arial" w:cs="Arial" w:eastAsia="Arial" w:hAnsi="Arial"/>
          <w:sz w:val="16"/>
          <w:szCs w:val="16"/>
          <w:i w:val="1"/>
          <w:iCs w:val="1"/>
          <w:color w:val="auto"/>
        </w:rPr>
        <w:t>.</w:t>
      </w:r>
    </w:p>
    <w:p>
      <w:pPr>
        <w:spacing w:after="0" w:line="25" w:lineRule="exact"/>
        <w:rPr>
          <w:sz w:val="20"/>
          <w:szCs w:val="20"/>
          <w:color w:val="auto"/>
        </w:rPr>
      </w:pPr>
    </w:p>
    <w:p>
      <w:pPr>
        <w:jc w:val="both"/>
        <w:ind w:left="340"/>
        <w:spacing w:after="0" w:line="249" w:lineRule="auto"/>
        <w:rPr>
          <w:sz w:val="20"/>
          <w:szCs w:val="20"/>
          <w:color w:val="auto"/>
        </w:rPr>
      </w:pPr>
      <w:r>
        <w:rPr>
          <w:rFonts w:ascii="Arial" w:cs="Arial" w:eastAsia="Arial" w:hAnsi="Arial"/>
          <w:sz w:val="16"/>
          <w:szCs w:val="16"/>
          <w:color w:val="auto"/>
        </w:rPr>
        <w:t>ASU 2016-15 addresses the following eight specific cash flow issues: (i) debt prepayment or debt extinguishment costs; (ii) settlement of zero-coupon debt instruments or other debt instruments with coupon interest rates that are insignificant in relation to the effective interest rate of the borrowing; (iii) contingent consideration payments made after a business combination; (iv) proceeds from the settlement of insurance claims; (v) proceeds from the settlement of corporate-owned life insurance policies (COLIs); (vi) distributions received from equity method investees; (vii) beneficial interests in securitization transactions; (viii) and separately identifiable cash flows and application of the predominance principle. ASU 2016-15 will be effective for fiscal years beginning after December 15, 2017, and interim periods within those fiscal years. Early adoption is permitted, including adoption in an interim period. The Company is currently evaluating the impact of adopting this new guidance on its consolidated financial statements.</w:t>
      </w:r>
    </w:p>
    <w:p>
      <w:pPr>
        <w:spacing w:after="0" w:line="237" w:lineRule="exact"/>
        <w:rPr>
          <w:sz w:val="20"/>
          <w:szCs w:val="20"/>
          <w:color w:val="auto"/>
        </w:rPr>
      </w:pPr>
    </w:p>
    <w:p>
      <w:pPr>
        <w:jc w:val="both"/>
        <w:ind w:left="340"/>
        <w:spacing w:after="0" w:line="252" w:lineRule="auto"/>
        <w:rPr>
          <w:sz w:val="20"/>
          <w:szCs w:val="20"/>
          <w:color w:val="auto"/>
        </w:rPr>
      </w:pPr>
      <w:r>
        <w:rPr>
          <w:rFonts w:ascii="Arial" w:cs="Arial" w:eastAsia="Arial" w:hAnsi="Arial"/>
          <w:sz w:val="16"/>
          <w:szCs w:val="16"/>
          <w:color w:val="auto"/>
        </w:rPr>
        <w:t xml:space="preserve">In October 2016, the FASB issued ASU 2016-16, </w:t>
      </w:r>
      <w:r>
        <w:rPr>
          <w:rFonts w:ascii="Arial" w:cs="Arial" w:eastAsia="Arial" w:hAnsi="Arial"/>
          <w:sz w:val="16"/>
          <w:szCs w:val="16"/>
          <w:i w:val="1"/>
          <w:iCs w:val="1"/>
          <w:color w:val="auto"/>
        </w:rPr>
        <w:t>Income Taxes (Topic 740): Intra-Entity Transfers of Assets Other Than Inventory (“ASU 2016-16”).</w:t>
      </w:r>
      <w:r>
        <w:rPr>
          <w:rFonts w:ascii="Arial" w:cs="Arial" w:eastAsia="Arial" w:hAnsi="Arial"/>
          <w:sz w:val="16"/>
          <w:szCs w:val="16"/>
          <w:color w:val="auto"/>
        </w:rPr>
        <w:t xml:space="preserve"> ASU 2016-16 prohibits the recognition of current and deferred income taxes for an intra-entity asset transfer until the asset has been sold to an outside party. In addition, interpretations of this guidance have developed in practice for transfers of certain intangible and tangible assets. This prohibition on recognition is an exception to the principle of comprehensive recognition of current and deferred income taxes in GAAP. To more faithfully represent the economics of intra-entity asset transfers, the amendments ASU 2016-16 require that entities recognize the income tax consequences of an intra-entity transfer of an asset other than inventory when the transfer occurs. The amendments in ASU 2016-16 do not change GAAP for the pre-tax effects of an intra-entity asset transfer under Topic 810, </w:t>
      </w:r>
      <w:r>
        <w:rPr>
          <w:rFonts w:ascii="Arial" w:cs="Arial" w:eastAsia="Arial" w:hAnsi="Arial"/>
          <w:sz w:val="16"/>
          <w:szCs w:val="16"/>
          <w:i w:val="1"/>
          <w:iCs w:val="1"/>
          <w:color w:val="auto"/>
        </w:rPr>
        <w:t>Consolidation,</w:t>
      </w:r>
      <w:r>
        <w:rPr>
          <w:rFonts w:ascii="Arial" w:cs="Arial" w:eastAsia="Arial" w:hAnsi="Arial"/>
          <w:sz w:val="16"/>
          <w:szCs w:val="16"/>
          <w:color w:val="auto"/>
        </w:rPr>
        <w:t xml:space="preserve"> or for an intra-entity transfer of inventory. ASU 2016-16 will be effective for annual reporting periods beginning after December 15, 2017, and interim periods within those annual reporting periods. Early adoption is permitted, including adoption in an interim period. The Company is currently evaluating the impact of adopting this new guidance on its consolidated financial statements.</w:t>
      </w:r>
    </w:p>
    <w:p>
      <w:pPr>
        <w:spacing w:after="0" w:line="233" w:lineRule="exact"/>
        <w:rPr>
          <w:sz w:val="20"/>
          <w:szCs w:val="20"/>
          <w:color w:val="auto"/>
        </w:rPr>
      </w:pPr>
    </w:p>
    <w:p>
      <w:pPr>
        <w:jc w:val="both"/>
        <w:ind w:left="340"/>
        <w:spacing w:after="0" w:line="252" w:lineRule="auto"/>
        <w:rPr>
          <w:sz w:val="20"/>
          <w:szCs w:val="20"/>
          <w:color w:val="auto"/>
        </w:rPr>
      </w:pPr>
      <w:r>
        <w:rPr>
          <w:rFonts w:ascii="Arial" w:cs="Arial" w:eastAsia="Arial" w:hAnsi="Arial"/>
          <w:sz w:val="16"/>
          <w:szCs w:val="16"/>
          <w:color w:val="auto"/>
        </w:rPr>
        <w:t xml:space="preserve">In November 2016, the FASB issued ASU 2016-18, </w:t>
      </w:r>
      <w:r>
        <w:rPr>
          <w:rFonts w:ascii="Arial" w:cs="Arial" w:eastAsia="Arial" w:hAnsi="Arial"/>
          <w:sz w:val="16"/>
          <w:szCs w:val="16"/>
          <w:i w:val="1"/>
          <w:iCs w:val="1"/>
          <w:color w:val="auto"/>
        </w:rPr>
        <w:t>Statement of Cash Flows (Topic 230): Restricted Cash (“ASU 2016-18”)</w:t>
      </w:r>
      <w:r>
        <w:rPr>
          <w:rFonts w:ascii="Arial" w:cs="Arial" w:eastAsia="Arial" w:hAnsi="Arial"/>
          <w:sz w:val="16"/>
          <w:szCs w:val="16"/>
          <w:color w:val="auto"/>
        </w:rPr>
        <w:t>. ASU 2016-18 addresses the diversity in the classification and presentation of changes in restricted cash on the statement of cash flows under Topic 230, Statement of Cash Flows. The amendments in ASU 2016-18 require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The amendments in this ASU apply to all entities that have restricted cash or restricted cash equivalents and are required to present a statement of cash flows under Topic 230. ASU 2016-18 will be effective for fiscal years beginning after December 15, 2017, and interim periods within those fiscal years. Early adoption is permitted, including adoption in an interim period. The Company is currently evaluating the impact of adopting this new guidance on its consolidated financial statements.</w:t>
      </w:r>
    </w:p>
    <w:p>
      <w:pPr>
        <w:spacing w:after="0" w:line="233"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 xml:space="preserve">In January 2017, the FASB issued ASU 2017-03, </w:t>
      </w:r>
      <w:r>
        <w:rPr>
          <w:rFonts w:ascii="Arial" w:cs="Arial" w:eastAsia="Arial" w:hAnsi="Arial"/>
          <w:sz w:val="16"/>
          <w:szCs w:val="16"/>
          <w:i w:val="1"/>
          <w:iCs w:val="1"/>
          <w:color w:val="auto"/>
        </w:rPr>
        <w:t>Accounting Changes and Error Corrections (Topic 250) and Investments—Equity Method and Joint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Ventures (Topic 323) (“ASU 2017-03”). </w:t>
      </w:r>
      <w:r>
        <w:rPr>
          <w:rFonts w:ascii="Arial" w:cs="Arial" w:eastAsia="Arial" w:hAnsi="Arial"/>
          <w:sz w:val="16"/>
          <w:szCs w:val="16"/>
          <w:color w:val="auto"/>
        </w:rPr>
        <w:t>ASU 2017-03 adds and amends SEC paragraphs pursuant to the SEC Staff Announcements at the September 22,</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2016 and November 17, 2016 Emerging Issues Task Force (EITF) meetings. The September announcement is about the disclosure of the impact that recently issued accounting standards will have on the financial statements of a registrant when such standards are adopted in a future period. The November announcement made amendments to conform the SEC Observer Comment on Accounting for Tax Benefits Resulting from Investments in Qualified Affordable Housing Projects to the guidance issued in ASU 2014-01, </w:t>
      </w:r>
      <w:r>
        <w:rPr>
          <w:rFonts w:ascii="Arial" w:cs="Arial" w:eastAsia="Arial" w:hAnsi="Arial"/>
          <w:sz w:val="16"/>
          <w:szCs w:val="16"/>
          <w:i w:val="1"/>
          <w:iCs w:val="1"/>
          <w:color w:val="auto"/>
        </w:rPr>
        <w:t>Investments—Equity Method and Joint Ventures (Topic 323): 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Investments in Qualified Affordable Housing Projects. </w:t>
      </w:r>
      <w:r>
        <w:rPr>
          <w:rFonts w:ascii="Arial" w:cs="Arial" w:eastAsia="Arial" w:hAnsi="Arial"/>
          <w:sz w:val="16"/>
          <w:szCs w:val="16"/>
          <w:color w:val="auto"/>
        </w:rPr>
        <w:t>The Company is currently evaluating the impact of adopting this new guidance on its consolidated</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statements.</w:t>
      </w:r>
    </w:p>
    <w:p>
      <w:pPr>
        <w:spacing w:after="0" w:line="231" w:lineRule="exact"/>
        <w:rPr>
          <w:sz w:val="20"/>
          <w:szCs w:val="20"/>
          <w:color w:val="auto"/>
        </w:rPr>
      </w:pPr>
    </w:p>
    <w:p>
      <w:pPr>
        <w:jc w:val="both"/>
        <w:ind w:left="340"/>
        <w:spacing w:after="0" w:line="255" w:lineRule="auto"/>
        <w:rPr>
          <w:sz w:val="20"/>
          <w:szCs w:val="20"/>
          <w:color w:val="auto"/>
        </w:rPr>
      </w:pPr>
      <w:r>
        <w:rPr>
          <w:rFonts w:ascii="Arial" w:cs="Arial" w:eastAsia="Arial" w:hAnsi="Arial"/>
          <w:sz w:val="16"/>
          <w:szCs w:val="16"/>
          <w:color w:val="auto"/>
        </w:rPr>
        <w:t xml:space="preserve">In January 2017, the FASB issued ASU 2017-04, </w:t>
      </w:r>
      <w:r>
        <w:rPr>
          <w:rFonts w:ascii="Arial" w:cs="Arial" w:eastAsia="Arial" w:hAnsi="Arial"/>
          <w:sz w:val="16"/>
          <w:szCs w:val="16"/>
          <w:i w:val="1"/>
          <w:iCs w:val="1"/>
          <w:color w:val="auto"/>
        </w:rPr>
        <w:t xml:space="preserve">Intangibles—Goodwill and Other (Topic 350): Simplifying the Test for Goodwill Impairment (“ASU 2017-04”). </w:t>
      </w:r>
      <w:r>
        <w:rPr>
          <w:rFonts w:ascii="Arial" w:cs="Arial" w:eastAsia="Arial" w:hAnsi="Arial"/>
          <w:sz w:val="16"/>
          <w:szCs w:val="16"/>
          <w:color w:val="auto"/>
        </w:rPr>
        <w:t>ASU 2017-04 addresses concerns over the cost and complexity of the two-step goodwill impairment test by removing the second step of the test. An</w:t>
      </w:r>
      <w:r>
        <w:rPr>
          <w:rFonts w:ascii="Arial" w:cs="Arial" w:eastAsia="Arial" w:hAnsi="Arial"/>
          <w:sz w:val="16"/>
          <w:szCs w:val="16"/>
          <w:i w:val="1"/>
          <w:iCs w:val="1"/>
          <w:color w:val="auto"/>
        </w:rPr>
        <w:t xml:space="preserve"> </w:t>
      </w:r>
      <w:r>
        <w:rPr>
          <w:rFonts w:ascii="Arial" w:cs="Arial" w:eastAsia="Arial" w:hAnsi="Arial"/>
          <w:sz w:val="16"/>
          <w:szCs w:val="16"/>
          <w:color w:val="auto"/>
        </w:rPr>
        <w:t>entity will apply a one-step quantitative test and record the amount of goodwill impairment as the excess of a reporting unit's carrying amount over its fair value, not to exceed the total amount of goodwill allocated to the reporting unit. The new guidance does not amend the optional qualitative assessment of goodwill impairment. ASU 2017-01 will be effective for fiscal years beginning after December 15, 2019, and interim periods within those fiscal years. The Company is currently evaluating the impact of adopting this new guidance on its consolidated financial statements.</w:t>
      </w:r>
    </w:p>
    <w:p>
      <w:pPr>
        <w:spacing w:after="0" w:line="124" w:lineRule="exact"/>
        <w:rPr>
          <w:sz w:val="20"/>
          <w:szCs w:val="20"/>
          <w:color w:val="auto"/>
        </w:rPr>
      </w:pPr>
    </w:p>
    <w:p>
      <w:pPr>
        <w:jc w:val="both"/>
        <w:ind w:left="340"/>
        <w:spacing w:after="0" w:line="252" w:lineRule="auto"/>
        <w:rPr>
          <w:sz w:val="20"/>
          <w:szCs w:val="20"/>
          <w:color w:val="auto"/>
        </w:rPr>
      </w:pPr>
      <w:r>
        <w:rPr>
          <w:rFonts w:ascii="Arial" w:cs="Arial" w:eastAsia="Arial" w:hAnsi="Arial"/>
          <w:sz w:val="16"/>
          <w:szCs w:val="16"/>
          <w:color w:val="auto"/>
        </w:rPr>
        <w:t xml:space="preserve">In February 2017, the FASB issued ASU 2017-05, </w:t>
      </w:r>
      <w:r>
        <w:rPr>
          <w:rFonts w:ascii="Arial" w:cs="Arial" w:eastAsia="Arial" w:hAnsi="Arial"/>
          <w:sz w:val="16"/>
          <w:szCs w:val="16"/>
          <w:i w:val="1"/>
          <w:iCs w:val="1"/>
          <w:color w:val="auto"/>
        </w:rPr>
        <w:t>Other Income—Gains and Losses from the Derecognition of Nonfinancial Assets (Subtopic 610-20)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Clarifying the Scope of Asset Derecognition Guidance and Accounting for Partial Sales of Nonfinancial Assets (“ASU 2017-05”). </w:t>
      </w:r>
      <w:r>
        <w:rPr>
          <w:rFonts w:ascii="Arial" w:cs="Arial" w:eastAsia="Arial" w:hAnsi="Arial"/>
          <w:sz w:val="16"/>
          <w:szCs w:val="16"/>
          <w:color w:val="auto"/>
        </w:rPr>
        <w:t>ASU 2017-05</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amendments the scope of the nonfinancial asset guidance in Subtopic 610-20. The amendments also clarify that the derecognition of all businesses and nonprofit activities (except those related to conveyances of oil and gas mineral rights or contracts with customers) should be accounted for in accordance with the derecognition and deconsolidation guidance in Subtopic 810-10. In addition, the amendments eliminate the exception in the financial asset guidance for transfers of investments (including equity method investments) in real estate entities and supersede the guidance in the Exchanges of a Nonfinancial Asset for a Noncontrolling Ownership Interest Subsection within Topic 845. The amendments in ASU 2017-05 also provide guidance on the accounting for what often are referred to as partial sales of nonfinancial assets within the scope of Subtopic 610-20 and contributions of nonfinancial assets to a joint venture or other noncontrolled investee.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17" w:right="239" w:bottom="1440" w:gutter="0" w:footer="0" w:header="0"/>
        </w:sectPr>
      </w:pPr>
    </w:p>
    <w:bookmarkStart w:id="15" w:name="page16"/>
    <w:bookmarkEnd w:id="15"/>
    <w:p>
      <w:pPr>
        <w:ind w:right="382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7" w:lineRule="exact"/>
        <w:rPr>
          <w:sz w:val="20"/>
          <w:szCs w:val="20"/>
          <w:color w:val="auto"/>
        </w:rPr>
      </w:pPr>
    </w:p>
    <w:p>
      <w:pPr>
        <w:jc w:val="both"/>
        <w:ind w:left="340"/>
        <w:spacing w:after="0" w:line="291" w:lineRule="auto"/>
        <w:rPr>
          <w:sz w:val="20"/>
          <w:szCs w:val="20"/>
          <w:color w:val="auto"/>
        </w:rPr>
      </w:pPr>
      <w:r>
        <w:rPr>
          <w:rFonts w:ascii="Arial" w:cs="Arial" w:eastAsia="Arial" w:hAnsi="Arial"/>
          <w:sz w:val="16"/>
          <w:szCs w:val="16"/>
          <w:color w:val="auto"/>
        </w:rPr>
        <w:t>ASU 2017-05 will be effective for annual reporting periods beginning after December 15, 2017, and interim periods within those fiscal years. The Company is currently evaluating the impact of adopting this new guidance on its consolidated financial statements.</w:t>
      </w:r>
    </w:p>
    <w:p>
      <w:pPr>
        <w:spacing w:after="0" w:line="94" w:lineRule="exact"/>
        <w:rPr>
          <w:sz w:val="20"/>
          <w:szCs w:val="20"/>
          <w:color w:val="auto"/>
        </w:rPr>
      </w:pPr>
    </w:p>
    <w:p>
      <w:pPr>
        <w:jc w:val="both"/>
        <w:ind w:left="340"/>
        <w:spacing w:after="0" w:line="257" w:lineRule="auto"/>
        <w:rPr>
          <w:sz w:val="20"/>
          <w:szCs w:val="20"/>
          <w:color w:val="auto"/>
        </w:rPr>
      </w:pPr>
      <w:r>
        <w:rPr>
          <w:rFonts w:ascii="Arial" w:cs="Arial" w:eastAsia="Arial" w:hAnsi="Arial"/>
          <w:sz w:val="16"/>
          <w:szCs w:val="16"/>
          <w:color w:val="auto"/>
        </w:rPr>
        <w:t xml:space="preserve">In February 2017, the FASB issued ASU 2017-07, </w:t>
      </w:r>
      <w:r>
        <w:rPr>
          <w:rFonts w:ascii="Arial" w:cs="Arial" w:eastAsia="Arial" w:hAnsi="Arial"/>
          <w:sz w:val="16"/>
          <w:szCs w:val="16"/>
          <w:i w:val="1"/>
          <w:iCs w:val="1"/>
          <w:color w:val="auto"/>
        </w:rPr>
        <w:t>Compensation—Retirement Benefits (Topic 715): Improving the Presentation of Net Periodic Pension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Cost and Net Periodic Postretirement Benefit Cost (“ASU 2017-07”). </w:t>
      </w:r>
      <w:r>
        <w:rPr>
          <w:rFonts w:ascii="Arial" w:cs="Arial" w:eastAsia="Arial" w:hAnsi="Arial"/>
          <w:sz w:val="16"/>
          <w:szCs w:val="16"/>
          <w:color w:val="auto"/>
        </w:rPr>
        <w:t>ASU 2017-07 requires an entity to present net periodic pension cost and net periodic</w:t>
      </w:r>
      <w:r>
        <w:rPr>
          <w:rFonts w:ascii="Arial" w:cs="Arial" w:eastAsia="Arial" w:hAnsi="Arial"/>
          <w:sz w:val="16"/>
          <w:szCs w:val="16"/>
          <w:i w:val="1"/>
          <w:iCs w:val="1"/>
          <w:color w:val="auto"/>
        </w:rPr>
        <w:t xml:space="preserve"> </w:t>
      </w:r>
      <w:r>
        <w:rPr>
          <w:rFonts w:ascii="Arial" w:cs="Arial" w:eastAsia="Arial" w:hAnsi="Arial"/>
          <w:sz w:val="16"/>
          <w:szCs w:val="16"/>
          <w:color w:val="auto"/>
        </w:rPr>
        <w:t>postretirement benefit cost as a net amount that may be capitalized as part of an asset where appropriate. ASU 2017-06 will be effective for annual periods beginning after December 15, 2017, and interim periods within those annual periods. The Company is currently evaluating the impact of adopting this new guidance on its consolidated financial statements but does not except any material impact on its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3. LEASING EQUIPMENT, NET</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Leasing equipment, net is summarized as follows:</w:t>
      </w:r>
    </w:p>
    <w:p>
      <w:pPr>
        <w:spacing w:after="0" w:line="238"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7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2017</w:t>
            </w:r>
          </w:p>
        </w:tc>
        <w:tc>
          <w:tcPr>
            <w:tcW w:w="180" w:type="dxa"/>
            <w:vAlign w:val="bottom"/>
          </w:tcPr>
          <w:p>
            <w:pPr>
              <w:spacing w:after="0"/>
              <w:rPr>
                <w:sz w:val="17"/>
                <w:szCs w:val="17"/>
                <w:color w:val="auto"/>
              </w:rPr>
            </w:pPr>
          </w:p>
        </w:tc>
        <w:tc>
          <w:tcPr>
            <w:tcW w:w="1580" w:type="dxa"/>
            <w:vAlign w:val="bottom"/>
          </w:tcPr>
          <w:p>
            <w:pPr>
              <w:jc w:val="right"/>
              <w:ind w:right="168"/>
              <w:spacing w:after="0"/>
              <w:rPr>
                <w:sz w:val="20"/>
                <w:szCs w:val="20"/>
                <w:color w:val="auto"/>
              </w:rPr>
            </w:pPr>
            <w:r>
              <w:rPr>
                <w:rFonts w:ascii="Arial" w:cs="Arial" w:eastAsia="Arial" w:hAnsi="Arial"/>
                <w:sz w:val="14"/>
                <w:szCs w:val="14"/>
                <w:color w:val="auto"/>
              </w:rPr>
              <w:t>December 31, 2016</w:t>
            </w:r>
          </w:p>
        </w:tc>
      </w:tr>
      <w:tr>
        <w:trPr>
          <w:trHeight w:val="250"/>
        </w:trPr>
        <w:tc>
          <w:tcPr>
            <w:tcW w:w="7400" w:type="dxa"/>
            <w:vAlign w:val="bottom"/>
          </w:tcPr>
          <w:p>
            <w:pPr>
              <w:ind w:left="20"/>
              <w:spacing w:after="0"/>
              <w:rPr>
                <w:sz w:val="20"/>
                <w:szCs w:val="20"/>
                <w:color w:val="auto"/>
              </w:rPr>
            </w:pPr>
            <w:r>
              <w:rPr>
                <w:rFonts w:ascii="Arial" w:cs="Arial" w:eastAsia="Arial" w:hAnsi="Arial"/>
                <w:sz w:val="14"/>
                <w:szCs w:val="14"/>
                <w:color w:val="auto"/>
              </w:rPr>
              <w:t>Leasing equipment</w:t>
            </w:r>
          </w:p>
        </w:tc>
        <w:tc>
          <w:tcPr>
            <w:tcW w:w="2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5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926,164</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849,565</w:t>
            </w:r>
          </w:p>
        </w:tc>
      </w:tr>
      <w:tr>
        <w:trPr>
          <w:trHeight w:val="270"/>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Accumulated depreciation</w:t>
            </w:r>
          </w:p>
        </w:tc>
        <w:tc>
          <w:tcPr>
            <w:tcW w:w="24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(96,889)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(84,110)</w:t>
            </w:r>
          </w:p>
        </w:tc>
      </w:tr>
      <w:tr>
        <w:trPr>
          <w:trHeight w:val="238"/>
        </w:trPr>
        <w:tc>
          <w:tcPr>
            <w:tcW w:w="7400" w:type="dxa"/>
            <w:vAlign w:val="bottom"/>
          </w:tcPr>
          <w:p>
            <w:pPr>
              <w:ind w:left="20"/>
              <w:spacing w:after="0"/>
              <w:rPr>
                <w:sz w:val="20"/>
                <w:szCs w:val="20"/>
                <w:color w:val="auto"/>
              </w:rPr>
            </w:pPr>
            <w:r>
              <w:rPr>
                <w:rFonts w:ascii="Arial" w:cs="Arial" w:eastAsia="Arial" w:hAnsi="Arial"/>
                <w:sz w:val="14"/>
                <w:szCs w:val="14"/>
                <w:b w:val="1"/>
                <w:bCs w:val="1"/>
                <w:color w:val="auto"/>
              </w:rPr>
              <w:t>Leasing equipment, net</w:t>
            </w: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829,275</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765,455</w:t>
            </w:r>
          </w:p>
        </w:tc>
      </w:tr>
      <w:tr>
        <w:trPr>
          <w:trHeight w:val="20"/>
        </w:trPr>
        <w:tc>
          <w:tcPr>
            <w:tcW w:w="7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the three months ended March 31, 2017, the Company acquired six aircraft and twelve commercial jet engines, and sold one aircraft.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Depreciation expense for leasing equipment is summarized as follows:</w:t>
      </w:r>
    </w:p>
    <w:p>
      <w:pPr>
        <w:spacing w:after="0" w:line="238" w:lineRule="exact"/>
        <w:rPr>
          <w:sz w:val="20"/>
          <w:szCs w:val="20"/>
          <w:color w:val="auto"/>
        </w:rPr>
      </w:pPr>
    </w:p>
    <w:p>
      <w:pPr>
        <w:ind w:left="848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27305</wp:posOffset>
            </wp:positionV>
            <wp:extent cx="23069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0" w:type="dxa"/>
            <w:vAlign w:val="bottom"/>
          </w:tcPr>
          <w:p>
            <w:pPr>
              <w:spacing w:after="0"/>
              <w:rPr>
                <w:sz w:val="17"/>
                <w:szCs w:val="17"/>
                <w:color w:val="auto"/>
              </w:rPr>
            </w:pPr>
          </w:p>
        </w:tc>
        <w:tc>
          <w:tcPr>
            <w:tcW w:w="738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2016</w:t>
            </w:r>
          </w:p>
        </w:tc>
        <w:tc>
          <w:tcPr>
            <w:tcW w:w="60" w:type="dxa"/>
            <w:vAlign w:val="bottom"/>
          </w:tcPr>
          <w:p>
            <w:pPr>
              <w:spacing w:after="0"/>
              <w:rPr>
                <w:sz w:val="17"/>
                <w:szCs w:val="17"/>
                <w:color w:val="auto"/>
              </w:rPr>
            </w:pPr>
          </w:p>
        </w:tc>
      </w:tr>
      <w:tr>
        <w:trPr>
          <w:trHeight w:val="251"/>
        </w:trPr>
        <w:tc>
          <w:tcPr>
            <w:tcW w:w="340" w:type="dxa"/>
            <w:vAlign w:val="bottom"/>
          </w:tcPr>
          <w:p>
            <w:pPr>
              <w:spacing w:after="0"/>
              <w:rPr>
                <w:sz w:val="21"/>
                <w:szCs w:val="21"/>
                <w:color w:val="auto"/>
              </w:rPr>
            </w:pPr>
          </w:p>
        </w:tc>
        <w:tc>
          <w:tcPr>
            <w:tcW w:w="7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expense for leasing equipment</w:t>
            </w: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13,173</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9,292</w:t>
            </w:r>
          </w:p>
        </w:tc>
        <w:tc>
          <w:tcPr>
            <w:tcW w:w="60" w:type="dxa"/>
            <w:vAlign w:val="bottom"/>
          </w:tcPr>
          <w:p>
            <w:pPr>
              <w:spacing w:after="0"/>
              <w:rPr>
                <w:sz w:val="21"/>
                <w:szCs w:val="21"/>
                <w:color w:val="auto"/>
              </w:rPr>
            </w:pPr>
          </w:p>
        </w:tc>
      </w:tr>
      <w:tr>
        <w:trPr>
          <w:trHeight w:val="445"/>
        </w:trPr>
        <w:tc>
          <w:tcPr>
            <w:tcW w:w="7720" w:type="dxa"/>
            <w:vAlign w:val="bottom"/>
            <w:gridSpan w:val="2"/>
          </w:tcPr>
          <w:p>
            <w:pPr>
              <w:spacing w:after="0"/>
              <w:rPr>
                <w:sz w:val="20"/>
                <w:szCs w:val="20"/>
                <w:color w:val="auto"/>
              </w:rPr>
            </w:pPr>
            <w:r>
              <w:rPr>
                <w:rFonts w:ascii="Arial" w:cs="Arial" w:eastAsia="Arial" w:hAnsi="Arial"/>
                <w:sz w:val="22"/>
                <w:szCs w:val="22"/>
                <w:b w:val="1"/>
                <w:bCs w:val="1"/>
                <w:color w:val="00497F"/>
              </w:rPr>
              <w:t>4. FINANCE LEASES, NET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50"/>
        </w:trPr>
        <w:tc>
          <w:tcPr>
            <w:tcW w:w="340" w:type="dxa"/>
            <w:vAlign w:val="bottom"/>
          </w:tcPr>
          <w:p>
            <w:pPr>
              <w:spacing w:after="0"/>
              <w:rPr>
                <w:sz w:val="24"/>
                <w:szCs w:val="24"/>
                <w:color w:val="auto"/>
              </w:rPr>
            </w:pPr>
          </w:p>
        </w:tc>
        <w:tc>
          <w:tcPr>
            <w:tcW w:w="7380" w:type="dxa"/>
            <w:vAlign w:val="bottom"/>
          </w:tcPr>
          <w:p>
            <w:pPr>
              <w:spacing w:after="0"/>
              <w:rPr>
                <w:sz w:val="20"/>
                <w:szCs w:val="20"/>
                <w:color w:val="auto"/>
              </w:rPr>
            </w:pPr>
            <w:r>
              <w:rPr>
                <w:rFonts w:ascii="Arial" w:cs="Arial" w:eastAsia="Arial" w:hAnsi="Arial"/>
                <w:sz w:val="16"/>
                <w:szCs w:val="16"/>
                <w:color w:val="auto"/>
              </w:rPr>
              <w:t>Finance leases, net are summarized as follows:</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8"/>
        </w:trPr>
        <w:tc>
          <w:tcPr>
            <w:tcW w:w="34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gridSpan w:val="3"/>
          </w:tcPr>
          <w:p>
            <w:pPr>
              <w:ind w:left="140"/>
              <w:spacing w:after="0"/>
              <w:rPr>
                <w:sz w:val="20"/>
                <w:szCs w:val="20"/>
                <w:color w:val="auto"/>
              </w:rPr>
            </w:pPr>
            <w:r>
              <w:rPr>
                <w:rFonts w:ascii="Arial" w:cs="Arial" w:eastAsia="Arial" w:hAnsi="Arial"/>
                <w:sz w:val="14"/>
                <w:szCs w:val="14"/>
                <w:b w:val="1"/>
                <w:bCs w:val="1"/>
                <w:color w:val="auto"/>
              </w:rPr>
              <w:t>March 31, 2017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2"/>
          </w:tcPr>
          <w:p>
            <w:pPr>
              <w:ind w:left="80"/>
              <w:spacing w:after="0"/>
              <w:rPr>
                <w:sz w:val="20"/>
                <w:szCs w:val="20"/>
                <w:color w:val="auto"/>
              </w:rPr>
            </w:pPr>
            <w:r>
              <w:rPr>
                <w:rFonts w:ascii="Arial" w:cs="Arial" w:eastAsia="Arial" w:hAnsi="Arial"/>
                <w:sz w:val="14"/>
                <w:szCs w:val="14"/>
                <w:color w:val="auto"/>
              </w:rPr>
              <w:t>December 31, 2016</w:t>
            </w:r>
          </w:p>
        </w:tc>
      </w:tr>
      <w:tr>
        <w:trPr>
          <w:trHeight w:val="29"/>
        </w:trPr>
        <w:tc>
          <w:tcPr>
            <w:tcW w:w="340" w:type="dxa"/>
            <w:vAlign w:val="bottom"/>
          </w:tcPr>
          <w:p>
            <w:pPr>
              <w:spacing w:after="0"/>
              <w:rPr>
                <w:sz w:val="2"/>
                <w:szCs w:val="2"/>
                <w:color w:val="auto"/>
              </w:rPr>
            </w:pPr>
          </w:p>
        </w:tc>
        <w:tc>
          <w:tcPr>
            <w:tcW w:w="7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49"/>
        </w:trPr>
        <w:tc>
          <w:tcPr>
            <w:tcW w:w="340" w:type="dxa"/>
            <w:vAlign w:val="bottom"/>
          </w:tcPr>
          <w:p>
            <w:pPr>
              <w:spacing w:after="0"/>
              <w:rPr>
                <w:sz w:val="21"/>
                <w:szCs w:val="21"/>
                <w:color w:val="auto"/>
              </w:rPr>
            </w:pPr>
          </w:p>
        </w:tc>
        <w:tc>
          <w:tcPr>
            <w:tcW w:w="7380" w:type="dxa"/>
            <w:vAlign w:val="bottom"/>
          </w:tcPr>
          <w:p>
            <w:pPr>
              <w:ind w:left="20"/>
              <w:spacing w:after="0"/>
              <w:rPr>
                <w:sz w:val="20"/>
                <w:szCs w:val="20"/>
                <w:color w:val="auto"/>
              </w:rPr>
            </w:pPr>
            <w:r>
              <w:rPr>
                <w:rFonts w:ascii="Arial" w:cs="Arial" w:eastAsia="Arial" w:hAnsi="Arial"/>
                <w:sz w:val="14"/>
                <w:szCs w:val="14"/>
                <w:color w:val="auto"/>
              </w:rPr>
              <w:t>Finance leases</w:t>
            </w:r>
          </w:p>
        </w:tc>
        <w:tc>
          <w:tcPr>
            <w:tcW w:w="3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17,524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18,022</w:t>
            </w:r>
          </w:p>
        </w:tc>
        <w:tc>
          <w:tcPr>
            <w:tcW w:w="60" w:type="dxa"/>
            <w:vAlign w:val="bottom"/>
          </w:tcPr>
          <w:p>
            <w:pPr>
              <w:spacing w:after="0"/>
              <w:rPr>
                <w:sz w:val="21"/>
                <w:szCs w:val="21"/>
                <w:color w:val="auto"/>
              </w:rPr>
            </w:pPr>
          </w:p>
        </w:tc>
      </w:tr>
      <w:tr>
        <w:trPr>
          <w:trHeight w:val="270"/>
        </w:trPr>
        <w:tc>
          <w:tcPr>
            <w:tcW w:w="340" w:type="dxa"/>
            <w:vAlign w:val="bottom"/>
          </w:tcPr>
          <w:p>
            <w:pPr>
              <w:spacing w:after="0"/>
              <w:rPr>
                <w:sz w:val="23"/>
                <w:szCs w:val="23"/>
                <w:color w:val="auto"/>
              </w:rPr>
            </w:pPr>
          </w:p>
        </w:tc>
        <w:tc>
          <w:tcPr>
            <w:tcW w:w="7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Unearned revenue</w:t>
            </w:r>
          </w:p>
        </w:tc>
        <w:tc>
          <w:tcPr>
            <w:tcW w:w="6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(7,917)</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(8,305)</w:t>
            </w:r>
          </w:p>
        </w:tc>
      </w:tr>
      <w:tr>
        <w:trPr>
          <w:trHeight w:val="238"/>
        </w:trPr>
        <w:tc>
          <w:tcPr>
            <w:tcW w:w="340" w:type="dxa"/>
            <w:vAlign w:val="bottom"/>
          </w:tcPr>
          <w:p>
            <w:pPr>
              <w:spacing w:after="0"/>
              <w:rPr>
                <w:sz w:val="20"/>
                <w:szCs w:val="20"/>
                <w:color w:val="auto"/>
              </w:rPr>
            </w:pPr>
          </w:p>
        </w:tc>
        <w:tc>
          <w:tcPr>
            <w:tcW w:w="7380" w:type="dxa"/>
            <w:vAlign w:val="bottom"/>
          </w:tcPr>
          <w:p>
            <w:pPr>
              <w:ind w:left="20"/>
              <w:spacing w:after="0"/>
              <w:rPr>
                <w:sz w:val="20"/>
                <w:szCs w:val="20"/>
                <w:color w:val="auto"/>
              </w:rPr>
            </w:pPr>
            <w:r>
              <w:rPr>
                <w:rFonts w:ascii="Arial" w:cs="Arial" w:eastAsia="Arial" w:hAnsi="Arial"/>
                <w:sz w:val="14"/>
                <w:szCs w:val="14"/>
                <w:b w:val="1"/>
                <w:bCs w:val="1"/>
                <w:color w:val="auto"/>
              </w:rPr>
              <w:t>Finance leases, net</w:t>
            </w:r>
          </w:p>
        </w:tc>
        <w:tc>
          <w:tcPr>
            <w:tcW w:w="3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9,607</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9,717</w:t>
            </w:r>
          </w:p>
        </w:tc>
        <w:tc>
          <w:tcPr>
            <w:tcW w:w="6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March 31, 2017, future minimum lease payments to be received under finance leases for the remainder of the lease terms are as follows:</w:t>
      </w:r>
    </w:p>
    <w:p>
      <w:pPr>
        <w:spacing w:after="0" w:line="238"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93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Total</w:t>
            </w:r>
          </w:p>
        </w:tc>
      </w:tr>
      <w:tr>
        <w:trPr>
          <w:trHeight w:val="211"/>
        </w:trPr>
        <w:tc>
          <w:tcPr>
            <w:tcW w:w="9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2017</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1,510</w:t>
            </w:r>
          </w:p>
        </w:tc>
      </w:tr>
      <w:tr>
        <w:trPr>
          <w:trHeight w:val="212"/>
        </w:trPr>
        <w:tc>
          <w:tcPr>
            <w:tcW w:w="9320" w:type="dxa"/>
            <w:vAlign w:val="bottom"/>
          </w:tcPr>
          <w:p>
            <w:pPr>
              <w:ind w:left="20"/>
              <w:spacing w:after="0"/>
              <w:rPr>
                <w:sz w:val="20"/>
                <w:szCs w:val="20"/>
                <w:color w:val="auto"/>
              </w:rPr>
            </w:pPr>
            <w:r>
              <w:rPr>
                <w:rFonts w:ascii="Arial" w:cs="Arial" w:eastAsia="Arial" w:hAnsi="Arial"/>
                <w:sz w:val="14"/>
                <w:szCs w:val="14"/>
                <w:color w:val="auto"/>
              </w:rPr>
              <w:t>2018</w:t>
            </w:r>
          </w:p>
        </w:tc>
        <w:tc>
          <w:tcPr>
            <w:tcW w:w="400" w:type="dxa"/>
            <w:vAlign w:val="bottom"/>
          </w:tcPr>
          <w:p>
            <w:pPr>
              <w:spacing w:after="0"/>
              <w:rPr>
                <w:sz w:val="18"/>
                <w:szCs w:val="18"/>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2,008</w:t>
            </w:r>
          </w:p>
        </w:tc>
      </w:tr>
      <w:tr>
        <w:trPr>
          <w:trHeight w:val="220"/>
        </w:trPr>
        <w:tc>
          <w:tcPr>
            <w:tcW w:w="9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2,008</w:t>
            </w:r>
          </w:p>
        </w:tc>
      </w:tr>
      <w:tr>
        <w:trPr>
          <w:trHeight w:val="212"/>
        </w:trPr>
        <w:tc>
          <w:tcPr>
            <w:tcW w:w="9320" w:type="dxa"/>
            <w:vAlign w:val="bottom"/>
          </w:tcPr>
          <w:p>
            <w:pPr>
              <w:ind w:left="20"/>
              <w:spacing w:after="0"/>
              <w:rPr>
                <w:sz w:val="20"/>
                <w:szCs w:val="20"/>
                <w:color w:val="auto"/>
              </w:rPr>
            </w:pPr>
            <w:r>
              <w:rPr>
                <w:rFonts w:ascii="Arial" w:cs="Arial" w:eastAsia="Arial" w:hAnsi="Arial"/>
                <w:sz w:val="14"/>
                <w:szCs w:val="14"/>
                <w:color w:val="auto"/>
              </w:rPr>
              <w:t>2020</w:t>
            </w:r>
          </w:p>
        </w:tc>
        <w:tc>
          <w:tcPr>
            <w:tcW w:w="400" w:type="dxa"/>
            <w:vAlign w:val="bottom"/>
          </w:tcPr>
          <w:p>
            <w:pPr>
              <w:spacing w:after="0"/>
              <w:rPr>
                <w:sz w:val="18"/>
                <w:szCs w:val="18"/>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2,013</w:t>
            </w:r>
          </w:p>
        </w:tc>
      </w:tr>
      <w:tr>
        <w:trPr>
          <w:trHeight w:val="220"/>
        </w:trPr>
        <w:tc>
          <w:tcPr>
            <w:tcW w:w="9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2,008</w:t>
            </w:r>
          </w:p>
        </w:tc>
      </w:tr>
      <w:tr>
        <w:trPr>
          <w:trHeight w:val="212"/>
        </w:trPr>
        <w:tc>
          <w:tcPr>
            <w:tcW w:w="9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7,977</w:t>
            </w:r>
          </w:p>
        </w:tc>
      </w:tr>
      <w:tr>
        <w:trPr>
          <w:trHeight w:val="214"/>
        </w:trPr>
        <w:tc>
          <w:tcPr>
            <w:tcW w:w="9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17,524</w:t>
            </w:r>
          </w:p>
        </w:tc>
      </w:tr>
      <w:tr>
        <w:trPr>
          <w:trHeight w:val="20"/>
        </w:trPr>
        <w:tc>
          <w:tcPr>
            <w:tcW w:w="9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17" w:right="239" w:bottom="1440" w:gutter="0" w:footer="0" w:header="0"/>
        </w:sectPr>
      </w:pPr>
    </w:p>
    <w:bookmarkStart w:id="16" w:name="page17"/>
    <w:bookmarkEnd w:id="16"/>
    <w:p>
      <w:pPr>
        <w:spacing w:after="0"/>
        <w:rPr>
          <w:sz w:val="20"/>
          <w:szCs w:val="20"/>
          <w:color w:val="auto"/>
        </w:rPr>
      </w:pPr>
      <w:r>
        <w:rPr>
          <w:rFonts w:ascii="Arial" w:cs="Arial" w:eastAsia="Arial" w:hAnsi="Arial"/>
          <w:sz w:val="22"/>
          <w:szCs w:val="22"/>
          <w:b w:val="1"/>
          <w:bCs w:val="1"/>
          <w:color w:val="00497F"/>
        </w:rPr>
        <w:t>FORTRESS TRANSPORTATION AND INFRASTRUCTURE INVESTORS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 xml:space="preserve">NOTES TO CONSOLIDATED FINANCIAL STATEMENTS </w:t>
      </w:r>
      <w:r>
        <w:rPr>
          <w:rFonts w:ascii="Arial" w:cs="Arial" w:eastAsia="Arial" w:hAnsi="Arial"/>
          <w:sz w:val="22"/>
          <w:szCs w:val="22"/>
          <w:b w:val="1"/>
          <w:bCs w:val="1"/>
          <w:i w:val="1"/>
          <w:iCs w:val="1"/>
          <w:color w:val="00497F"/>
        </w:rPr>
        <w:t>(unaudited)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5. PROPERTY, PLANT AND EQUIPMENT, NET</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Property, plant and equipment, net is summarized as follows:</w:t>
      </w:r>
    </w:p>
    <w:p>
      <w:pPr>
        <w:spacing w:after="0" w:line="238"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7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2017</w:t>
            </w:r>
          </w:p>
        </w:tc>
        <w:tc>
          <w:tcPr>
            <w:tcW w:w="180" w:type="dxa"/>
            <w:vAlign w:val="bottom"/>
          </w:tcPr>
          <w:p>
            <w:pPr>
              <w:spacing w:after="0"/>
              <w:rPr>
                <w:sz w:val="17"/>
                <w:szCs w:val="17"/>
                <w:color w:val="auto"/>
              </w:rPr>
            </w:pPr>
          </w:p>
        </w:tc>
        <w:tc>
          <w:tcPr>
            <w:tcW w:w="1580" w:type="dxa"/>
            <w:vAlign w:val="bottom"/>
          </w:tcPr>
          <w:p>
            <w:pPr>
              <w:jc w:val="right"/>
              <w:ind w:right="188"/>
              <w:spacing w:after="0"/>
              <w:rPr>
                <w:sz w:val="20"/>
                <w:szCs w:val="20"/>
                <w:color w:val="auto"/>
              </w:rPr>
            </w:pPr>
            <w:r>
              <w:rPr>
                <w:rFonts w:ascii="Arial" w:cs="Arial" w:eastAsia="Arial" w:hAnsi="Arial"/>
                <w:sz w:val="14"/>
                <w:szCs w:val="14"/>
                <w:color w:val="auto"/>
              </w:rPr>
              <w:t>December 31, 2016</w:t>
            </w:r>
          </w:p>
        </w:tc>
      </w:tr>
      <w:tr>
        <w:trPr>
          <w:trHeight w:val="251"/>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Land, site improvements and rights</w:t>
            </w:r>
          </w:p>
        </w:tc>
        <w:tc>
          <w:tcPr>
            <w:tcW w:w="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5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57,617</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57,617</w:t>
            </w:r>
          </w:p>
        </w:tc>
      </w:tr>
      <w:tr>
        <w:trPr>
          <w:trHeight w:val="269"/>
        </w:trPr>
        <w:tc>
          <w:tcPr>
            <w:tcW w:w="7400" w:type="dxa"/>
            <w:vAlign w:val="bottom"/>
          </w:tcPr>
          <w:p>
            <w:pPr>
              <w:ind w:left="20"/>
              <w:spacing w:after="0"/>
              <w:rPr>
                <w:sz w:val="20"/>
                <w:szCs w:val="20"/>
                <w:color w:val="auto"/>
              </w:rPr>
            </w:pPr>
            <w:r>
              <w:rPr>
                <w:rFonts w:ascii="Arial" w:cs="Arial" w:eastAsia="Arial" w:hAnsi="Arial"/>
                <w:sz w:val="14"/>
                <w:szCs w:val="14"/>
                <w:color w:val="auto"/>
              </w:rPr>
              <w:t>Construction in progress</w:t>
            </w:r>
          </w:p>
        </w:tc>
        <w:tc>
          <w:tcPr>
            <w:tcW w:w="240" w:type="dxa"/>
            <w:vAlign w:val="bottom"/>
          </w:tcPr>
          <w:p>
            <w:pPr>
              <w:spacing w:after="0"/>
              <w:rPr>
                <w:sz w:val="23"/>
                <w:szCs w:val="23"/>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b w:val="1"/>
                <w:bCs w:val="1"/>
                <w:color w:val="auto"/>
              </w:rPr>
              <w:t>63,921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color w:val="auto"/>
              </w:rPr>
              <w:t>49,605</w:t>
            </w:r>
          </w:p>
        </w:tc>
      </w:tr>
      <w:tr>
        <w:trPr>
          <w:trHeight w:val="271"/>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Buildings and improvements</w:t>
            </w:r>
          </w:p>
        </w:tc>
        <w:tc>
          <w:tcPr>
            <w:tcW w:w="24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3,194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2,750</w:t>
            </w:r>
          </w:p>
        </w:tc>
      </w:tr>
      <w:tr>
        <w:trPr>
          <w:trHeight w:val="269"/>
        </w:trPr>
        <w:tc>
          <w:tcPr>
            <w:tcW w:w="7400" w:type="dxa"/>
            <w:vAlign w:val="bottom"/>
          </w:tcPr>
          <w:p>
            <w:pPr>
              <w:ind w:left="20"/>
              <w:spacing w:after="0"/>
              <w:rPr>
                <w:sz w:val="20"/>
                <w:szCs w:val="20"/>
                <w:color w:val="auto"/>
              </w:rPr>
            </w:pPr>
            <w:r>
              <w:rPr>
                <w:rFonts w:ascii="Arial" w:cs="Arial" w:eastAsia="Arial" w:hAnsi="Arial"/>
                <w:sz w:val="14"/>
                <w:szCs w:val="14"/>
                <w:color w:val="auto"/>
              </w:rPr>
              <w:t>Crude oil terminal machinery and equipment</w:t>
            </w:r>
          </w:p>
        </w:tc>
        <w:tc>
          <w:tcPr>
            <w:tcW w:w="240" w:type="dxa"/>
            <w:vAlign w:val="bottom"/>
          </w:tcPr>
          <w:p>
            <w:pPr>
              <w:spacing w:after="0"/>
              <w:rPr>
                <w:sz w:val="23"/>
                <w:szCs w:val="23"/>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b w:val="1"/>
                <w:bCs w:val="1"/>
                <w:color w:val="auto"/>
              </w:rPr>
              <w:t>236,732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color w:val="auto"/>
              </w:rPr>
              <w:t>236,652</w:t>
            </w:r>
          </w:p>
        </w:tc>
      </w:tr>
      <w:tr>
        <w:trPr>
          <w:trHeight w:val="271"/>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Track and track related assets</w:t>
            </w:r>
          </w:p>
        </w:tc>
        <w:tc>
          <w:tcPr>
            <w:tcW w:w="24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22,956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22,948</w:t>
            </w:r>
          </w:p>
        </w:tc>
      </w:tr>
      <w:tr>
        <w:trPr>
          <w:trHeight w:val="269"/>
        </w:trPr>
        <w:tc>
          <w:tcPr>
            <w:tcW w:w="7400" w:type="dxa"/>
            <w:vAlign w:val="bottom"/>
          </w:tcPr>
          <w:p>
            <w:pPr>
              <w:ind w:left="20"/>
              <w:spacing w:after="0"/>
              <w:rPr>
                <w:sz w:val="20"/>
                <w:szCs w:val="20"/>
                <w:color w:val="auto"/>
              </w:rPr>
            </w:pPr>
            <w:r>
              <w:rPr>
                <w:rFonts w:ascii="Arial" w:cs="Arial" w:eastAsia="Arial" w:hAnsi="Arial"/>
                <w:sz w:val="14"/>
                <w:szCs w:val="14"/>
                <w:color w:val="auto"/>
              </w:rPr>
              <w:t>Railroad equipment</w:t>
            </w:r>
          </w:p>
        </w:tc>
        <w:tc>
          <w:tcPr>
            <w:tcW w:w="240" w:type="dxa"/>
            <w:vAlign w:val="bottom"/>
          </w:tcPr>
          <w:p>
            <w:pPr>
              <w:spacing w:after="0"/>
              <w:rPr>
                <w:sz w:val="23"/>
                <w:szCs w:val="23"/>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b w:val="1"/>
                <w:bCs w:val="1"/>
                <w:color w:val="auto"/>
              </w:rPr>
              <w:t>1,101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color w:val="auto"/>
              </w:rPr>
              <w:t>1,091</w:t>
            </w:r>
          </w:p>
        </w:tc>
      </w:tr>
      <w:tr>
        <w:trPr>
          <w:trHeight w:val="271"/>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Railcars and locomotives</w:t>
            </w:r>
          </w:p>
        </w:tc>
        <w:tc>
          <w:tcPr>
            <w:tcW w:w="24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2,931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2,909</w:t>
            </w:r>
          </w:p>
        </w:tc>
      </w:tr>
      <w:tr>
        <w:trPr>
          <w:trHeight w:val="269"/>
        </w:trPr>
        <w:tc>
          <w:tcPr>
            <w:tcW w:w="7400" w:type="dxa"/>
            <w:vAlign w:val="bottom"/>
          </w:tcPr>
          <w:p>
            <w:pPr>
              <w:ind w:left="20"/>
              <w:spacing w:after="0"/>
              <w:rPr>
                <w:sz w:val="20"/>
                <w:szCs w:val="20"/>
                <w:color w:val="auto"/>
              </w:rPr>
            </w:pPr>
            <w:r>
              <w:rPr>
                <w:rFonts w:ascii="Arial" w:cs="Arial" w:eastAsia="Arial" w:hAnsi="Arial"/>
                <w:sz w:val="14"/>
                <w:szCs w:val="14"/>
                <w:color w:val="auto"/>
              </w:rPr>
              <w:t>Computer hardware and software</w:t>
            </w:r>
          </w:p>
        </w:tc>
        <w:tc>
          <w:tcPr>
            <w:tcW w:w="240" w:type="dxa"/>
            <w:vAlign w:val="bottom"/>
          </w:tcPr>
          <w:p>
            <w:pPr>
              <w:spacing w:after="0"/>
              <w:rPr>
                <w:sz w:val="23"/>
                <w:szCs w:val="23"/>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b w:val="1"/>
                <w:bCs w:val="1"/>
                <w:color w:val="auto"/>
              </w:rPr>
              <w:t>391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color w:val="auto"/>
              </w:rPr>
              <w:t>388</w:t>
            </w:r>
          </w:p>
        </w:tc>
      </w:tr>
      <w:tr>
        <w:trPr>
          <w:trHeight w:val="271"/>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Furniture and fixtures</w:t>
            </w:r>
          </w:p>
        </w:tc>
        <w:tc>
          <w:tcPr>
            <w:tcW w:w="24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418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405</w:t>
            </w:r>
          </w:p>
        </w:tc>
      </w:tr>
      <w:tr>
        <w:trPr>
          <w:trHeight w:val="269"/>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Vehicles</w:t>
            </w:r>
          </w:p>
        </w:tc>
        <w:tc>
          <w:tcPr>
            <w:tcW w:w="24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985</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985</w:t>
            </w:r>
          </w:p>
        </w:tc>
      </w:tr>
      <w:tr>
        <w:trPr>
          <w:trHeight w:val="251"/>
        </w:trPr>
        <w:tc>
          <w:tcPr>
            <w:tcW w:w="74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390,246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375,350</w:t>
            </w:r>
          </w:p>
        </w:tc>
      </w:tr>
      <w:tr>
        <w:trPr>
          <w:trHeight w:val="269"/>
        </w:trPr>
        <w:tc>
          <w:tcPr>
            <w:tcW w:w="7400" w:type="dxa"/>
            <w:vAlign w:val="bottom"/>
          </w:tcPr>
          <w:p>
            <w:pPr>
              <w:ind w:left="20"/>
              <w:spacing w:after="0"/>
              <w:rPr>
                <w:sz w:val="20"/>
                <w:szCs w:val="20"/>
                <w:color w:val="auto"/>
              </w:rPr>
            </w:pPr>
            <w:r>
              <w:rPr>
                <w:rFonts w:ascii="Arial" w:cs="Arial" w:eastAsia="Arial" w:hAnsi="Arial"/>
                <w:sz w:val="14"/>
                <w:szCs w:val="14"/>
                <w:color w:val="auto"/>
              </w:rPr>
              <w:t>Less: Accumulated depreciation</w:t>
            </w:r>
          </w:p>
        </w:tc>
        <w:tc>
          <w:tcPr>
            <w:tcW w:w="24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(29,317)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(26,002)</w:t>
            </w:r>
          </w:p>
        </w:tc>
      </w:tr>
      <w:tr>
        <w:trPr>
          <w:trHeight w:val="270"/>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Spare parts</w:t>
            </w:r>
          </w:p>
        </w:tc>
        <w:tc>
          <w:tcPr>
            <w:tcW w:w="24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2,846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2,833</w:t>
            </w:r>
          </w:p>
        </w:tc>
      </w:tr>
      <w:tr>
        <w:trPr>
          <w:trHeight w:val="238"/>
        </w:trPr>
        <w:tc>
          <w:tcPr>
            <w:tcW w:w="7400" w:type="dxa"/>
            <w:vAlign w:val="bottom"/>
          </w:tcPr>
          <w:p>
            <w:pPr>
              <w:ind w:left="20"/>
              <w:spacing w:after="0"/>
              <w:rPr>
                <w:sz w:val="20"/>
                <w:szCs w:val="20"/>
                <w:color w:val="auto"/>
              </w:rPr>
            </w:pPr>
            <w:r>
              <w:rPr>
                <w:rFonts w:ascii="Arial" w:cs="Arial" w:eastAsia="Arial" w:hAnsi="Arial"/>
                <w:sz w:val="14"/>
                <w:szCs w:val="14"/>
                <w:b w:val="1"/>
                <w:bCs w:val="1"/>
                <w:color w:val="auto"/>
              </w:rPr>
              <w:t>Property, plant and equipment, net</w:t>
            </w: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363,775</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352,181</w:t>
            </w:r>
          </w:p>
        </w:tc>
      </w:tr>
      <w:tr>
        <w:trPr>
          <w:trHeight w:val="20"/>
        </w:trPr>
        <w:tc>
          <w:tcPr>
            <w:tcW w:w="7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left="340"/>
        <w:spacing w:after="0" w:line="291" w:lineRule="auto"/>
        <w:rPr>
          <w:sz w:val="20"/>
          <w:szCs w:val="20"/>
          <w:color w:val="auto"/>
        </w:rPr>
      </w:pPr>
      <w:r>
        <w:rPr>
          <w:rFonts w:ascii="Arial" w:cs="Arial" w:eastAsia="Arial" w:hAnsi="Arial"/>
          <w:sz w:val="16"/>
          <w:szCs w:val="16"/>
          <w:color w:val="auto"/>
        </w:rPr>
        <w:t>During the three months ended March 31, 2017, additional property, plant and equipment of $14,960 was acquired, consisting primarily of construction in progress, buildings and improvements, crude oil machinery and equipment, and railcars and locomotives.</w:t>
      </w:r>
    </w:p>
    <w:p>
      <w:pPr>
        <w:spacing w:after="0" w:line="94" w:lineRule="exact"/>
        <w:rPr>
          <w:sz w:val="20"/>
          <w:szCs w:val="20"/>
          <w:color w:val="auto"/>
        </w:rPr>
      </w:pPr>
    </w:p>
    <w:p>
      <w:pPr>
        <w:jc w:val="both"/>
        <w:ind w:left="340"/>
        <w:spacing w:after="0" w:line="291" w:lineRule="auto"/>
        <w:rPr>
          <w:sz w:val="20"/>
          <w:szCs w:val="20"/>
          <w:color w:val="auto"/>
        </w:rPr>
      </w:pPr>
      <w:r>
        <w:rPr>
          <w:rFonts w:ascii="Arial" w:cs="Arial" w:eastAsia="Arial" w:hAnsi="Arial"/>
          <w:sz w:val="16"/>
          <w:szCs w:val="16"/>
          <w:color w:val="auto"/>
        </w:rPr>
        <w:t>During the three months ended March 31, 2017, disposals of property, plant and equipment totaled $52. During the three months ended March 31, 2016, disposals of property, plant and equipment totaled $36, mainly related to railroad equipment, vehicles, and furniture and fixtures.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Depreciation expense for property, plant and equipment is summarized as follows:</w:t>
      </w:r>
    </w:p>
    <w:p>
      <w:pPr>
        <w:spacing w:after="0" w:line="238" w:lineRule="exact"/>
        <w:rPr>
          <w:sz w:val="20"/>
          <w:szCs w:val="20"/>
          <w:color w:val="auto"/>
        </w:rPr>
      </w:pPr>
    </w:p>
    <w:p>
      <w:pPr>
        <w:ind w:left="852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4919345</wp:posOffset>
            </wp:positionH>
            <wp:positionV relativeFrom="paragraph">
              <wp:posOffset>27305</wp:posOffset>
            </wp:positionV>
            <wp:extent cx="23152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03" w:lineRule="exact"/>
        <w:rPr>
          <w:sz w:val="20"/>
          <w:szCs w:val="20"/>
          <w:color w:val="auto"/>
        </w:rPr>
      </w:pPr>
    </w:p>
    <w:p>
      <w:pPr>
        <w:ind w:left="8480"/>
        <w:spacing w:after="0"/>
        <w:tabs>
          <w:tab w:leader="none" w:pos="1034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27305</wp:posOffset>
            </wp:positionV>
            <wp:extent cx="702373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23735" cy="171450"/>
                    </a:xfrm>
                    <a:prstGeom prst="rect">
                      <a:avLst/>
                    </a:prstGeom>
                    <a:noFill/>
                  </pic:spPr>
                </pic:pic>
              </a:graphicData>
            </a:graphic>
          </wp:anchor>
        </w:drawing>
      </w:r>
    </w:p>
    <w:p>
      <w:pPr>
        <w:spacing w:after="0" w:line="89" w:lineRule="exact"/>
        <w:rPr>
          <w:sz w:val="20"/>
          <w:szCs w:val="20"/>
          <w:color w:val="auto"/>
        </w:rPr>
      </w:pPr>
    </w:p>
    <w:p>
      <w:pPr>
        <w:ind w:left="360"/>
        <w:spacing w:after="0"/>
        <w:tabs>
          <w:tab w:leader="none" w:pos="7760" w:val="left"/>
          <w:tab w:leader="none" w:pos="9040" w:val="left"/>
          <w:tab w:leader="none" w:pos="9640" w:val="left"/>
          <w:tab w:leader="none" w:pos="10900" w:val="left"/>
        </w:tabs>
        <w:rPr>
          <w:sz w:val="20"/>
          <w:szCs w:val="20"/>
          <w:color w:val="auto"/>
        </w:rPr>
      </w:pPr>
      <w:r>
        <w:rPr>
          <w:rFonts w:ascii="Arial" w:cs="Arial" w:eastAsia="Arial" w:hAnsi="Arial"/>
          <w:sz w:val="14"/>
          <w:szCs w:val="14"/>
          <w:color w:val="auto"/>
        </w:rPr>
        <w:t>Depreciation expense for property, plant and equipment</w:t>
      </w:r>
      <w:r>
        <w:rPr>
          <w:sz w:val="20"/>
          <w:szCs w:val="20"/>
          <w:color w:val="auto"/>
        </w:rPr>
        <w:tab/>
      </w: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b w:val="1"/>
          <w:bCs w:val="1"/>
          <w:color w:val="auto"/>
        </w:rPr>
        <w:t>3,304</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3,026</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6. INVESTMENTS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ownership interests and carrying values of the Company’s investments:</w:t>
      </w:r>
    </w:p>
    <w:p>
      <w:pPr>
        <w:spacing w:after="0" w:line="386"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29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gridSpan w:val="4"/>
          </w:tcPr>
          <w:p>
            <w:pPr>
              <w:jc w:val="right"/>
              <w:ind w:right="1228"/>
              <w:spacing w:after="0"/>
              <w:rPr>
                <w:sz w:val="20"/>
                <w:szCs w:val="20"/>
                <w:color w:val="auto"/>
              </w:rPr>
            </w:pPr>
            <w:r>
              <w:rPr>
                <w:rFonts w:ascii="Arial" w:cs="Arial" w:eastAsia="Arial" w:hAnsi="Arial"/>
                <w:sz w:val="14"/>
                <w:szCs w:val="14"/>
                <w:b w:val="1"/>
                <w:bCs w:val="1"/>
                <w:color w:val="auto"/>
              </w:rPr>
              <w:t>Carrying Value</w:t>
            </w:r>
          </w:p>
        </w:tc>
      </w:tr>
      <w:tr>
        <w:trPr>
          <w:trHeight w:val="264"/>
        </w:trPr>
        <w:tc>
          <w:tcPr>
            <w:tcW w:w="2980" w:type="dxa"/>
            <w:vAlign w:val="bottom"/>
            <w:tcBorders>
              <w:bottom w:val="single" w:sz="8" w:color="CCEEFF"/>
            </w:tcBorders>
          </w:tcPr>
          <w:p>
            <w:pPr>
              <w:spacing w:after="0"/>
              <w:rPr>
                <w:sz w:val="22"/>
                <w:szCs w:val="22"/>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Investment</w:t>
            </w:r>
          </w:p>
        </w:tc>
        <w:tc>
          <w:tcPr>
            <w:tcW w:w="120" w:type="dxa"/>
            <w:vAlign w:val="bottom"/>
            <w:tcBorders>
              <w:bottom w:val="single" w:sz="8" w:color="CCEEFF"/>
            </w:tcBorders>
          </w:tcPr>
          <w:p>
            <w:pPr>
              <w:spacing w:after="0"/>
              <w:rPr>
                <w:sz w:val="22"/>
                <w:szCs w:val="22"/>
                <w:color w:val="auto"/>
              </w:rPr>
            </w:pPr>
          </w:p>
        </w:tc>
        <w:tc>
          <w:tcPr>
            <w:tcW w:w="20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Ownership Percentage</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March 31, 2017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December 31, 2016</w:t>
            </w:r>
          </w:p>
        </w:tc>
      </w:tr>
      <w:tr>
        <w:trPr>
          <w:trHeight w:val="251"/>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Listed securities</w:t>
            </w:r>
          </w:p>
        </w:tc>
        <w:tc>
          <w:tcPr>
            <w:tcW w:w="22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Available-for-sale</w:t>
            </w:r>
          </w:p>
        </w:tc>
        <w:tc>
          <w:tcPr>
            <w:tcW w:w="2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30,821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17,630</w:t>
            </w:r>
          </w:p>
        </w:tc>
      </w:tr>
      <w:tr>
        <w:trPr>
          <w:trHeight w:val="269"/>
        </w:trPr>
        <w:tc>
          <w:tcPr>
            <w:tcW w:w="2980" w:type="dxa"/>
            <w:vAlign w:val="bottom"/>
          </w:tcPr>
          <w:p>
            <w:pPr>
              <w:ind w:left="20"/>
              <w:spacing w:after="0"/>
              <w:rPr>
                <w:sz w:val="20"/>
                <w:szCs w:val="20"/>
                <w:color w:val="auto"/>
              </w:rPr>
            </w:pPr>
            <w:r>
              <w:rPr>
                <w:rFonts w:ascii="Arial" w:cs="Arial" w:eastAsia="Arial" w:hAnsi="Arial"/>
                <w:sz w:val="14"/>
                <w:szCs w:val="14"/>
                <w:color w:val="auto"/>
              </w:rPr>
              <w:t>Advanced Engine Repair JV</w:t>
            </w:r>
          </w:p>
        </w:tc>
        <w:tc>
          <w:tcPr>
            <w:tcW w:w="2220" w:type="dxa"/>
            <w:vAlign w:val="bottom"/>
            <w:gridSpan w:val="2"/>
          </w:tcPr>
          <w:p>
            <w:pPr>
              <w:jc w:val="center"/>
              <w:ind w:right="100"/>
              <w:spacing w:after="0"/>
              <w:rPr>
                <w:sz w:val="20"/>
                <w:szCs w:val="20"/>
                <w:color w:val="auto"/>
              </w:rPr>
            </w:pPr>
            <w:r>
              <w:rPr>
                <w:rFonts w:ascii="Arial" w:cs="Arial" w:eastAsia="Arial" w:hAnsi="Arial"/>
                <w:sz w:val="14"/>
                <w:szCs w:val="14"/>
                <w:color w:val="auto"/>
              </w:rPr>
              <w:t>Equity method</w:t>
            </w:r>
          </w:p>
        </w:tc>
        <w:tc>
          <w:tcPr>
            <w:tcW w:w="2080" w:type="dxa"/>
            <w:vAlign w:val="bottom"/>
          </w:tcPr>
          <w:p>
            <w:pPr>
              <w:jc w:val="center"/>
              <w:spacing w:after="0"/>
              <w:rPr>
                <w:sz w:val="20"/>
                <w:szCs w:val="20"/>
                <w:color w:val="auto"/>
              </w:rPr>
            </w:pPr>
            <w:r>
              <w:rPr>
                <w:rFonts w:ascii="Arial" w:cs="Arial" w:eastAsia="Arial" w:hAnsi="Arial"/>
                <w:sz w:val="14"/>
                <w:szCs w:val="14"/>
                <w:color w:val="auto"/>
                <w:w w:val="99"/>
              </w:rPr>
              <w:t>25%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b w:val="1"/>
                <w:bCs w:val="1"/>
                <w:color w:val="auto"/>
              </w:rPr>
              <w:t>14,264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color w:val="auto"/>
              </w:rPr>
              <w:t>15,000</w:t>
            </w:r>
          </w:p>
        </w:tc>
      </w:tr>
      <w:tr>
        <w:trPr>
          <w:trHeight w:val="271"/>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JGP Energy Partners LLC</w:t>
            </w:r>
          </w:p>
        </w:tc>
        <w:tc>
          <w:tcPr>
            <w:tcW w:w="22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Equity method</w:t>
            </w:r>
          </w:p>
        </w:tc>
        <w:tc>
          <w:tcPr>
            <w:tcW w:w="2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50%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9,522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3,266</w:t>
            </w:r>
          </w:p>
        </w:tc>
      </w:tr>
      <w:tr>
        <w:trPr>
          <w:trHeight w:val="269"/>
        </w:trPr>
        <w:tc>
          <w:tcPr>
            <w:tcW w:w="2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Intermodal Finance I, Ltd.</w:t>
            </w:r>
          </w:p>
        </w:tc>
        <w:tc>
          <w:tcPr>
            <w:tcW w:w="222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4"/>
                <w:szCs w:val="14"/>
                <w:color w:val="auto"/>
              </w:rPr>
              <w:t>Equity method</w:t>
            </w:r>
          </w:p>
        </w:tc>
        <w:tc>
          <w:tcPr>
            <w:tcW w:w="208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9"/>
              </w:rPr>
              <w:t>51%</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3,574</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4,082</w:t>
            </w:r>
          </w:p>
        </w:tc>
      </w:tr>
      <w:tr>
        <w:trPr>
          <w:trHeight w:val="238"/>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Investments</w:t>
            </w:r>
          </w:p>
        </w:tc>
        <w:tc>
          <w:tcPr>
            <w:tcW w:w="2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58,181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39,978</w:t>
            </w:r>
          </w:p>
        </w:tc>
      </w:tr>
      <w:tr>
        <w:trPr>
          <w:trHeight w:val="20"/>
        </w:trPr>
        <w:tc>
          <w:tcPr>
            <w:tcW w:w="29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17" w:right="239" w:bottom="1440" w:gutter="0" w:footer="0" w:header="0"/>
        </w:sectPr>
      </w:pPr>
    </w:p>
    <w:bookmarkStart w:id="17" w:name="page18"/>
    <w:bookmarkEnd w:id="17"/>
    <w:p>
      <w:pPr>
        <w:spacing w:after="0"/>
        <w:rPr>
          <w:sz w:val="20"/>
          <w:szCs w:val="20"/>
          <w:color w:val="auto"/>
        </w:rPr>
      </w:pPr>
      <w:r>
        <w:rPr>
          <w:rFonts w:ascii="Arial" w:cs="Arial" w:eastAsia="Arial" w:hAnsi="Arial"/>
          <w:sz w:val="22"/>
          <w:szCs w:val="22"/>
          <w:b w:val="1"/>
          <w:bCs w:val="1"/>
          <w:color w:val="00497F"/>
        </w:rPr>
        <w:t>FORTRESS TRANSPORTATION AND INFRASTRUCTURE INVESTORS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 xml:space="preserve">NOTES TO CONSOLIDATED FINANCIAL STATEMENTS </w:t>
      </w:r>
      <w:r>
        <w:rPr>
          <w:rFonts w:ascii="Arial" w:cs="Arial" w:eastAsia="Arial" w:hAnsi="Arial"/>
          <w:sz w:val="22"/>
          <w:szCs w:val="22"/>
          <w:b w:val="1"/>
          <w:bCs w:val="1"/>
          <w:i w:val="1"/>
          <w:iCs w:val="1"/>
          <w:color w:val="00497F"/>
        </w:rPr>
        <w:t>(unaudited)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200" w:lineRule="exact"/>
        <w:rPr>
          <w:sz w:val="20"/>
          <w:szCs w:val="20"/>
          <w:color w:val="auto"/>
        </w:rPr>
      </w:pPr>
    </w:p>
    <w:p>
      <w:pPr>
        <w:spacing w:after="0" w:line="209"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00497F"/>
        </w:rPr>
        <w:t>Available-for-sale securities</w:t>
      </w:r>
    </w:p>
    <w:p>
      <w:pPr>
        <w:spacing w:after="0" w:line="240"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96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Equity Securities</w:t>
            </w:r>
          </w:p>
        </w:tc>
      </w:tr>
      <w:tr>
        <w:trPr>
          <w:trHeight w:val="247"/>
        </w:trPr>
        <w:tc>
          <w:tcPr>
            <w:tcW w:w="9600" w:type="dxa"/>
            <w:vAlign w:val="bottom"/>
          </w:tcPr>
          <w:p>
            <w:pPr>
              <w:ind w:left="20"/>
              <w:spacing w:after="0"/>
              <w:rPr>
                <w:sz w:val="20"/>
                <w:szCs w:val="20"/>
                <w:color w:val="auto"/>
              </w:rPr>
            </w:pPr>
            <w:r>
              <w:rPr>
                <w:rFonts w:ascii="Arial" w:cs="Arial" w:eastAsia="Arial" w:hAnsi="Arial"/>
                <w:sz w:val="14"/>
                <w:szCs w:val="14"/>
                <w:color w:val="auto"/>
              </w:rPr>
              <w:t>December 31, 2016</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17,630</w:t>
            </w:r>
          </w:p>
        </w:tc>
      </w:tr>
      <w:tr>
        <w:trPr>
          <w:trHeight w:val="274"/>
        </w:trPr>
        <w:tc>
          <w:tcPr>
            <w:tcW w:w="96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Purchases</w:t>
            </w: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8,332</w:t>
            </w:r>
          </w:p>
        </w:tc>
      </w:tr>
      <w:tr>
        <w:trPr>
          <w:trHeight w:val="266"/>
        </w:trPr>
        <w:tc>
          <w:tcPr>
            <w:tcW w:w="960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Unrealized Gains</w:t>
            </w:r>
          </w:p>
        </w:tc>
        <w:tc>
          <w:tcPr>
            <w:tcW w:w="1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4,859</w:t>
            </w:r>
          </w:p>
        </w:tc>
      </w:tr>
      <w:tr>
        <w:trPr>
          <w:trHeight w:val="241"/>
        </w:trPr>
        <w:tc>
          <w:tcPr>
            <w:tcW w:w="9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March 31, 2017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30,821</w:t>
            </w:r>
          </w:p>
        </w:tc>
      </w:tr>
      <w:tr>
        <w:trPr>
          <w:trHeight w:val="20"/>
        </w:trPr>
        <w:tc>
          <w:tcPr>
            <w:tcW w:w="9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305"/>
        </w:trPr>
        <w:tc>
          <w:tcPr>
            <w:tcW w:w="9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9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18,833</w:t>
            </w:r>
          </w:p>
        </w:tc>
      </w:tr>
    </w:tbl>
    <w:p>
      <w:pPr>
        <w:spacing w:after="0" w:line="14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did not recognize any other-than-temporary impairments for the three months ended March 31, 2017.</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00497F"/>
        </w:rPr>
        <w:t>Equity Method Investments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00497F"/>
        </w:rPr>
        <w:t>Advanced Engine Repair JV</w:t>
      </w:r>
    </w:p>
    <w:p>
      <w:pPr>
        <w:spacing w:after="0" w:line="165" w:lineRule="exact"/>
        <w:rPr>
          <w:sz w:val="20"/>
          <w:szCs w:val="20"/>
          <w:color w:val="auto"/>
        </w:rPr>
      </w:pPr>
    </w:p>
    <w:p>
      <w:pPr>
        <w:jc w:val="both"/>
        <w:ind w:left="340"/>
        <w:spacing w:after="0" w:line="261" w:lineRule="auto"/>
        <w:rPr>
          <w:sz w:val="20"/>
          <w:szCs w:val="20"/>
          <w:color w:val="auto"/>
        </w:rPr>
      </w:pPr>
      <w:r>
        <w:rPr>
          <w:rFonts w:ascii="Arial" w:cs="Arial" w:eastAsia="Arial" w:hAnsi="Arial"/>
          <w:sz w:val="16"/>
          <w:szCs w:val="16"/>
          <w:color w:val="auto"/>
        </w:rPr>
        <w:t>In December 2016, the Company invested $15,000 for 25% interest in an advanced engine repair joint venture. The Company will initially focus on developing new costs savings programs for engine repairs. The primary financial activities for the joint venture relate to member contributions and therefore its summary financial information has not been presented. The Company’s proportionate share of equity in losses was $736 for the three months ended March 31, 2017.</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00497F"/>
        </w:rPr>
        <w:t>JGP</w:t>
      </w:r>
    </w:p>
    <w:p>
      <w:pPr>
        <w:spacing w:after="0" w:line="165" w:lineRule="exact"/>
        <w:rPr>
          <w:sz w:val="20"/>
          <w:szCs w:val="20"/>
          <w:color w:val="auto"/>
        </w:rPr>
      </w:pPr>
    </w:p>
    <w:p>
      <w:pPr>
        <w:jc w:val="both"/>
        <w:ind w:left="340"/>
        <w:spacing w:after="0" w:line="255" w:lineRule="auto"/>
        <w:rPr>
          <w:sz w:val="20"/>
          <w:szCs w:val="20"/>
          <w:color w:val="auto"/>
        </w:rPr>
      </w:pPr>
      <w:r>
        <w:rPr>
          <w:rFonts w:ascii="Arial" w:cs="Arial" w:eastAsia="Arial" w:hAnsi="Arial"/>
          <w:sz w:val="16"/>
          <w:szCs w:val="16"/>
          <w:color w:val="auto"/>
        </w:rPr>
        <w:t>In 2016, the Company initiated activities in a 50% non-controlling interest in JGP, a joint venture. JGP is governed by a designated operating committee selected by the members in proportion to their equity interests. JGP is solely reliant on its members to finance its activities and therefore is a variable interest entity. The Company concluded it is not the primary beneficiary of JGP as the members share equally in the risks and rewards and decision making authority of the entity; therefore, the Company does not consolidate JGP and instead accounts for this investment in accordance with the equity method. The primary financial activities for JGP relate to member investments and therefore JGP summary financial information has not been presented. The Company’s proportionate share of equity in losses was $65 for the three months ended March 31, 2017.</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00497F"/>
        </w:rPr>
        <w:t>Intermodal Finance I, Ltd.</w:t>
      </w:r>
    </w:p>
    <w:p>
      <w:pPr>
        <w:spacing w:after="0" w:line="165" w:lineRule="exact"/>
        <w:rPr>
          <w:sz w:val="20"/>
          <w:szCs w:val="20"/>
          <w:color w:val="auto"/>
        </w:rPr>
      </w:pPr>
    </w:p>
    <w:p>
      <w:pPr>
        <w:jc w:val="both"/>
        <w:ind w:left="340"/>
        <w:spacing w:after="0" w:line="254" w:lineRule="auto"/>
        <w:rPr>
          <w:sz w:val="20"/>
          <w:szCs w:val="20"/>
          <w:color w:val="auto"/>
        </w:rPr>
      </w:pPr>
      <w:r>
        <w:rPr>
          <w:rFonts w:ascii="Arial" w:cs="Arial" w:eastAsia="Arial" w:hAnsi="Arial"/>
          <w:sz w:val="16"/>
          <w:szCs w:val="16"/>
          <w:color w:val="auto"/>
        </w:rPr>
        <w:t>In 2012, the Company acquired a 51% non-controlling interest in Intermodal Finance I, Ltd. (“Intermodal”), a joint venture. Intermodal is governed by a board of directors, and its shareholders have voting rights through their equity interests. As such, Intermodal is not within the scope of ASC 810-20 and should be evaluated for consolidation under the voting interest model. Due to the existence of substantive participating rights of the 49% equity investor, including the joint approval of material operating and capital decisions, such as material contracts and capital expenditures consistent with ASC 810-10-25-11, the Company does not have unilateral rights over this investment; therefore, the Company does not consolidate Intermodal but accounts for this investment in accordance with the equity method. The Company does not have a variable interest in this investment as none of the criteria of ASC 810-10-15-14 were met.</w:t>
      </w:r>
    </w:p>
    <w:p>
      <w:pPr>
        <w:spacing w:after="0" w:line="123" w:lineRule="exact"/>
        <w:rPr>
          <w:sz w:val="20"/>
          <w:szCs w:val="20"/>
          <w:color w:val="auto"/>
        </w:rPr>
      </w:pPr>
    </w:p>
    <w:p>
      <w:pPr>
        <w:jc w:val="both"/>
        <w:ind w:left="340"/>
        <w:spacing w:after="0" w:line="269" w:lineRule="auto"/>
        <w:rPr>
          <w:sz w:val="20"/>
          <w:szCs w:val="20"/>
          <w:color w:val="auto"/>
        </w:rPr>
      </w:pPr>
      <w:r>
        <w:rPr>
          <w:rFonts w:ascii="Arial" w:cs="Arial" w:eastAsia="Arial" w:hAnsi="Arial"/>
          <w:sz w:val="16"/>
          <w:szCs w:val="16"/>
          <w:color w:val="auto"/>
        </w:rPr>
        <w:t>As of March 31, 2017, Intermodal owns a portfolio of multiple finance leases, representing five customers and comprising approximately 52,000 shipping containers, as well as a portfolio of approximately 20,000 shipping containers subject to multiple operating leases. The Company’s proportionate share of equity in (losses) earnings was $(465) and $85 for the three months ended March 31, 2017 and 2016, respectively.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17" w:right="239" w:bottom="1440" w:gutter="0" w:footer="0" w:header="0"/>
        </w:sectPr>
      </w:pPr>
    </w:p>
    <w:bookmarkStart w:id="18" w:name="page19"/>
    <w:bookmarkEnd w:id="18"/>
    <w:p>
      <w:pPr>
        <w:ind w:right="376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7. INTANGIBLE ASSETS AND LIABILITIES, NET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Company’s intangible assets and liabilities, net are summarized as follows:</w:t>
      </w:r>
    </w:p>
    <w:p>
      <w:pPr>
        <w:spacing w:after="0" w:line="386"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49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right"/>
              <w:ind w:right="508"/>
              <w:spacing w:after="0"/>
              <w:rPr>
                <w:sz w:val="20"/>
                <w:szCs w:val="20"/>
                <w:color w:val="auto"/>
              </w:rPr>
            </w:pPr>
            <w:r>
              <w:rPr>
                <w:rFonts w:ascii="Arial" w:cs="Arial" w:eastAsia="Arial" w:hAnsi="Arial"/>
                <w:sz w:val="14"/>
                <w:szCs w:val="14"/>
                <w:b w:val="1"/>
                <w:bCs w:val="1"/>
                <w:color w:val="auto"/>
              </w:rPr>
              <w:t>March 31, 2017</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264"/>
        </w:trPr>
        <w:tc>
          <w:tcPr>
            <w:tcW w:w="4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Aviation Leasing</w:t>
            </w:r>
          </w:p>
        </w:tc>
        <w:tc>
          <w:tcPr>
            <w:tcW w:w="1540" w:type="dxa"/>
            <w:vAlign w:val="bottom"/>
            <w:gridSpan w:val="3"/>
          </w:tcPr>
          <w:p>
            <w:pPr>
              <w:ind w:left="80"/>
              <w:spacing w:after="0"/>
              <w:rPr>
                <w:sz w:val="20"/>
                <w:szCs w:val="20"/>
                <w:color w:val="auto"/>
              </w:rPr>
            </w:pPr>
            <w:r>
              <w:rPr>
                <w:rFonts w:ascii="Arial" w:cs="Arial" w:eastAsia="Arial" w:hAnsi="Arial"/>
                <w:sz w:val="14"/>
                <w:szCs w:val="14"/>
                <w:b w:val="1"/>
                <w:bCs w:val="1"/>
                <w:color w:val="auto"/>
              </w:rPr>
              <w:t>Jefferson Terminal</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Railroad</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ind w:right="468"/>
              <w:spacing w:after="0"/>
              <w:rPr>
                <w:sz w:val="20"/>
                <w:szCs w:val="20"/>
                <w:color w:val="auto"/>
              </w:rPr>
            </w:pPr>
            <w:r>
              <w:rPr>
                <w:rFonts w:ascii="Arial" w:cs="Arial" w:eastAsia="Arial" w:hAnsi="Arial"/>
                <w:sz w:val="14"/>
                <w:szCs w:val="14"/>
                <w:b w:val="1"/>
                <w:bCs w:val="1"/>
                <w:color w:val="auto"/>
              </w:rPr>
              <w:t>Total</w:t>
            </w:r>
          </w:p>
        </w:tc>
      </w:tr>
      <w:tr>
        <w:trPr>
          <w:trHeight w:val="265"/>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Intangible assets</w:t>
            </w:r>
          </w:p>
        </w:tc>
        <w:tc>
          <w:tcPr>
            <w:tcW w:w="140" w:type="dxa"/>
            <w:vAlign w:val="bottom"/>
            <w:tcBorders>
              <w:top w:val="single" w:sz="8" w:color="auto"/>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6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4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r>
      <w:tr>
        <w:trPr>
          <w:trHeight w:val="269"/>
        </w:trPr>
        <w:tc>
          <w:tcPr>
            <w:tcW w:w="4960" w:type="dxa"/>
            <w:vAlign w:val="bottom"/>
          </w:tcPr>
          <w:p>
            <w:pPr>
              <w:ind w:left="20"/>
              <w:spacing w:after="0"/>
              <w:rPr>
                <w:sz w:val="20"/>
                <w:szCs w:val="20"/>
                <w:color w:val="auto"/>
              </w:rPr>
            </w:pPr>
            <w:r>
              <w:rPr>
                <w:rFonts w:ascii="Arial" w:cs="Arial" w:eastAsia="Arial" w:hAnsi="Arial"/>
                <w:sz w:val="14"/>
                <w:szCs w:val="14"/>
                <w:color w:val="auto"/>
              </w:rPr>
              <w:t>Acquired favorable lease intangibles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26,596</w:t>
            </w:r>
          </w:p>
        </w:tc>
        <w:tc>
          <w:tcPr>
            <w:tcW w:w="120" w:type="dxa"/>
            <w:vAlign w:val="bottom"/>
          </w:tcPr>
          <w:p>
            <w:pPr>
              <w:spacing w:after="0"/>
              <w:rPr>
                <w:sz w:val="23"/>
                <w:szCs w:val="23"/>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848"/>
              <w:spacing w:after="0"/>
              <w:rPr>
                <w:sz w:val="20"/>
                <w:szCs w:val="20"/>
                <w:color w:val="auto"/>
              </w:rPr>
            </w:pPr>
            <w:r>
              <w:rPr>
                <w:rFonts w:ascii="Arial" w:cs="Arial" w:eastAsia="Arial" w:hAnsi="Arial"/>
                <w:sz w:val="14"/>
                <w:szCs w:val="14"/>
                <w:b w:val="1"/>
                <w:bCs w:val="1"/>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b w:val="1"/>
                <w:bCs w:val="1"/>
                <w:color w:val="auto"/>
              </w:rPr>
              <w:t>26,596</w:t>
            </w:r>
          </w:p>
        </w:tc>
      </w:tr>
      <w:tr>
        <w:trPr>
          <w:trHeight w:val="270"/>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(16,405)</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(16,405)</w:t>
            </w:r>
          </w:p>
        </w:tc>
      </w:tr>
      <w:tr>
        <w:trPr>
          <w:trHeight w:val="250"/>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Acquired favorable lease intangibles, net</w:t>
            </w: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10,191</w:t>
            </w: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10,191</w:t>
            </w:r>
          </w:p>
        </w:tc>
      </w:tr>
      <w:tr>
        <w:trPr>
          <w:trHeight w:val="251"/>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14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35,513</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225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35,738</w:t>
            </w:r>
          </w:p>
        </w:tc>
      </w:tr>
      <w:tr>
        <w:trPr>
          <w:trHeight w:val="269"/>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(9,160)</w:t>
            </w:r>
          </w:p>
        </w:tc>
        <w:tc>
          <w:tcPr>
            <w:tcW w:w="100" w:type="dxa"/>
            <w:vAlign w:val="bottom"/>
            <w:tcBorders>
              <w:bottom w:val="single" w:sz="8" w:color="CCEEFF"/>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(131)</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(9,291)</w:t>
            </w:r>
          </w:p>
        </w:tc>
      </w:tr>
      <w:tr>
        <w:trPr>
          <w:trHeight w:val="250"/>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Acquired customer relationships, net</w:t>
            </w:r>
          </w:p>
        </w:tc>
        <w:tc>
          <w:tcPr>
            <w:tcW w:w="14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26,353</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26,447</w:t>
            </w:r>
          </w:p>
        </w:tc>
      </w:tr>
      <w:tr>
        <w:trPr>
          <w:trHeight w:val="278"/>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intangible assets, net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10,191</w:t>
            </w:r>
          </w:p>
        </w:tc>
        <w:tc>
          <w:tcPr>
            <w:tcW w:w="12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26,353</w:t>
            </w:r>
          </w:p>
        </w:tc>
        <w:tc>
          <w:tcPr>
            <w:tcW w:w="100" w:type="dxa"/>
            <w:vAlign w:val="bottom"/>
            <w:tcBorders>
              <w:bottom w:val="single" w:sz="8" w:color="CCEEFF"/>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848"/>
              <w:spacing w:after="0"/>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94</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36,638</w:t>
            </w:r>
          </w:p>
        </w:tc>
      </w:tr>
      <w:tr>
        <w:trPr>
          <w:trHeight w:val="278"/>
        </w:trPr>
        <w:tc>
          <w:tcPr>
            <w:tcW w:w="49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69"/>
        </w:trPr>
        <w:tc>
          <w:tcPr>
            <w:tcW w:w="4960" w:type="dxa"/>
            <w:vAlign w:val="bottom"/>
          </w:tcPr>
          <w:p>
            <w:pPr>
              <w:ind w:left="20"/>
              <w:spacing w:after="0"/>
              <w:rPr>
                <w:sz w:val="20"/>
                <w:szCs w:val="20"/>
                <w:color w:val="auto"/>
              </w:rPr>
            </w:pPr>
            <w:r>
              <w:rPr>
                <w:rFonts w:ascii="Arial" w:cs="Arial" w:eastAsia="Arial" w:hAnsi="Arial"/>
                <w:sz w:val="14"/>
                <w:szCs w:val="14"/>
                <w:b w:val="1"/>
                <w:bCs w:val="1"/>
                <w:color w:val="auto"/>
              </w:rPr>
              <w:t>Intangible liabilities</w:t>
            </w: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1"/>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Acquired unfavorable lease intangibles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2,305</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b w:val="1"/>
                <w:bCs w:val="1"/>
                <w:color w:val="auto"/>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2,305</w:t>
            </w:r>
          </w:p>
        </w:tc>
      </w:tr>
      <w:tr>
        <w:trPr>
          <w:trHeight w:val="269"/>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(760)</w:t>
            </w:r>
          </w:p>
        </w:tc>
        <w:tc>
          <w:tcPr>
            <w:tcW w:w="12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(760)</w:t>
            </w:r>
          </w:p>
        </w:tc>
      </w:tr>
      <w:tr>
        <w:trPr>
          <w:trHeight w:val="238"/>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Acquired unfavorable lease intangibles,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1,545</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48"/>
              <w:spacing w:after="0"/>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1,545</w:t>
            </w:r>
          </w:p>
        </w:tc>
      </w:tr>
      <w:tr>
        <w:trPr>
          <w:trHeight w:val="20"/>
        </w:trPr>
        <w:tc>
          <w:tcPr>
            <w:tcW w:w="4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385"/>
        </w:trPr>
        <w:tc>
          <w:tcPr>
            <w:tcW w:w="49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rPr>
              <w:t>December 31, 2016</w:t>
            </w: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64"/>
        </w:trPr>
        <w:tc>
          <w:tcPr>
            <w:tcW w:w="4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Aviation Leasing</w:t>
            </w:r>
          </w:p>
        </w:tc>
        <w:tc>
          <w:tcPr>
            <w:tcW w:w="1540" w:type="dxa"/>
            <w:vAlign w:val="bottom"/>
            <w:gridSpan w:val="3"/>
          </w:tcPr>
          <w:p>
            <w:pPr>
              <w:ind w:left="80"/>
              <w:spacing w:after="0"/>
              <w:rPr>
                <w:sz w:val="20"/>
                <w:szCs w:val="20"/>
                <w:color w:val="auto"/>
              </w:rPr>
            </w:pPr>
            <w:r>
              <w:rPr>
                <w:rFonts w:ascii="Arial" w:cs="Arial" w:eastAsia="Arial" w:hAnsi="Arial"/>
                <w:sz w:val="14"/>
                <w:szCs w:val="14"/>
                <w:b w:val="1"/>
                <w:bCs w:val="1"/>
                <w:color w:val="auto"/>
              </w:rPr>
              <w:t>Jefferson Terminal</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Railroad</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ind w:right="468"/>
              <w:spacing w:after="0"/>
              <w:rPr>
                <w:sz w:val="20"/>
                <w:szCs w:val="20"/>
                <w:color w:val="auto"/>
              </w:rPr>
            </w:pPr>
            <w:r>
              <w:rPr>
                <w:rFonts w:ascii="Arial" w:cs="Arial" w:eastAsia="Arial" w:hAnsi="Arial"/>
                <w:sz w:val="14"/>
                <w:szCs w:val="14"/>
                <w:b w:val="1"/>
                <w:bCs w:val="1"/>
                <w:color w:val="auto"/>
              </w:rPr>
              <w:t>Total</w:t>
            </w:r>
          </w:p>
        </w:tc>
      </w:tr>
      <w:tr>
        <w:trPr>
          <w:trHeight w:val="265"/>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Intangible assets</w:t>
            </w:r>
          </w:p>
        </w:tc>
        <w:tc>
          <w:tcPr>
            <w:tcW w:w="140" w:type="dxa"/>
            <w:vAlign w:val="bottom"/>
            <w:tcBorders>
              <w:top w:val="single" w:sz="8" w:color="auto"/>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6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4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r>
      <w:tr>
        <w:trPr>
          <w:trHeight w:val="266"/>
        </w:trPr>
        <w:tc>
          <w:tcPr>
            <w:tcW w:w="4960" w:type="dxa"/>
            <w:vAlign w:val="bottom"/>
          </w:tcPr>
          <w:p>
            <w:pPr>
              <w:ind w:left="20"/>
              <w:spacing w:after="0"/>
              <w:rPr>
                <w:sz w:val="20"/>
                <w:szCs w:val="20"/>
                <w:color w:val="auto"/>
              </w:rPr>
            </w:pPr>
            <w:r>
              <w:rPr>
                <w:rFonts w:ascii="Arial" w:cs="Arial" w:eastAsia="Arial" w:hAnsi="Arial"/>
                <w:sz w:val="14"/>
                <w:szCs w:val="14"/>
                <w:color w:val="auto"/>
              </w:rPr>
              <w:t>Acquired favorable lease intangibles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26,605</w:t>
            </w:r>
          </w:p>
        </w:tc>
        <w:tc>
          <w:tcPr>
            <w:tcW w:w="120" w:type="dxa"/>
            <w:vAlign w:val="bottom"/>
          </w:tcPr>
          <w:p>
            <w:pPr>
              <w:spacing w:after="0"/>
              <w:rPr>
                <w:sz w:val="23"/>
                <w:szCs w:val="23"/>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26,605</w:t>
            </w:r>
          </w:p>
        </w:tc>
      </w:tr>
      <w:tr>
        <w:trPr>
          <w:trHeight w:val="274"/>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(14,998)</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(14,998)</w:t>
            </w:r>
          </w:p>
        </w:tc>
      </w:tr>
      <w:tr>
        <w:trPr>
          <w:trHeight w:val="249"/>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Acquired favorable lease intangibles, net</w:t>
            </w: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11,607</w:t>
            </w: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11,607</w:t>
            </w:r>
          </w:p>
        </w:tc>
      </w:tr>
      <w:tr>
        <w:trPr>
          <w:trHeight w:val="251"/>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14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35,513</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35,738</w:t>
            </w:r>
          </w:p>
        </w:tc>
      </w:tr>
      <w:tr>
        <w:trPr>
          <w:trHeight w:val="266"/>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(8,271)</w:t>
            </w:r>
          </w:p>
        </w:tc>
        <w:tc>
          <w:tcPr>
            <w:tcW w:w="100" w:type="dxa"/>
            <w:vAlign w:val="bottom"/>
            <w:tcBorders>
              <w:bottom w:val="single" w:sz="8" w:color="CCEEFF"/>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(120)</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(8,391)</w:t>
            </w:r>
          </w:p>
        </w:tc>
      </w:tr>
      <w:tr>
        <w:trPr>
          <w:trHeight w:val="253"/>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Acquired customer relationships, net</w:t>
            </w:r>
          </w:p>
        </w:tc>
        <w:tc>
          <w:tcPr>
            <w:tcW w:w="14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27,242</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27,347</w:t>
            </w:r>
          </w:p>
        </w:tc>
      </w:tr>
      <w:tr>
        <w:trPr>
          <w:trHeight w:val="278"/>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intangible assets, net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11,607</w:t>
            </w:r>
          </w:p>
        </w:tc>
        <w:tc>
          <w:tcPr>
            <w:tcW w:w="12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27,242</w:t>
            </w:r>
          </w:p>
        </w:tc>
        <w:tc>
          <w:tcPr>
            <w:tcW w:w="100" w:type="dxa"/>
            <w:vAlign w:val="bottom"/>
            <w:tcBorders>
              <w:bottom w:val="single" w:sz="8" w:color="CCEEFF"/>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848"/>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105</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38,954</w:t>
            </w:r>
          </w:p>
        </w:tc>
      </w:tr>
      <w:tr>
        <w:trPr>
          <w:trHeight w:val="278"/>
        </w:trPr>
        <w:tc>
          <w:tcPr>
            <w:tcW w:w="49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69"/>
        </w:trPr>
        <w:tc>
          <w:tcPr>
            <w:tcW w:w="4960" w:type="dxa"/>
            <w:vAlign w:val="bottom"/>
          </w:tcPr>
          <w:p>
            <w:pPr>
              <w:ind w:left="20"/>
              <w:spacing w:after="0"/>
              <w:rPr>
                <w:sz w:val="20"/>
                <w:szCs w:val="20"/>
                <w:color w:val="auto"/>
              </w:rPr>
            </w:pPr>
            <w:r>
              <w:rPr>
                <w:rFonts w:ascii="Arial" w:cs="Arial" w:eastAsia="Arial" w:hAnsi="Arial"/>
                <w:sz w:val="14"/>
                <w:szCs w:val="14"/>
                <w:b w:val="1"/>
                <w:bCs w:val="1"/>
                <w:color w:val="auto"/>
              </w:rPr>
              <w:t>Intangible liabilities</w:t>
            </w: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1"/>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Acquired unfavorable lease intangibles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1,506</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1,506</w:t>
            </w:r>
          </w:p>
        </w:tc>
      </w:tr>
      <w:tr>
        <w:trPr>
          <w:trHeight w:val="266"/>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(627)</w:t>
            </w:r>
          </w:p>
        </w:tc>
        <w:tc>
          <w:tcPr>
            <w:tcW w:w="12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(627)</w:t>
            </w:r>
          </w:p>
        </w:tc>
      </w:tr>
      <w:tr>
        <w:trPr>
          <w:trHeight w:val="241"/>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Acquired unfavorable lease intangibles, net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879</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879</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360"/>
          </w:cols>
          <w:pgMar w:left="240" w:top="117" w:right="299" w:bottom="1440" w:gutter="0" w:footer="0" w:header="0"/>
        </w:sectPr>
      </w:pPr>
    </w:p>
    <w:bookmarkStart w:id="19" w:name="page20"/>
    <w:bookmarkEnd w:id="19"/>
    <w:p>
      <w:pPr>
        <w:ind w:right="382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7" w:lineRule="exact"/>
        <w:rPr>
          <w:sz w:val="20"/>
          <w:szCs w:val="20"/>
          <w:color w:val="auto"/>
        </w:rPr>
      </w:pPr>
    </w:p>
    <w:p>
      <w:pPr>
        <w:ind w:left="340" w:right="100"/>
        <w:spacing w:after="0" w:line="291" w:lineRule="auto"/>
        <w:rPr>
          <w:sz w:val="20"/>
          <w:szCs w:val="20"/>
          <w:color w:val="auto"/>
        </w:rPr>
      </w:pPr>
      <w:r>
        <w:rPr>
          <w:rFonts w:ascii="Arial" w:cs="Arial" w:eastAsia="Arial" w:hAnsi="Arial"/>
          <w:sz w:val="16"/>
          <w:szCs w:val="16"/>
          <w:color w:val="auto"/>
        </w:rPr>
        <w:t>Intangible liabilities relate to unfavorable lease intangibles and are included as a component of other liabilities in the accompanying Consolidated Balance Sheets.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Amortization of intangible assets and liabilities is recorded in the Consolidated Statements of Operations as follows:</w:t>
      </w:r>
    </w:p>
    <w:p>
      <w:pPr>
        <w:spacing w:after="0" w:line="386"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2780" w:type="dxa"/>
            <w:vAlign w:val="bottom"/>
          </w:tcPr>
          <w:p>
            <w:pPr>
              <w:spacing w:after="0"/>
              <w:rPr>
                <w:sz w:val="17"/>
                <w:szCs w:val="17"/>
                <w:color w:val="auto"/>
              </w:rPr>
            </w:pPr>
          </w:p>
        </w:tc>
        <w:tc>
          <w:tcPr>
            <w:tcW w:w="4660" w:type="dxa"/>
            <w:vAlign w:val="bottom"/>
            <w:gridSpan w:val="2"/>
          </w:tcPr>
          <w:p>
            <w:pPr>
              <w:ind w:left="340"/>
              <w:spacing w:after="0"/>
              <w:rPr>
                <w:sz w:val="20"/>
                <w:szCs w:val="20"/>
                <w:color w:val="auto"/>
              </w:rPr>
            </w:pPr>
            <w:r>
              <w:rPr>
                <w:rFonts w:ascii="Arial" w:cs="Arial" w:eastAsia="Arial" w:hAnsi="Arial"/>
                <w:sz w:val="14"/>
                <w:szCs w:val="14"/>
                <w:b w:val="1"/>
                <w:bCs w:val="1"/>
                <w:color w:val="auto"/>
              </w:rPr>
              <w:t>Classification in Consolidated Statements of Operations</w:t>
            </w:r>
          </w:p>
        </w:tc>
        <w:tc>
          <w:tcPr>
            <w:tcW w:w="420" w:type="dxa"/>
            <w:vAlign w:val="bottom"/>
          </w:tcPr>
          <w:p>
            <w:pPr>
              <w:spacing w:after="0"/>
              <w:rPr>
                <w:sz w:val="17"/>
                <w:szCs w:val="17"/>
                <w:color w:val="auto"/>
              </w:rPr>
            </w:pPr>
          </w:p>
        </w:tc>
        <w:tc>
          <w:tcPr>
            <w:tcW w:w="3220" w:type="dxa"/>
            <w:vAlign w:val="bottom"/>
            <w:gridSpan w:val="4"/>
          </w:tcPr>
          <w:p>
            <w:pPr>
              <w:jc w:val="right"/>
              <w:ind w:right="668"/>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2780" w:type="dxa"/>
            <w:vAlign w:val="bottom"/>
            <w:tcBorders>
              <w:bottom w:val="single" w:sz="8" w:color="CCEEFF"/>
            </w:tcBorders>
          </w:tcPr>
          <w:p>
            <w:pPr>
              <w:spacing w:after="0"/>
              <w:rPr>
                <w:sz w:val="22"/>
                <w:szCs w:val="22"/>
                <w:color w:val="auto"/>
              </w:rPr>
            </w:pPr>
          </w:p>
        </w:tc>
        <w:tc>
          <w:tcPr>
            <w:tcW w:w="4540" w:type="dxa"/>
            <w:vAlign w:val="bottom"/>
            <w:tcBorders>
              <w:top w:val="single" w:sz="8" w:color="auto"/>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color w:val="auto"/>
              </w:rPr>
              <w:t>2016</w:t>
            </w:r>
          </w:p>
        </w:tc>
      </w:tr>
      <w:tr>
        <w:trPr>
          <w:trHeight w:val="251"/>
        </w:trPr>
        <w:tc>
          <w:tcPr>
            <w:tcW w:w="2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intangibles</w:t>
            </w:r>
          </w:p>
        </w:tc>
        <w:tc>
          <w:tcPr>
            <w:tcW w:w="4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Equipment leasing revenues</w:t>
            </w:r>
          </w:p>
        </w:tc>
        <w:tc>
          <w:tcPr>
            <w:tcW w:w="42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1,282</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1,578</w:t>
            </w:r>
          </w:p>
        </w:tc>
      </w:tr>
      <w:tr>
        <w:trPr>
          <w:trHeight w:val="269"/>
        </w:trPr>
        <w:tc>
          <w:tcPr>
            <w:tcW w:w="2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Customer relationships</w:t>
            </w:r>
          </w:p>
        </w:tc>
        <w:tc>
          <w:tcPr>
            <w:tcW w:w="46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Depreciation and amortization</w:t>
            </w:r>
          </w:p>
        </w:tc>
        <w:tc>
          <w:tcPr>
            <w:tcW w:w="4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900</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899</w:t>
            </w:r>
          </w:p>
        </w:tc>
      </w:tr>
      <w:tr>
        <w:trPr>
          <w:trHeight w:val="238"/>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4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2,182</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2,477</w:t>
            </w:r>
          </w:p>
        </w:tc>
      </w:tr>
      <w:tr>
        <w:trPr>
          <w:trHeight w:val="20"/>
        </w:trPr>
        <w:tc>
          <w:tcPr>
            <w:tcW w:w="27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March 31, 2017, estimated net annual amortization of intangibles is as follows:</w:t>
      </w:r>
    </w:p>
    <w:p>
      <w:pPr>
        <w:spacing w:after="0" w:line="386"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93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Total</w:t>
            </w:r>
          </w:p>
        </w:tc>
      </w:tr>
      <w:tr>
        <w:trPr>
          <w:trHeight w:val="211"/>
        </w:trPr>
        <w:tc>
          <w:tcPr>
            <w:tcW w:w="9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2017</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5,564</w:t>
            </w:r>
          </w:p>
        </w:tc>
      </w:tr>
      <w:tr>
        <w:trPr>
          <w:trHeight w:val="212"/>
        </w:trPr>
        <w:tc>
          <w:tcPr>
            <w:tcW w:w="9320" w:type="dxa"/>
            <w:vAlign w:val="bottom"/>
          </w:tcPr>
          <w:p>
            <w:pPr>
              <w:ind w:left="20"/>
              <w:spacing w:after="0"/>
              <w:rPr>
                <w:sz w:val="20"/>
                <w:szCs w:val="20"/>
                <w:color w:val="auto"/>
              </w:rPr>
            </w:pPr>
            <w:r>
              <w:rPr>
                <w:rFonts w:ascii="Arial" w:cs="Arial" w:eastAsia="Arial" w:hAnsi="Arial"/>
                <w:sz w:val="14"/>
                <w:szCs w:val="14"/>
                <w:color w:val="auto"/>
              </w:rPr>
              <w:t>2018</w:t>
            </w:r>
          </w:p>
        </w:tc>
        <w:tc>
          <w:tcPr>
            <w:tcW w:w="400" w:type="dxa"/>
            <w:vAlign w:val="bottom"/>
          </w:tcPr>
          <w:p>
            <w:pPr>
              <w:spacing w:after="0"/>
              <w:rPr>
                <w:sz w:val="18"/>
                <w:szCs w:val="18"/>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7,007</w:t>
            </w:r>
          </w:p>
        </w:tc>
      </w:tr>
      <w:tr>
        <w:trPr>
          <w:trHeight w:val="220"/>
        </w:trPr>
        <w:tc>
          <w:tcPr>
            <w:tcW w:w="9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5,401</w:t>
            </w:r>
          </w:p>
        </w:tc>
      </w:tr>
      <w:tr>
        <w:trPr>
          <w:trHeight w:val="212"/>
        </w:trPr>
        <w:tc>
          <w:tcPr>
            <w:tcW w:w="9320" w:type="dxa"/>
            <w:vAlign w:val="bottom"/>
          </w:tcPr>
          <w:p>
            <w:pPr>
              <w:ind w:left="20"/>
              <w:spacing w:after="0"/>
              <w:rPr>
                <w:sz w:val="20"/>
                <w:szCs w:val="20"/>
                <w:color w:val="auto"/>
              </w:rPr>
            </w:pPr>
            <w:r>
              <w:rPr>
                <w:rFonts w:ascii="Arial" w:cs="Arial" w:eastAsia="Arial" w:hAnsi="Arial"/>
                <w:sz w:val="14"/>
                <w:szCs w:val="14"/>
                <w:color w:val="auto"/>
              </w:rPr>
              <w:t>2020</w:t>
            </w:r>
          </w:p>
        </w:tc>
        <w:tc>
          <w:tcPr>
            <w:tcW w:w="400" w:type="dxa"/>
            <w:vAlign w:val="bottom"/>
          </w:tcPr>
          <w:p>
            <w:pPr>
              <w:spacing w:after="0"/>
              <w:rPr>
                <w:sz w:val="18"/>
                <w:szCs w:val="18"/>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4,055</w:t>
            </w:r>
          </w:p>
        </w:tc>
      </w:tr>
      <w:tr>
        <w:trPr>
          <w:trHeight w:val="220"/>
        </w:trPr>
        <w:tc>
          <w:tcPr>
            <w:tcW w:w="9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3,591</w:t>
            </w:r>
          </w:p>
        </w:tc>
      </w:tr>
      <w:tr>
        <w:trPr>
          <w:trHeight w:val="212"/>
        </w:trPr>
        <w:tc>
          <w:tcPr>
            <w:tcW w:w="9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9,475</w:t>
            </w:r>
          </w:p>
        </w:tc>
      </w:tr>
      <w:tr>
        <w:trPr>
          <w:trHeight w:val="214"/>
        </w:trPr>
        <w:tc>
          <w:tcPr>
            <w:tcW w:w="9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35,093</w:t>
            </w:r>
          </w:p>
        </w:tc>
      </w:tr>
      <w:tr>
        <w:trPr>
          <w:trHeight w:val="20"/>
        </w:trPr>
        <w:tc>
          <w:tcPr>
            <w:tcW w:w="9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8. DEBT, NET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Company’s debt, net is summarized as follows:</w:t>
      </w:r>
    </w:p>
    <w:p>
      <w:pPr>
        <w:spacing w:after="0" w:line="386" w:lineRule="exact"/>
        <w:rPr>
          <w:sz w:val="20"/>
          <w:szCs w:val="20"/>
          <w:color w:val="auto"/>
        </w:rPr>
      </w:pPr>
    </w:p>
    <w:tbl>
      <w:tblPr>
        <w:tblLayout w:type="fixed"/>
        <w:tblInd w:w="340" w:type="dxa"/>
        <w:tblCellMar>
          <w:top w:w="0" w:type="dxa"/>
          <w:left w:w="0" w:type="dxa"/>
          <w:bottom w:w="0" w:type="dxa"/>
          <w:right w:w="0" w:type="dxa"/>
        </w:tblCellMar>
      </w:tblPr>
      <w:tr>
        <w:trPr>
          <w:trHeight w:val="202"/>
        </w:trPr>
        <w:tc>
          <w:tcPr>
            <w:tcW w:w="7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2017</w:t>
            </w:r>
          </w:p>
        </w:tc>
        <w:tc>
          <w:tcPr>
            <w:tcW w:w="180" w:type="dxa"/>
            <w:vAlign w:val="bottom"/>
          </w:tcPr>
          <w:p>
            <w:pPr>
              <w:spacing w:after="0"/>
              <w:rPr>
                <w:sz w:val="17"/>
                <w:szCs w:val="17"/>
                <w:color w:val="auto"/>
              </w:rPr>
            </w:pPr>
          </w:p>
        </w:tc>
        <w:tc>
          <w:tcPr>
            <w:tcW w:w="1580" w:type="dxa"/>
            <w:vAlign w:val="bottom"/>
          </w:tcPr>
          <w:p>
            <w:pPr>
              <w:jc w:val="right"/>
              <w:ind w:right="168"/>
              <w:spacing w:after="0"/>
              <w:rPr>
                <w:sz w:val="20"/>
                <w:szCs w:val="20"/>
                <w:color w:val="auto"/>
              </w:rPr>
            </w:pPr>
            <w:r>
              <w:rPr>
                <w:rFonts w:ascii="Arial" w:cs="Arial" w:eastAsia="Arial" w:hAnsi="Arial"/>
                <w:sz w:val="14"/>
                <w:szCs w:val="14"/>
                <w:color w:val="auto"/>
              </w:rPr>
              <w:t>December 31, 2016</w:t>
            </w:r>
          </w:p>
        </w:tc>
        <w:tc>
          <w:tcPr>
            <w:tcW w:w="0" w:type="dxa"/>
            <w:vAlign w:val="bottom"/>
          </w:tcPr>
          <w:p>
            <w:pPr>
              <w:spacing w:after="0"/>
              <w:rPr>
                <w:sz w:val="1"/>
                <w:szCs w:val="1"/>
                <w:color w:val="auto"/>
              </w:rPr>
            </w:pPr>
          </w:p>
        </w:tc>
      </w:tr>
      <w:tr>
        <w:trPr>
          <w:trHeight w:val="265"/>
        </w:trPr>
        <w:tc>
          <w:tcPr>
            <w:tcW w:w="7440" w:type="dxa"/>
            <w:vAlign w:val="bottom"/>
          </w:tcPr>
          <w:p>
            <w:pPr>
              <w:ind w:left="20"/>
              <w:spacing w:after="0"/>
              <w:rPr>
                <w:sz w:val="20"/>
                <w:szCs w:val="20"/>
                <w:color w:val="auto"/>
              </w:rPr>
            </w:pPr>
            <w:r>
              <w:rPr>
                <w:rFonts w:ascii="Arial" w:cs="Arial" w:eastAsia="Arial" w:hAnsi="Arial"/>
                <w:sz w:val="14"/>
                <w:szCs w:val="14"/>
                <w:b w:val="1"/>
                <w:bCs w:val="1"/>
                <w:color w:val="auto"/>
              </w:rPr>
              <w:t>Loans payable</w:t>
            </w:r>
          </w:p>
        </w:tc>
        <w:tc>
          <w:tcPr>
            <w:tcW w:w="240" w:type="dxa"/>
            <w:vAlign w:val="bottom"/>
            <w:tcBorders>
              <w:top w:val="single" w:sz="8" w:color="auto"/>
            </w:tcBorders>
          </w:tcPr>
          <w:p>
            <w:pPr>
              <w:spacing w:after="0"/>
              <w:rPr>
                <w:sz w:val="23"/>
                <w:szCs w:val="23"/>
                <w:color w:val="auto"/>
              </w:rPr>
            </w:pPr>
          </w:p>
        </w:tc>
        <w:tc>
          <w:tcPr>
            <w:tcW w:w="15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5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74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FTAI Pride Credit Agreement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59,375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60,937</w:t>
            </w:r>
          </w:p>
        </w:tc>
        <w:tc>
          <w:tcPr>
            <w:tcW w:w="0" w:type="dxa"/>
            <w:vAlign w:val="bottom"/>
          </w:tcPr>
          <w:p>
            <w:pPr>
              <w:spacing w:after="0"/>
              <w:rPr>
                <w:sz w:val="1"/>
                <w:szCs w:val="1"/>
                <w:color w:val="auto"/>
              </w:rPr>
            </w:pPr>
          </w:p>
        </w:tc>
      </w:tr>
      <w:tr>
        <w:trPr>
          <w:trHeight w:val="269"/>
        </w:trPr>
        <w:tc>
          <w:tcPr>
            <w:tcW w:w="744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CMQR Credit Agreement</w:t>
            </w:r>
          </w:p>
        </w:tc>
        <w:tc>
          <w:tcPr>
            <w:tcW w:w="24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13,625</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12,625</w:t>
            </w:r>
          </w:p>
        </w:tc>
        <w:tc>
          <w:tcPr>
            <w:tcW w:w="0" w:type="dxa"/>
            <w:vAlign w:val="bottom"/>
          </w:tcPr>
          <w:p>
            <w:pPr>
              <w:spacing w:after="0"/>
              <w:rPr>
                <w:sz w:val="1"/>
                <w:szCs w:val="1"/>
                <w:color w:val="auto"/>
              </w:rPr>
            </w:pPr>
          </w:p>
        </w:tc>
      </w:tr>
      <w:tr>
        <w:trPr>
          <w:trHeight w:val="251"/>
        </w:trPr>
        <w:tc>
          <w:tcPr>
            <w:tcW w:w="74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Total loans payable</w:t>
            </w:r>
          </w:p>
        </w:tc>
        <w:tc>
          <w:tcPr>
            <w:tcW w:w="24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73,000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73,562</w:t>
            </w:r>
          </w:p>
        </w:tc>
        <w:tc>
          <w:tcPr>
            <w:tcW w:w="0" w:type="dxa"/>
            <w:vAlign w:val="bottom"/>
          </w:tcPr>
          <w:p>
            <w:pPr>
              <w:spacing w:after="0"/>
              <w:rPr>
                <w:sz w:val="1"/>
                <w:szCs w:val="1"/>
                <w:color w:val="auto"/>
              </w:rPr>
            </w:pPr>
          </w:p>
        </w:tc>
      </w:tr>
      <w:tr>
        <w:trPr>
          <w:trHeight w:val="269"/>
        </w:trPr>
        <w:tc>
          <w:tcPr>
            <w:tcW w:w="7440" w:type="dxa"/>
            <w:vAlign w:val="bottom"/>
          </w:tcPr>
          <w:p>
            <w:pPr>
              <w:ind w:left="20"/>
              <w:spacing w:after="0"/>
              <w:rPr>
                <w:sz w:val="20"/>
                <w:szCs w:val="20"/>
                <w:color w:val="auto"/>
              </w:rPr>
            </w:pPr>
            <w:r>
              <w:rPr>
                <w:rFonts w:ascii="Arial" w:cs="Arial" w:eastAsia="Arial" w:hAnsi="Arial"/>
                <w:sz w:val="14"/>
                <w:szCs w:val="14"/>
                <w:b w:val="1"/>
                <w:bCs w:val="1"/>
                <w:color w:val="auto"/>
              </w:rPr>
              <w:t>Bonds payable</w:t>
            </w:r>
          </w:p>
        </w:tc>
        <w:tc>
          <w:tcPr>
            <w:tcW w:w="2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74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Series 2012 Bonds (including unamortized premium of $1,682 and $1,697 at March 31, 2017 and December</w:t>
            </w:r>
          </w:p>
        </w:tc>
        <w:tc>
          <w:tcPr>
            <w:tcW w:w="24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45,872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74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31, 2016, respectively)</w:t>
            </w:r>
          </w:p>
        </w:tc>
        <w:tc>
          <w:tcPr>
            <w:tcW w:w="240" w:type="dxa"/>
            <w:vAlign w:val="bottom"/>
            <w:shd w:val="clear" w:color="auto" w:fill="CCEEFF"/>
          </w:tcPr>
          <w:p>
            <w:pPr>
              <w:spacing w:after="0"/>
              <w:rPr>
                <w:sz w:val="17"/>
                <w:szCs w:val="17"/>
                <w:color w:val="auto"/>
              </w:rPr>
            </w:pPr>
          </w:p>
        </w:tc>
        <w:tc>
          <w:tcPr>
            <w:tcW w:w="15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45,887</w:t>
            </w:r>
          </w:p>
        </w:tc>
        <w:tc>
          <w:tcPr>
            <w:tcW w:w="0" w:type="dxa"/>
            <w:vAlign w:val="bottom"/>
          </w:tcPr>
          <w:p>
            <w:pPr>
              <w:spacing w:after="0"/>
              <w:rPr>
                <w:sz w:val="1"/>
                <w:szCs w:val="1"/>
                <w:color w:val="auto"/>
              </w:rPr>
            </w:pPr>
          </w:p>
        </w:tc>
      </w:tr>
      <w:tr>
        <w:trPr>
          <w:trHeight w:val="269"/>
        </w:trPr>
        <w:tc>
          <w:tcPr>
            <w:tcW w:w="7440" w:type="dxa"/>
            <w:vAlign w:val="bottom"/>
          </w:tcPr>
          <w:p>
            <w:pPr>
              <w:ind w:left="480"/>
              <w:spacing w:after="0"/>
              <w:rPr>
                <w:sz w:val="20"/>
                <w:szCs w:val="20"/>
                <w:color w:val="auto"/>
              </w:rPr>
            </w:pPr>
            <w:r>
              <w:rPr>
                <w:rFonts w:ascii="Arial" w:cs="Arial" w:eastAsia="Arial" w:hAnsi="Arial"/>
                <w:sz w:val="14"/>
                <w:szCs w:val="14"/>
                <w:color w:val="auto"/>
              </w:rPr>
              <w:t>Series 2016 Bonds</w:t>
            </w:r>
          </w:p>
        </w:tc>
        <w:tc>
          <w:tcPr>
            <w:tcW w:w="240" w:type="dxa"/>
            <w:vAlign w:val="bottom"/>
          </w:tcPr>
          <w:p>
            <w:pPr>
              <w:spacing w:after="0"/>
              <w:rPr>
                <w:sz w:val="23"/>
                <w:szCs w:val="23"/>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b w:val="1"/>
                <w:bCs w:val="1"/>
                <w:color w:val="auto"/>
              </w:rPr>
              <w:t>144,200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144,200</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Senior Notes (including unamortized discount of $7,449 at March 31, 2017)</w:t>
            </w:r>
          </w:p>
        </w:tc>
        <w:tc>
          <w:tcPr>
            <w:tcW w:w="24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242,551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7440" w:type="dxa"/>
            <w:vAlign w:val="bottom"/>
          </w:tcPr>
          <w:p>
            <w:pPr>
              <w:ind w:left="480"/>
              <w:spacing w:after="0"/>
              <w:rPr>
                <w:sz w:val="20"/>
                <w:szCs w:val="20"/>
                <w:color w:val="auto"/>
              </w:rPr>
            </w:pPr>
            <w:r>
              <w:rPr>
                <w:rFonts w:ascii="Arial" w:cs="Arial" w:eastAsia="Arial" w:hAnsi="Arial"/>
                <w:sz w:val="14"/>
                <w:szCs w:val="14"/>
                <w:color w:val="auto"/>
              </w:rPr>
              <w:t>Total bonds payable</w:t>
            </w:r>
          </w:p>
        </w:tc>
        <w:tc>
          <w:tcPr>
            <w:tcW w:w="240" w:type="dxa"/>
            <w:vAlign w:val="bottom"/>
          </w:tcPr>
          <w:p>
            <w:pPr>
              <w:spacing w:after="0"/>
              <w:rPr>
                <w:sz w:val="21"/>
                <w:szCs w:val="21"/>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b w:val="1"/>
                <w:bCs w:val="1"/>
                <w:color w:val="auto"/>
              </w:rPr>
              <w:t>432,623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190,087</w:t>
            </w:r>
          </w:p>
        </w:tc>
        <w:tc>
          <w:tcPr>
            <w:tcW w:w="0" w:type="dxa"/>
            <w:vAlign w:val="bottom"/>
          </w:tcPr>
          <w:p>
            <w:pPr>
              <w:spacing w:after="0"/>
              <w:rPr>
                <w:sz w:val="1"/>
                <w:szCs w:val="1"/>
                <w:color w:val="auto"/>
              </w:rPr>
            </w:pPr>
          </w:p>
        </w:tc>
      </w:tr>
      <w:tr>
        <w:trPr>
          <w:trHeight w:val="271"/>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Note payable to non-controlling interest</w:t>
            </w:r>
          </w:p>
        </w:tc>
        <w:tc>
          <w:tcPr>
            <w:tcW w:w="24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744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Note payable to non-controlling interest</w:t>
            </w:r>
          </w:p>
        </w:tc>
        <w:tc>
          <w:tcPr>
            <w:tcW w:w="24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2,352</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2,352</w:t>
            </w:r>
          </w:p>
        </w:tc>
        <w:tc>
          <w:tcPr>
            <w:tcW w:w="0" w:type="dxa"/>
            <w:vAlign w:val="bottom"/>
          </w:tcPr>
          <w:p>
            <w:pPr>
              <w:spacing w:after="0"/>
              <w:rPr>
                <w:sz w:val="1"/>
                <w:szCs w:val="1"/>
                <w:color w:val="auto"/>
              </w:rPr>
            </w:pPr>
          </w:p>
        </w:tc>
      </w:tr>
      <w:tr>
        <w:trPr>
          <w:trHeight w:val="251"/>
        </w:trPr>
        <w:tc>
          <w:tcPr>
            <w:tcW w:w="74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Total note payable to non-controlling interest</w:t>
            </w:r>
          </w:p>
        </w:tc>
        <w:tc>
          <w:tcPr>
            <w:tcW w:w="24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2,352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2,352</w:t>
            </w:r>
          </w:p>
        </w:tc>
        <w:tc>
          <w:tcPr>
            <w:tcW w:w="0" w:type="dxa"/>
            <w:vAlign w:val="bottom"/>
          </w:tcPr>
          <w:p>
            <w:pPr>
              <w:spacing w:after="0"/>
              <w:rPr>
                <w:sz w:val="1"/>
                <w:szCs w:val="1"/>
                <w:color w:val="auto"/>
              </w:rPr>
            </w:pPr>
          </w:p>
        </w:tc>
      </w:tr>
      <w:tr>
        <w:trPr>
          <w:trHeight w:val="270"/>
        </w:trPr>
        <w:tc>
          <w:tcPr>
            <w:tcW w:w="744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Debt</w:t>
            </w:r>
          </w:p>
        </w:tc>
        <w:tc>
          <w:tcPr>
            <w:tcW w:w="24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507,975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266,001</w:t>
            </w:r>
          </w:p>
        </w:tc>
        <w:tc>
          <w:tcPr>
            <w:tcW w:w="0" w:type="dxa"/>
            <w:vAlign w:val="bottom"/>
          </w:tcPr>
          <w:p>
            <w:pPr>
              <w:spacing w:after="0"/>
              <w:rPr>
                <w:sz w:val="1"/>
                <w:szCs w:val="1"/>
                <w:color w:val="auto"/>
              </w:rPr>
            </w:pPr>
          </w:p>
        </w:tc>
      </w:tr>
      <w:tr>
        <w:trPr>
          <w:trHeight w:val="269"/>
        </w:trPr>
        <w:tc>
          <w:tcPr>
            <w:tcW w:w="744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Less: Debt issuance costs</w:t>
            </w:r>
          </w:p>
        </w:tc>
        <w:tc>
          <w:tcPr>
            <w:tcW w:w="24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(12,493)</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(6,489)</w:t>
            </w:r>
          </w:p>
        </w:tc>
        <w:tc>
          <w:tcPr>
            <w:tcW w:w="0" w:type="dxa"/>
            <w:vAlign w:val="bottom"/>
          </w:tcPr>
          <w:p>
            <w:pPr>
              <w:spacing w:after="0"/>
              <w:rPr>
                <w:sz w:val="1"/>
                <w:szCs w:val="1"/>
                <w:color w:val="auto"/>
              </w:rPr>
            </w:pPr>
          </w:p>
        </w:tc>
      </w:tr>
      <w:tr>
        <w:trPr>
          <w:trHeight w:val="238"/>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debt, net</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495,482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259,512</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debt due within one year</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6,516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8,078</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5280"/>
              <w:spacing w:after="0"/>
              <w:rPr>
                <w:sz w:val="20"/>
                <w:szCs w:val="20"/>
                <w:color w:val="auto"/>
              </w:rPr>
            </w:pPr>
            <w:r>
              <w:rPr>
                <w:rFonts w:ascii="Arial" w:cs="Arial" w:eastAsia="Arial" w:hAnsi="Arial"/>
                <w:sz w:val="16"/>
                <w:szCs w:val="16"/>
                <w:color w:val="auto"/>
              </w:rPr>
              <w:t>20</w:t>
            </w: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74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6" w:right="239" w:bottom="1440" w:gutter="0" w:footer="0" w:header="0"/>
        </w:sectPr>
      </w:pPr>
    </w:p>
    <w:bookmarkStart w:id="20" w:name="page21"/>
    <w:bookmarkEnd w:id="20"/>
    <w:p>
      <w:pPr>
        <w:ind w:right="382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7" w:lineRule="exact"/>
        <w:rPr>
          <w:sz w:val="20"/>
          <w:szCs w:val="20"/>
          <w:color w:val="auto"/>
        </w:rPr>
      </w:pPr>
    </w:p>
    <w:p>
      <w:pPr>
        <w:jc w:val="both"/>
        <w:ind w:left="340"/>
        <w:spacing w:after="0" w:line="255" w:lineRule="auto"/>
        <w:rPr>
          <w:sz w:val="20"/>
          <w:szCs w:val="20"/>
          <w:color w:val="auto"/>
        </w:rPr>
      </w:pPr>
      <w:r>
        <w:rPr>
          <w:rFonts w:ascii="Arial" w:cs="Arial" w:eastAsia="Arial" w:hAnsi="Arial"/>
          <w:sz w:val="16"/>
          <w:szCs w:val="16"/>
          <w:b w:val="1"/>
          <w:bCs w:val="1"/>
          <w:i w:val="1"/>
          <w:iCs w:val="1"/>
          <w:color w:val="00497F"/>
        </w:rPr>
        <w:t>FTAI Pride Credit Agreement</w:t>
      </w:r>
      <w:r>
        <w:rPr>
          <w:rFonts w:ascii="Arial" w:cs="Arial" w:eastAsia="Arial" w:hAnsi="Arial"/>
          <w:sz w:val="16"/>
          <w:szCs w:val="16"/>
          <w:color w:val="00497F"/>
        </w:rPr>
        <w:t>—</w:t>
      </w:r>
      <w:r>
        <w:rPr>
          <w:rFonts w:ascii="Arial" w:cs="Arial" w:eastAsia="Arial" w:hAnsi="Arial"/>
          <w:sz w:val="16"/>
          <w:szCs w:val="16"/>
          <w:color w:val="000000"/>
        </w:rPr>
        <w:t>On September 15, 2014, FTAI Pride, LLC, (“FTAI Pride”) a subsidiary of the Company entered into a credit agreement</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(the “FTAI Pride Credit Agreement”) with a financial institution for a term loan in an aggregate amount of $75,000. The loan proceeds were used in connection with the acquisition of an offshore construction vessel. The FTAI Pride Credit Agreement requires quarterly payments of interest and scheduled principal payments of $1,562 beginning in the quarter ending December 31, 2015, through its maturity and can be prepaid without penalty at any time. The FTAI Pride Credit Agreement is secured on a first priority basis by the offshore construction vessel. Borrowings under the FTAI Pride Credit Agreement bear interest at the LIBOR rate plus a spread of 4.50%.</w:t>
      </w:r>
    </w:p>
    <w:p>
      <w:pPr>
        <w:spacing w:after="0" w:line="124" w:lineRule="exact"/>
        <w:rPr>
          <w:sz w:val="20"/>
          <w:szCs w:val="20"/>
          <w:color w:val="auto"/>
        </w:rPr>
      </w:pPr>
    </w:p>
    <w:p>
      <w:pPr>
        <w:jc w:val="both"/>
        <w:ind w:left="340"/>
        <w:spacing w:after="0" w:line="269" w:lineRule="auto"/>
        <w:rPr>
          <w:sz w:val="20"/>
          <w:szCs w:val="20"/>
          <w:color w:val="auto"/>
        </w:rPr>
      </w:pPr>
      <w:r>
        <w:rPr>
          <w:rFonts w:ascii="Arial" w:cs="Arial" w:eastAsia="Arial" w:hAnsi="Arial"/>
          <w:sz w:val="16"/>
          <w:szCs w:val="16"/>
          <w:color w:val="auto"/>
        </w:rPr>
        <w:t>The FTAI Pride Credit Agreement contains affirmative and negative covenants which limit certain actions of the borrower and a financial covenant requiring the borrower to maintain a Fixed Charges Coverage Ratio, as defined, of not less than 1.15:1.00 in any twelve month period ending December 31, 2014, or later.</w:t>
      </w:r>
    </w:p>
    <w:p>
      <w:pPr>
        <w:spacing w:after="0" w:line="111" w:lineRule="exact"/>
        <w:rPr>
          <w:sz w:val="20"/>
          <w:szCs w:val="20"/>
          <w:color w:val="auto"/>
        </w:rPr>
      </w:pPr>
    </w:p>
    <w:p>
      <w:pPr>
        <w:jc w:val="both"/>
        <w:ind w:left="340"/>
        <w:spacing w:after="0" w:line="257" w:lineRule="auto"/>
        <w:rPr>
          <w:sz w:val="20"/>
          <w:szCs w:val="20"/>
          <w:color w:val="auto"/>
        </w:rPr>
      </w:pPr>
      <w:r>
        <w:rPr>
          <w:rFonts w:ascii="Arial" w:cs="Arial" w:eastAsia="Arial" w:hAnsi="Arial"/>
          <w:sz w:val="16"/>
          <w:szCs w:val="16"/>
          <w:b w:val="1"/>
          <w:bCs w:val="1"/>
          <w:i w:val="1"/>
          <w:iCs w:val="1"/>
          <w:color w:val="00497F"/>
        </w:rPr>
        <w:t>CMQR Credit Agreement</w:t>
      </w:r>
      <w:r>
        <w:rPr>
          <w:rFonts w:ascii="Arial" w:cs="Arial" w:eastAsia="Arial" w:hAnsi="Arial"/>
          <w:sz w:val="16"/>
          <w:szCs w:val="16"/>
          <w:color w:val="00497F"/>
        </w:rPr>
        <w:t>—</w:t>
      </w:r>
      <w:r>
        <w:rPr>
          <w:rFonts w:ascii="Arial" w:cs="Arial" w:eastAsia="Arial" w:hAnsi="Arial"/>
          <w:sz w:val="16"/>
          <w:szCs w:val="16"/>
          <w:color w:val="000000"/>
        </w:rPr>
        <w:t>On March 28, 2016, CMQR amended its credit agreement (the “CMQR Credit Agreement”) with a financial institution for a</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revolving line of credit to increase the aggregate amount from $10,000 to $20,000 and to extend the maturity date to September 18, 2018. Borrowings under the CMQR Credit Agreement bear interest at either (i) Adjusted LIBOR plus a spread of 2.50% or 4.50%, (ii) the U.S. or Canadian Base Rate plus a spread of 1.50% or 3.50%, or (iii) the Canadian Fixed Rate plus a spread of 2.50% or 4.50%, as defined by the CMQR Credit Agreement. The weighted-average effective interest rate as of March 31, 2017 was 3.41%.</w:t>
      </w:r>
    </w:p>
    <w:p>
      <w:pPr>
        <w:spacing w:after="0" w:line="122" w:lineRule="exact"/>
        <w:rPr>
          <w:sz w:val="20"/>
          <w:szCs w:val="20"/>
          <w:color w:val="auto"/>
        </w:rPr>
      </w:pPr>
    </w:p>
    <w:p>
      <w:pPr>
        <w:jc w:val="both"/>
        <w:ind w:left="340"/>
        <w:spacing w:after="0" w:line="261" w:lineRule="auto"/>
        <w:rPr>
          <w:sz w:val="20"/>
          <w:szCs w:val="20"/>
          <w:color w:val="auto"/>
        </w:rPr>
      </w:pPr>
      <w:r>
        <w:rPr>
          <w:rFonts w:ascii="Arial" w:cs="Arial" w:eastAsia="Arial" w:hAnsi="Arial"/>
          <w:sz w:val="16"/>
          <w:szCs w:val="16"/>
          <w:color w:val="auto"/>
        </w:rPr>
        <w:t>The CMQR Credit Agreement is also indirectly supported by Fortress Transportation and Infrastructure Investors LLC (the “Sponsor”). In the event of a default under the credit agreement, CMQR’s lenders can cause CMQR to call up to a total of $29,000 in capital from the Sponsor, and in the event of CMQR’s bankruptcy, the lenders can put the debt back to the Sponsor. The CMQR Credit Agreement contains affirmative and negative covenants which limit certain actions of CMQR.</w:t>
      </w:r>
    </w:p>
    <w:p>
      <w:pPr>
        <w:spacing w:after="0" w:line="118" w:lineRule="exact"/>
        <w:rPr>
          <w:sz w:val="20"/>
          <w:szCs w:val="20"/>
          <w:color w:val="auto"/>
        </w:rPr>
      </w:pPr>
    </w:p>
    <w:p>
      <w:pPr>
        <w:jc w:val="both"/>
        <w:ind w:left="340"/>
        <w:spacing w:after="0" w:line="255" w:lineRule="auto"/>
        <w:rPr>
          <w:sz w:val="20"/>
          <w:szCs w:val="20"/>
          <w:color w:val="auto"/>
        </w:rPr>
      </w:pPr>
      <w:r>
        <w:rPr>
          <w:rFonts w:ascii="Arial" w:cs="Arial" w:eastAsia="Arial" w:hAnsi="Arial"/>
          <w:sz w:val="16"/>
          <w:szCs w:val="16"/>
          <w:b w:val="1"/>
          <w:bCs w:val="1"/>
          <w:i w:val="1"/>
          <w:iCs w:val="1"/>
          <w:color w:val="00497F"/>
        </w:rPr>
        <w:t>Jefferson Terminal Credit Agreement</w:t>
      </w:r>
      <w:r>
        <w:rPr>
          <w:rFonts w:ascii="Arial" w:cs="Arial" w:eastAsia="Arial" w:hAnsi="Arial"/>
          <w:sz w:val="16"/>
          <w:szCs w:val="16"/>
          <w:color w:val="00497F"/>
        </w:rPr>
        <w:t>—</w:t>
      </w:r>
      <w:r>
        <w:rPr>
          <w:rFonts w:ascii="Arial" w:cs="Arial" w:eastAsia="Arial" w:hAnsi="Arial"/>
          <w:sz w:val="16"/>
          <w:szCs w:val="16"/>
          <w:color w:val="000000"/>
        </w:rPr>
        <w:t>On August 27, 2014, a subsidiary of the Company entered into a credit agreement (the “Jefferson Terminal</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Credit Agreement”) with a financial institution for an aggregate amount of $100,000. The Jefferson Terminal Credit Agreement required quarterly payments of $250 beginning with the quarter ending December 31, 2014, with such quarterly payments increasing to $1,250 beginning with the quarter ending December 31, 2016, and could be prepaid or repaid at any time prior to its maturity on February 27, 2018. On March 8, 2016, all amounts outstanding under the Jefferson Terminal Credit Agreement were paid in full and such agreement was terminated. Accordingly, during the first quarter of 2016, the Company recorded a loss on extinguishment of debt of $1,579.</w:t>
      </w:r>
    </w:p>
    <w:p>
      <w:pPr>
        <w:spacing w:after="0" w:line="124" w:lineRule="exact"/>
        <w:rPr>
          <w:sz w:val="20"/>
          <w:szCs w:val="20"/>
          <w:color w:val="auto"/>
        </w:rPr>
      </w:pPr>
    </w:p>
    <w:p>
      <w:pPr>
        <w:jc w:val="both"/>
        <w:ind w:left="340"/>
        <w:spacing w:after="0" w:line="255" w:lineRule="auto"/>
        <w:rPr>
          <w:sz w:val="20"/>
          <w:szCs w:val="20"/>
          <w:color w:val="auto"/>
        </w:rPr>
      </w:pPr>
      <w:r>
        <w:rPr>
          <w:rFonts w:ascii="Arial" w:cs="Arial" w:eastAsia="Arial" w:hAnsi="Arial"/>
          <w:sz w:val="16"/>
          <w:szCs w:val="16"/>
          <w:b w:val="1"/>
          <w:bCs w:val="1"/>
          <w:i w:val="1"/>
          <w:iCs w:val="1"/>
          <w:color w:val="00497F"/>
        </w:rPr>
        <w:t>Series 2012 Bonds</w:t>
      </w:r>
      <w:r>
        <w:rPr>
          <w:rFonts w:ascii="Arial" w:cs="Arial" w:eastAsia="Arial" w:hAnsi="Arial"/>
          <w:sz w:val="16"/>
          <w:szCs w:val="16"/>
          <w:color w:val="00497F"/>
        </w:rPr>
        <w:t>—</w:t>
      </w:r>
      <w:r>
        <w:rPr>
          <w:rFonts w:ascii="Arial" w:cs="Arial" w:eastAsia="Arial" w:hAnsi="Arial"/>
          <w:sz w:val="16"/>
          <w:szCs w:val="16"/>
          <w:color w:val="000000"/>
        </w:rPr>
        <w:t>On August 1, 2012, Jefferson County Development Corporation issued $46,875 of tax-exempt industrial bonds (“Series 2012</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Bonds”), to specifically fund construction and operation of an intermodal transfer facility for crude oil and refined petroleum products. The proceeds of this issuance were loaned to Jefferson Terminal, to be held in trust, as restricted cash, to ensure adherence to the restrictions of use of the funds. Use of the proceeds requires approval from a trustee prior to release of funds. Such restricted cash may only be released to us after payment of applicable reserves, including a six-month interest reserve, and expenses, as determined by the trustee. The Series 2012 Bonds have a stated maturity of July 1, 2032, bear interest at 8.25%, and require scheduled principal payments. The principal of the Series 2012 Bonds is payable annually at varying amounts.</w:t>
      </w:r>
    </w:p>
    <w:p>
      <w:pPr>
        <w:spacing w:after="0" w:line="124" w:lineRule="exact"/>
        <w:rPr>
          <w:sz w:val="20"/>
          <w:szCs w:val="20"/>
          <w:color w:val="auto"/>
        </w:rPr>
      </w:pPr>
    </w:p>
    <w:p>
      <w:pPr>
        <w:jc w:val="both"/>
        <w:ind w:left="340"/>
        <w:spacing w:after="0" w:line="269" w:lineRule="auto"/>
        <w:rPr>
          <w:sz w:val="20"/>
          <w:szCs w:val="20"/>
          <w:color w:val="auto"/>
        </w:rPr>
      </w:pPr>
      <w:r>
        <w:rPr>
          <w:rFonts w:ascii="Arial" w:cs="Arial" w:eastAsia="Arial" w:hAnsi="Arial"/>
          <w:sz w:val="16"/>
          <w:szCs w:val="16"/>
          <w:color w:val="auto"/>
        </w:rPr>
        <w:t>In connection with the Company’s acquisition of Jefferson Terminal, the Series 2012 Bonds were recorded at a fair value of $48,554, which represented a premium of $1,823 as compared to their face value at the date of acquisition; such premium is being amortized using the effective interest method over the remaining contractual term of the Series 2012 Bonds.</w:t>
      </w:r>
    </w:p>
    <w:p>
      <w:pPr>
        <w:spacing w:after="0" w:line="111" w:lineRule="exact"/>
        <w:rPr>
          <w:sz w:val="20"/>
          <w:szCs w:val="20"/>
          <w:color w:val="auto"/>
        </w:rPr>
      </w:pPr>
    </w:p>
    <w:p>
      <w:pPr>
        <w:jc w:val="both"/>
        <w:ind w:left="340"/>
        <w:spacing w:after="0" w:line="291" w:lineRule="auto"/>
        <w:rPr>
          <w:sz w:val="20"/>
          <w:szCs w:val="20"/>
          <w:color w:val="auto"/>
        </w:rPr>
      </w:pPr>
      <w:r>
        <w:rPr>
          <w:rFonts w:ascii="Arial" w:cs="Arial" w:eastAsia="Arial" w:hAnsi="Arial"/>
          <w:sz w:val="16"/>
          <w:szCs w:val="16"/>
          <w:color w:val="auto"/>
        </w:rPr>
        <w:t>The Series 2012 Bond agreement contains a financial covenant requiring a subsidiary of the Company to maintain a long-term debt service coverage ratio, as defined in the agreement, of 1.25 to 1, in each fiscal year, beginning with December 31, 2014.</w:t>
      </w:r>
    </w:p>
    <w:p>
      <w:pPr>
        <w:spacing w:after="0" w:line="94"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b w:val="1"/>
          <w:bCs w:val="1"/>
          <w:i w:val="1"/>
          <w:iCs w:val="1"/>
          <w:color w:val="00497F"/>
        </w:rPr>
        <w:t>Series 2016 Bonds</w:t>
      </w:r>
      <w:r>
        <w:rPr>
          <w:rFonts w:ascii="Arial" w:cs="Arial" w:eastAsia="Arial" w:hAnsi="Arial"/>
          <w:sz w:val="16"/>
          <w:szCs w:val="16"/>
          <w:color w:val="00497F"/>
        </w:rPr>
        <w:t>—</w:t>
      </w:r>
      <w:r>
        <w:rPr>
          <w:rFonts w:ascii="Arial" w:cs="Arial" w:eastAsia="Arial" w:hAnsi="Arial"/>
          <w:sz w:val="16"/>
          <w:szCs w:val="16"/>
          <w:color w:val="000000"/>
        </w:rPr>
        <w:t>On March 7, 2016, the Port of Beaumont Navigation District of Jefferson County, Texas (the “District”) issued $144,200 of Dock and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Wharf Facility Revenue Bonds, Series 2016 (Jefferson Energy Companies Project) (the “Series 2016 Bonds”). Proceeds from the issuance of the Series 2016 Bonds were used, in part, to reimburse Jefferson Railport Terminal II, LLC (“Jefferson Railport II”) for certain costs related to the development, construction and acquisition of certain facilities for the transport, loading, unloading, and storage of petroleum products (the “Facilities”) on behalf of the District, and settle the Jefferson Terminal Credit Agreement. Construction of the Facilities has occurred, and will occur, on property leased by the District to Jefferson Railport II pursuant to a First Amended and Restated Ground Lease between Jefferson Railport II, as lessee, and the District, as lessor. All such Facilities will be leased by the District to Jefferson Railport II pursuant to a Lease and Development Agreement between the District and Jefferson Railport II.</w:t>
      </w:r>
    </w:p>
    <w:p>
      <w:pPr>
        <w:spacing w:after="0" w:line="317" w:lineRule="exact"/>
        <w:rPr>
          <w:sz w:val="20"/>
          <w:szCs w:val="20"/>
          <w:color w:val="auto"/>
        </w:rPr>
      </w:pPr>
    </w:p>
    <w:p>
      <w:pPr>
        <w:jc w:val="both"/>
        <w:ind w:left="340"/>
        <w:spacing w:after="0" w:line="255" w:lineRule="auto"/>
        <w:rPr>
          <w:sz w:val="20"/>
          <w:szCs w:val="20"/>
          <w:color w:val="auto"/>
        </w:rPr>
      </w:pPr>
      <w:r>
        <w:rPr>
          <w:rFonts w:ascii="Arial" w:cs="Arial" w:eastAsia="Arial" w:hAnsi="Arial"/>
          <w:sz w:val="16"/>
          <w:szCs w:val="16"/>
          <w:color w:val="auto"/>
        </w:rPr>
        <w:t>The transaction described above did not qualify for sale-leaseback accounting due to the continuing involvement of the Company resulting from the mandatory tender feature and, as a result, the leases were classified as a financing transaction in the Company’s consolidated financial statements. Under the financing method, the assets constructed or to be constructed will remain on the consolidated balance sheet and the net proceeds received by the Company are recorded as financial debt. Payments under these leases are recorded as interest expense and reduction of principal in accordance with the terms of the bond agreement with annual interest payments and a principal repayment at February 13, 2020 barring a remarketing of the bond on new terms.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17" w:right="239" w:bottom="1440" w:gutter="0" w:footer="0" w:header="0"/>
        </w:sectPr>
      </w:pPr>
    </w:p>
    <w:bookmarkStart w:id="21" w:name="page22"/>
    <w:bookmarkEnd w:id="21"/>
    <w:p>
      <w:pPr>
        <w:ind w:right="382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7"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Under a Capital Call Agreement, the Company has agreed to make funds available to Jefferson Holdings in order to satisfy its obligation under the Standby Bond Purchase Agreement. The Capital Call Agreement contains certain covenants applicable to the Company, including a negative lien covenant regarding Aviation Assets, as defined therein, as well as maintenance of a minimum total asset value of Aviation Assets and minimum total equity of the Company. In connection with the above, and related to the Series 2016 Bonds, a subsidiary of the Company and an affiliate of its Manager entered into a Fee and Support Agreement with FTAI Energy Partners LLC and certain of its subsidiaries. The Fee and Support Agreement provides that both such subsidiary of the Company and affiliate of the Manager will effectively guarantee a pro rata portion of the obligations under the Standby Bond Purchase Agreement in return for a guarantee fee of $6,873 (shared on the same pro rata basis). This fee will be amortized as interest expense to the earlier of the redemption date or February 13, 2020.</w:t>
      </w:r>
    </w:p>
    <w:p>
      <w:pPr>
        <w:spacing w:after="0" w:line="123"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The Series 2016 Bonds bear interest at an initial rate of 7.25% and require scheduled interest payments. The Series 2016 Bonds have a stated maturity of February 1, 2036 but are subject to mandatory tender for purchase at par on February 13, 2020 if they have not been repurchased from proceeds of a remarketing of the Series 2016 Bonds or redeemed prior to such date. In the event all of the Series 2016 Bonds are not repurchased from proceeds of a remarketing or redeemed at February 13, 2020, Jefferson Railport and Jefferson Railport Terminal II Holdings LLC (“Jefferson Holdings”), a Delaware limited liability company and parent of Jefferson Railport II, have agreed to purchase the Series 2016 Bonds from the Holders thereof at par pursuant to a Standby Bond Purchase Agreement. In addition, pursuant to the Standby Purchase Agreement, Jefferson Holdings will guarantee the payment of all Rent (as defined in the Facilities Lease), and all principal of and premium and interest on the Series 2016 Bonds payable prior to repurchase or redemption at February 13, 2020.</w:t>
      </w:r>
    </w:p>
    <w:p>
      <w:pPr>
        <w:spacing w:after="0" w:line="123" w:lineRule="exact"/>
        <w:rPr>
          <w:sz w:val="20"/>
          <w:szCs w:val="20"/>
          <w:color w:val="auto"/>
        </w:rPr>
      </w:pPr>
    </w:p>
    <w:p>
      <w:pPr>
        <w:jc w:val="both"/>
        <w:ind w:left="340"/>
        <w:spacing w:after="0" w:line="252" w:lineRule="auto"/>
        <w:rPr>
          <w:sz w:val="20"/>
          <w:szCs w:val="20"/>
          <w:color w:val="auto"/>
        </w:rPr>
      </w:pPr>
      <w:r>
        <w:rPr>
          <w:rFonts w:ascii="Arial" w:cs="Arial" w:eastAsia="Arial" w:hAnsi="Arial"/>
          <w:sz w:val="16"/>
          <w:szCs w:val="16"/>
          <w:b w:val="1"/>
          <w:bCs w:val="1"/>
          <w:i w:val="1"/>
          <w:iCs w:val="1"/>
          <w:color w:val="00497F"/>
        </w:rPr>
        <w:t>Term Loan</w:t>
      </w:r>
      <w:r>
        <w:rPr>
          <w:rFonts w:ascii="Arial" w:cs="Arial" w:eastAsia="Arial" w:hAnsi="Arial"/>
          <w:sz w:val="16"/>
          <w:szCs w:val="16"/>
          <w:color w:val="00497F"/>
        </w:rPr>
        <w:t>—</w:t>
      </w:r>
      <w:r>
        <w:rPr>
          <w:rFonts w:ascii="Arial" w:cs="Arial" w:eastAsia="Arial" w:hAnsi="Arial"/>
          <w:sz w:val="16"/>
          <w:szCs w:val="16"/>
          <w:color w:val="000000"/>
        </w:rPr>
        <w:t>On January 23, 2017, Company entered into an unsecured credit agreement under which the Company, through its wholly owned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subsidiaries, including the Partnership and WWTAI Finance Ltd., an exempted company incorporated with limited liability under the laws of Bermuda, borrowed $100,000 in term loans denominated in U.S. dollars (the “Term Loans”). The proceeds of the Term Loan are to be used for general corporate purposes, including future acquisitions by the Company and its subsidiaries of certain aviation and infrastructure assets. The Term Loans bear interest at the Base Rate (determined in accordance with the agreement) plus 2.75% per annum, or at the Adjusted Eurodollar Rate (determined in accordance with the agreement) plus 3.75% per annum, if the Company chooses to make Eurodollar Rate borrowings. The Term Loans mature on January 22, 2018, subject to the Company’s right to elect a one year extension, and require amortization payments in the amount of $250 on the last day of each fiscal quarter beginning on March 31, 2017. On March 15, 2017, all amounts outstanding under the Term Loan were repaid in full and the agreement was terminated. Accordingly, during three months ended March 31, 2017, the Company recorded a loss on extinguishment of debt of $2,456.</w:t>
      </w:r>
    </w:p>
    <w:p>
      <w:pPr>
        <w:spacing w:after="0" w:line="125" w:lineRule="exact"/>
        <w:rPr>
          <w:sz w:val="20"/>
          <w:szCs w:val="20"/>
          <w:color w:val="auto"/>
        </w:rPr>
      </w:pPr>
    </w:p>
    <w:p>
      <w:pPr>
        <w:jc w:val="both"/>
        <w:ind w:left="340"/>
        <w:spacing w:after="0" w:line="269" w:lineRule="auto"/>
        <w:rPr>
          <w:sz w:val="20"/>
          <w:szCs w:val="20"/>
          <w:color w:val="auto"/>
        </w:rPr>
      </w:pPr>
      <w:r>
        <w:rPr>
          <w:rFonts w:ascii="Arial" w:cs="Arial" w:eastAsia="Arial" w:hAnsi="Arial"/>
          <w:sz w:val="16"/>
          <w:szCs w:val="16"/>
          <w:b w:val="1"/>
          <w:bCs w:val="1"/>
          <w:i w:val="1"/>
          <w:iCs w:val="1"/>
          <w:color w:val="00497F"/>
        </w:rPr>
        <w:t>Senior Notes</w:t>
      </w:r>
      <w:r>
        <w:rPr>
          <w:rFonts w:ascii="Arial" w:cs="Arial" w:eastAsia="Arial" w:hAnsi="Arial"/>
          <w:sz w:val="16"/>
          <w:szCs w:val="16"/>
          <w:color w:val="00497F"/>
        </w:rPr>
        <w:t>—</w:t>
      </w:r>
      <w:r>
        <w:rPr>
          <w:rFonts w:ascii="Arial" w:cs="Arial" w:eastAsia="Arial" w:hAnsi="Arial"/>
          <w:sz w:val="16"/>
          <w:szCs w:val="16"/>
          <w:color w:val="000000"/>
        </w:rPr>
        <w:t>On March 15, 2017, Company issued $250,000 aggregate principal amount of 6.75% senior unsecured notes due 2022 (the “Senior</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Notes”). The Senior Notes were issued pursuant to an indenture, dated as of March 15, 2017, between the Company and U.S. Bank National Association, as trustee.</w:t>
      </w:r>
    </w:p>
    <w:p>
      <w:pPr>
        <w:spacing w:after="0" w:line="111" w:lineRule="exact"/>
        <w:rPr>
          <w:sz w:val="20"/>
          <w:szCs w:val="20"/>
          <w:color w:val="auto"/>
        </w:rPr>
      </w:pPr>
    </w:p>
    <w:p>
      <w:pPr>
        <w:jc w:val="both"/>
        <w:ind w:left="340"/>
        <w:spacing w:after="0" w:line="291" w:lineRule="auto"/>
        <w:rPr>
          <w:sz w:val="20"/>
          <w:szCs w:val="20"/>
          <w:color w:val="auto"/>
        </w:rPr>
      </w:pPr>
      <w:r>
        <w:rPr>
          <w:rFonts w:ascii="Arial" w:cs="Arial" w:eastAsia="Arial" w:hAnsi="Arial"/>
          <w:sz w:val="16"/>
          <w:szCs w:val="16"/>
          <w:color w:val="auto"/>
        </w:rPr>
        <w:t>The Senior Notes bear interest at a rate of 6.75% per annum, payable semi-annually in arrears on March 15 and September 15 of each year, commencing on September 15, 2017, to persons who are registered holders of the Senior Notes on the immediately preceding March 1 and September 1, respectively.</w:t>
      </w:r>
    </w:p>
    <w:p>
      <w:pPr>
        <w:spacing w:after="0" w:line="94"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The Senior Notes mature on March 15, 2022. Prior to March 15, 2020, the Company may redeem some or all of the Senior Notes at a redemption price equal to 100.00% of the principal amount of the Senior Notes redeemed, plus accrued and unpaid interest, if any, to, but not including, the applicable redemption date, plus a “make-whole” premium. On or after March 15, 2020, the Company may redeem some or all of the Senior Notes at any time at declining redemption prices equal to (i) 105.063% beginning on March 15, 2020, and (ii) 100.000% beginning on March 15, 2021 and thereafter, plus, in each case, accrued and unpaid interest, if any, to, but not including, the applicable redemption date. In addition, at any time on or prior to March 15, 2020, the Company may at any time redeem up to 40% of the aggregate principal amount of the Senior Notes using net proceeds from certain equity offerings at a redemption price equal to 106.75% of the principal amount of the Senior Notes redeemed, plus accrued and unpaid interest, if any, to, but not including, the applicable redemption date.</w:t>
      </w:r>
    </w:p>
    <w:p>
      <w:pPr>
        <w:spacing w:after="0" w:line="123" w:lineRule="exact"/>
        <w:rPr>
          <w:sz w:val="20"/>
          <w:szCs w:val="20"/>
          <w:color w:val="auto"/>
        </w:rPr>
      </w:pPr>
    </w:p>
    <w:p>
      <w:pPr>
        <w:jc w:val="both"/>
        <w:ind w:left="340"/>
        <w:spacing w:after="0" w:line="269" w:lineRule="auto"/>
        <w:rPr>
          <w:sz w:val="20"/>
          <w:szCs w:val="20"/>
          <w:color w:val="auto"/>
        </w:rPr>
      </w:pPr>
      <w:r>
        <w:rPr>
          <w:rFonts w:ascii="Arial" w:cs="Arial" w:eastAsia="Arial" w:hAnsi="Arial"/>
          <w:sz w:val="16"/>
          <w:szCs w:val="16"/>
          <w:color w:val="auto"/>
        </w:rPr>
        <w:t>The Company used a portion of the proceeds to fully repay all outstanding indebtedness under the Company’s Term Loan in the amount of $100,000, payment of fees related to the issuance of Senior Notes, and to fund the purchase of additional investments. The Company intends to use the remainder of the proceeds for general corporate purposes, including the funding of future investments.</w:t>
      </w:r>
    </w:p>
    <w:p>
      <w:pPr>
        <w:spacing w:after="0" w:line="111" w:lineRule="exact"/>
        <w:rPr>
          <w:sz w:val="20"/>
          <w:szCs w:val="20"/>
          <w:color w:val="auto"/>
        </w:rPr>
      </w:pPr>
    </w:p>
    <w:p>
      <w:pPr>
        <w:jc w:val="both"/>
        <w:ind w:left="340"/>
        <w:spacing w:after="0" w:line="261" w:lineRule="auto"/>
        <w:rPr>
          <w:sz w:val="20"/>
          <w:szCs w:val="20"/>
          <w:color w:val="auto"/>
        </w:rPr>
      </w:pPr>
      <w:r>
        <w:rPr>
          <w:rFonts w:ascii="Arial" w:cs="Arial" w:eastAsia="Arial" w:hAnsi="Arial"/>
          <w:sz w:val="16"/>
          <w:szCs w:val="16"/>
          <w:b w:val="1"/>
          <w:bCs w:val="1"/>
          <w:i w:val="1"/>
          <w:iCs w:val="1"/>
          <w:color w:val="00497F"/>
        </w:rPr>
        <w:t>Note Payable to Non-Controlling Interest</w:t>
      </w:r>
      <w:r>
        <w:rPr>
          <w:rFonts w:ascii="Arial" w:cs="Arial" w:eastAsia="Arial" w:hAnsi="Arial"/>
          <w:sz w:val="16"/>
          <w:szCs w:val="16"/>
          <w:color w:val="00497F"/>
        </w:rPr>
        <w:t>—</w:t>
      </w:r>
      <w:r>
        <w:rPr>
          <w:rFonts w:ascii="Arial" w:cs="Arial" w:eastAsia="Arial" w:hAnsi="Arial"/>
          <w:sz w:val="16"/>
          <w:szCs w:val="16"/>
          <w:color w:val="000000"/>
        </w:rPr>
        <w:t>In May 2013, in connection with the capitalization of a consolidated subsidiary, the Company and the owner</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of the non-controlling interest loaned approximately $18,275 and $3,225, respectively, to the entity in proportion to their respective ownership percentages of 85% and 15%. The loans bear interest at an annual rate of 5% and mature in May 2021. The loan amount funded by the Company and related interest have been eliminated in consolidation.</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was in compliance with all debt covenants as of March 31, 2017.</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17" w:right="239" w:bottom="1440" w:gutter="0" w:footer="0" w:header="0"/>
        </w:sectPr>
      </w:pPr>
    </w:p>
    <w:bookmarkStart w:id="22" w:name="page23"/>
    <w:bookmarkEnd w:id="22"/>
    <w:p>
      <w:pPr>
        <w:ind w:right="382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9. FAIR VALUE MEASUREMENTS</w:t>
      </w:r>
    </w:p>
    <w:p>
      <w:pPr>
        <w:spacing w:after="0" w:line="171" w:lineRule="exact"/>
        <w:rPr>
          <w:sz w:val="20"/>
          <w:szCs w:val="20"/>
          <w:color w:val="auto"/>
        </w:rPr>
      </w:pPr>
    </w:p>
    <w:p>
      <w:pPr>
        <w:ind w:left="340" w:right="20"/>
        <w:spacing w:after="0" w:line="291" w:lineRule="auto"/>
        <w:rPr>
          <w:sz w:val="20"/>
          <w:szCs w:val="20"/>
          <w:color w:val="auto"/>
        </w:rPr>
      </w:pPr>
      <w:r>
        <w:rPr>
          <w:rFonts w:ascii="Arial" w:cs="Arial" w:eastAsia="Arial" w:hAnsi="Arial"/>
          <w:sz w:val="16"/>
          <w:szCs w:val="16"/>
          <w:color w:val="auto"/>
        </w:rPr>
        <w:t>Fair value measurements and disclosures require the use of valuation techniques to measure fair value that maximize the use of observable inputs and minimize use of unobservable inputs. These inputs are prioritized as follows:</w:t>
      </w:r>
    </w:p>
    <w:p>
      <w:pPr>
        <w:spacing w:after="0" w:line="9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Level 1: Observable inputs such as quoted prices in active markets for identical assets or liabilities.</w:t>
      </w:r>
    </w:p>
    <w:p>
      <w:pPr>
        <w:spacing w:after="0" w:line="167" w:lineRule="exact"/>
        <w:rPr>
          <w:rFonts w:ascii="Arial" w:cs="Arial" w:eastAsia="Arial" w:hAnsi="Arial"/>
          <w:sz w:val="16"/>
          <w:szCs w:val="16"/>
          <w:color w:val="auto"/>
        </w:rPr>
      </w:pPr>
    </w:p>
    <w:p>
      <w:pPr>
        <w:ind w:left="660" w:hanging="328"/>
        <w:spacing w:after="0" w:line="291"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Level 2: Inputs other than quoted prices included within Level 1 that are observable, either directly or indirectly, such as quoted prices for similar assets or liabilities or market corroborated inputs.</w:t>
      </w:r>
    </w:p>
    <w:p>
      <w:pPr>
        <w:spacing w:after="0" w:line="94" w:lineRule="exact"/>
        <w:rPr>
          <w:rFonts w:ascii="Arial" w:cs="Arial" w:eastAsia="Arial" w:hAnsi="Arial"/>
          <w:sz w:val="16"/>
          <w:szCs w:val="16"/>
          <w:color w:val="auto"/>
        </w:rPr>
      </w:pPr>
    </w:p>
    <w:p>
      <w:pPr>
        <w:ind w:left="660" w:hanging="328"/>
        <w:spacing w:after="0" w:line="291"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Level 3: Unobservable inputs for which there is little or no market data and which require the Company to develop its own assumptions about how market participants price the asset or liability.</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valuation techniques that may be used to measure fair value are as follows:</w:t>
      </w:r>
    </w:p>
    <w:p>
      <w:pPr>
        <w:spacing w:after="0" w:line="16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Market approach—Uses prices and other relevant information generated by market transactions involving identical or comparable assets or liabilities.</w:t>
      </w:r>
    </w:p>
    <w:p>
      <w:pPr>
        <w:spacing w:after="0" w:line="167" w:lineRule="exact"/>
        <w:rPr>
          <w:rFonts w:ascii="Arial" w:cs="Arial" w:eastAsia="Arial" w:hAnsi="Arial"/>
          <w:sz w:val="16"/>
          <w:szCs w:val="16"/>
          <w:color w:val="auto"/>
        </w:rPr>
      </w:pPr>
    </w:p>
    <w:p>
      <w:pPr>
        <w:ind w:left="660" w:hanging="328"/>
        <w:spacing w:after="0" w:line="291"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Income approach—Uses valuation techniques to convert future amounts to a single present amount based on current market expectations about those future amounts.</w:t>
      </w:r>
    </w:p>
    <w:p>
      <w:pPr>
        <w:spacing w:after="0" w:line="94"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Cost approach—Based on the amount that currently would be required to replace the service capacity of an asset (replacement cost).</w:t>
      </w:r>
    </w:p>
    <w:p>
      <w:pPr>
        <w:spacing w:after="0" w:line="167" w:lineRule="exact"/>
        <w:rPr>
          <w:sz w:val="20"/>
          <w:szCs w:val="20"/>
          <w:color w:val="auto"/>
        </w:rPr>
      </w:pPr>
    </w:p>
    <w:p>
      <w:pPr>
        <w:jc w:val="both"/>
        <w:ind w:left="340"/>
        <w:spacing w:after="0" w:line="269" w:lineRule="auto"/>
        <w:rPr>
          <w:sz w:val="20"/>
          <w:szCs w:val="20"/>
          <w:color w:val="auto"/>
        </w:rPr>
      </w:pPr>
      <w:r>
        <w:rPr>
          <w:rFonts w:ascii="Arial" w:cs="Arial" w:eastAsia="Arial" w:hAnsi="Arial"/>
          <w:sz w:val="16"/>
          <w:szCs w:val="16"/>
          <w:color w:val="auto"/>
        </w:rPr>
        <w:t>The following tables set forth the Company’s financial assets measured at fair value on a recurring basis as of March 31, 2017 and December 31, 2016, by level within the fair value hierarchy. Assets measured at fair value are classified in their entirety based on the lowest level of input that is significant to their fair value measurement.</w:t>
      </w:r>
    </w:p>
    <w:p>
      <w:pPr>
        <w:spacing w:after="0" w:line="330" w:lineRule="exact"/>
        <w:rPr>
          <w:sz w:val="20"/>
          <w:szCs w:val="20"/>
          <w:color w:val="auto"/>
        </w:rPr>
      </w:pPr>
    </w:p>
    <w:tbl>
      <w:tblPr>
        <w:tblLayout w:type="fixed"/>
        <w:tblInd w:w="340" w:type="dxa"/>
        <w:tblCellMar>
          <w:top w:w="0" w:type="dxa"/>
          <w:left w:w="0" w:type="dxa"/>
          <w:bottom w:w="0" w:type="dxa"/>
          <w:right w:w="0" w:type="dxa"/>
        </w:tblCellMar>
      </w:tblPr>
      <w:tr>
        <w:trPr>
          <w:trHeight w:val="202"/>
        </w:trPr>
        <w:tc>
          <w:tcPr>
            <w:tcW w:w="2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Fair Value as of</w:t>
            </w:r>
          </w:p>
        </w:tc>
        <w:tc>
          <w:tcPr>
            <w:tcW w:w="200" w:type="dxa"/>
            <w:vAlign w:val="bottom"/>
          </w:tcPr>
          <w:p>
            <w:pPr>
              <w:spacing w:after="0"/>
              <w:rPr>
                <w:sz w:val="17"/>
                <w:szCs w:val="17"/>
                <w:color w:val="auto"/>
              </w:rPr>
            </w:pPr>
          </w:p>
        </w:tc>
        <w:tc>
          <w:tcPr>
            <w:tcW w:w="4060" w:type="dxa"/>
            <w:vAlign w:val="bottom"/>
            <w:gridSpan w:val="6"/>
          </w:tcPr>
          <w:p>
            <w:pPr>
              <w:jc w:val="center"/>
              <w:ind w:left="8"/>
              <w:spacing w:after="0"/>
              <w:rPr>
                <w:sz w:val="20"/>
                <w:szCs w:val="20"/>
                <w:color w:val="auto"/>
              </w:rPr>
            </w:pPr>
            <w:r>
              <w:rPr>
                <w:rFonts w:ascii="Arial" w:cs="Arial" w:eastAsia="Arial" w:hAnsi="Arial"/>
                <w:sz w:val="14"/>
                <w:szCs w:val="14"/>
                <w:b w:val="1"/>
                <w:bCs w:val="1"/>
                <w:color w:val="auto"/>
              </w:rPr>
              <w:t>Fair Value Measurements Using Fair Value Hierarchy as of</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70"/>
        </w:trPr>
        <w:tc>
          <w:tcPr>
            <w:tcW w:w="26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March 31, 2017</w:t>
            </w: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March 31, 2017</w:t>
            </w:r>
          </w:p>
        </w:tc>
        <w:tc>
          <w:tcPr>
            <w:tcW w:w="118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80" w:type="dxa"/>
            <w:vAlign w:val="bottom"/>
          </w:tcPr>
          <w:p>
            <w:pPr>
              <w:spacing w:after="0"/>
              <w:rPr>
                <w:sz w:val="23"/>
                <w:szCs w:val="23"/>
                <w:color w:val="auto"/>
              </w:rPr>
            </w:pPr>
          </w:p>
        </w:tc>
      </w:tr>
      <w:tr>
        <w:trPr>
          <w:trHeight w:val="265"/>
        </w:trPr>
        <w:tc>
          <w:tcPr>
            <w:tcW w:w="2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23"/>
                <w:szCs w:val="23"/>
                <w:color w:val="auto"/>
              </w:rPr>
            </w:pPr>
          </w:p>
        </w:tc>
        <w:tc>
          <w:tcPr>
            <w:tcW w:w="1340" w:type="dxa"/>
            <w:vAlign w:val="bottom"/>
            <w:gridSpan w:val="2"/>
          </w:tcPr>
          <w:p>
            <w:pPr>
              <w:ind w:left="28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23"/>
                <w:szCs w:val="23"/>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Level 2</w:t>
            </w:r>
          </w:p>
        </w:tc>
        <w:tc>
          <w:tcPr>
            <w:tcW w:w="1180" w:type="dxa"/>
            <w:vAlign w:val="bottom"/>
          </w:tcPr>
          <w:p>
            <w:pPr>
              <w:jc w:val="right"/>
              <w:ind w:right="148"/>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Valuation Technique</w:t>
            </w:r>
          </w:p>
        </w:tc>
      </w:tr>
      <w:tr>
        <w:trPr>
          <w:trHeight w:val="265"/>
        </w:trPr>
        <w:tc>
          <w:tcPr>
            <w:tcW w:w="2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80" w:type="dxa"/>
            <w:vAlign w:val="bottom"/>
            <w:tcBorders>
              <w:top w:val="single" w:sz="8" w:color="auto"/>
            </w:tcBorders>
            <w:shd w:val="clear" w:color="auto" w:fill="CCEEFF"/>
          </w:tcPr>
          <w:p>
            <w:pPr>
              <w:spacing w:after="0"/>
              <w:rPr>
                <w:sz w:val="23"/>
                <w:szCs w:val="23"/>
                <w:color w:val="auto"/>
              </w:rPr>
            </w:pPr>
          </w:p>
        </w:tc>
        <w:tc>
          <w:tcPr>
            <w:tcW w:w="16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80" w:type="dxa"/>
            <w:vAlign w:val="bottom"/>
            <w:tcBorders>
              <w:top w:val="single" w:sz="8" w:color="auto"/>
            </w:tcBorders>
            <w:shd w:val="clear" w:color="auto" w:fill="CCEEFF"/>
          </w:tcPr>
          <w:p>
            <w:pPr>
              <w:spacing w:after="0"/>
              <w:rPr>
                <w:sz w:val="23"/>
                <w:szCs w:val="23"/>
                <w:color w:val="auto"/>
              </w:rPr>
            </w:pPr>
          </w:p>
        </w:tc>
      </w:tr>
      <w:tr>
        <w:trPr>
          <w:trHeight w:val="269"/>
        </w:trPr>
        <w:tc>
          <w:tcPr>
            <w:tcW w:w="2660" w:type="dxa"/>
            <w:vAlign w:val="bottom"/>
          </w:tcPr>
          <w:p>
            <w:pPr>
              <w:ind w:left="260"/>
              <w:spacing w:after="0"/>
              <w:rPr>
                <w:sz w:val="20"/>
                <w:szCs w:val="20"/>
                <w:color w:val="auto"/>
              </w:rPr>
            </w:pPr>
            <w:r>
              <w:rPr>
                <w:rFonts w:ascii="Arial" w:cs="Arial" w:eastAsia="Arial" w:hAnsi="Arial"/>
                <w:sz w:val="14"/>
                <w:szCs w:val="14"/>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tcPr>
          <w:p>
            <w:pPr>
              <w:jc w:val="right"/>
              <w:ind w:right="48"/>
              <w:spacing w:after="0"/>
              <w:rPr>
                <w:sz w:val="20"/>
                <w:szCs w:val="20"/>
                <w:color w:val="auto"/>
              </w:rPr>
            </w:pPr>
            <w:r>
              <w:rPr>
                <w:rFonts w:ascii="Arial" w:cs="Arial" w:eastAsia="Arial" w:hAnsi="Arial"/>
                <w:sz w:val="14"/>
                <w:szCs w:val="14"/>
                <w:b w:val="1"/>
                <w:bCs w:val="1"/>
                <w:color w:val="auto"/>
              </w:rPr>
              <w:t>221,222</w:t>
            </w:r>
          </w:p>
        </w:tc>
        <w:tc>
          <w:tcPr>
            <w:tcW w:w="120" w:type="dxa"/>
            <w:vAlign w:val="bottom"/>
          </w:tcPr>
          <w:p>
            <w:pPr>
              <w:spacing w:after="0"/>
              <w:rPr>
                <w:sz w:val="23"/>
                <w:szCs w:val="23"/>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b w:val="1"/>
                <w:bCs w:val="1"/>
                <w:color w:val="auto"/>
              </w:rPr>
              <w:t>221,222</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80" w:type="dxa"/>
            <w:vAlign w:val="bottom"/>
            <w:gridSpan w:val="2"/>
          </w:tcPr>
          <w:p>
            <w:pPr>
              <w:ind w:left="1020"/>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98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3"/>
                <w:szCs w:val="23"/>
                <w:color w:val="auto"/>
              </w:rPr>
            </w:pPr>
          </w:p>
        </w:tc>
        <w:tc>
          <w:tcPr>
            <w:tcW w:w="1880" w:type="dxa"/>
            <w:vAlign w:val="bottom"/>
          </w:tcPr>
          <w:p>
            <w:pPr>
              <w:jc w:val="center"/>
              <w:spacing w:after="0"/>
              <w:rPr>
                <w:sz w:val="20"/>
                <w:szCs w:val="20"/>
                <w:color w:val="auto"/>
              </w:rPr>
            </w:pPr>
            <w:r>
              <w:rPr>
                <w:rFonts w:ascii="Arial" w:cs="Arial" w:eastAsia="Arial" w:hAnsi="Arial"/>
                <w:sz w:val="14"/>
                <w:szCs w:val="14"/>
                <w:color w:val="auto"/>
              </w:rPr>
              <w:t>Market</w:t>
            </w:r>
          </w:p>
        </w:tc>
      </w:tr>
      <w:tr>
        <w:trPr>
          <w:trHeight w:val="271"/>
        </w:trPr>
        <w:tc>
          <w:tcPr>
            <w:tcW w:w="26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Restricted cash</w:t>
            </w:r>
          </w:p>
        </w:tc>
        <w:tc>
          <w:tcPr>
            <w:tcW w:w="18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56,032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56,032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ind w:left="1020"/>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Market</w:t>
            </w:r>
          </w:p>
        </w:tc>
      </w:tr>
      <w:tr>
        <w:trPr>
          <w:trHeight w:val="269"/>
        </w:trPr>
        <w:tc>
          <w:tcPr>
            <w:tcW w:w="266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Available-for-sale securities</w:t>
            </w:r>
          </w:p>
        </w:tc>
        <w:tc>
          <w:tcPr>
            <w:tcW w:w="18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30,821</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30,821</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188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Market</w:t>
            </w:r>
          </w:p>
        </w:tc>
      </w:tr>
      <w:tr>
        <w:trPr>
          <w:trHeight w:val="238"/>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308,075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308,075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98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r>
      <w:tr>
        <w:trPr>
          <w:trHeight w:val="20"/>
        </w:trPr>
        <w:tc>
          <w:tcPr>
            <w:tcW w:w="2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532"/>
        </w:trPr>
        <w:tc>
          <w:tcPr>
            <w:tcW w:w="2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Fair Value as of</w:t>
            </w:r>
          </w:p>
        </w:tc>
        <w:tc>
          <w:tcPr>
            <w:tcW w:w="200" w:type="dxa"/>
            <w:vAlign w:val="bottom"/>
          </w:tcPr>
          <w:p>
            <w:pPr>
              <w:spacing w:after="0"/>
              <w:rPr>
                <w:sz w:val="24"/>
                <w:szCs w:val="24"/>
                <w:color w:val="auto"/>
              </w:rPr>
            </w:pPr>
          </w:p>
        </w:tc>
        <w:tc>
          <w:tcPr>
            <w:tcW w:w="4060" w:type="dxa"/>
            <w:vAlign w:val="bottom"/>
            <w:gridSpan w:val="6"/>
          </w:tcPr>
          <w:p>
            <w:pPr>
              <w:jc w:val="center"/>
              <w:ind w:left="8"/>
              <w:spacing w:after="0"/>
              <w:rPr>
                <w:sz w:val="20"/>
                <w:szCs w:val="20"/>
                <w:color w:val="auto"/>
              </w:rPr>
            </w:pPr>
            <w:r>
              <w:rPr>
                <w:rFonts w:ascii="Arial" w:cs="Arial" w:eastAsia="Arial" w:hAnsi="Arial"/>
                <w:sz w:val="14"/>
                <w:szCs w:val="14"/>
                <w:b w:val="1"/>
                <w:bCs w:val="1"/>
                <w:color w:val="auto"/>
              </w:rPr>
              <w:t>Fair Value Measurements Using Fair Value Hierarchy as of</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70"/>
        </w:trPr>
        <w:tc>
          <w:tcPr>
            <w:tcW w:w="26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December 31, 2016</w:t>
            </w: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rPr>
              <w:t>December 31, 2016</w:t>
            </w:r>
          </w:p>
        </w:tc>
        <w:tc>
          <w:tcPr>
            <w:tcW w:w="118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80" w:type="dxa"/>
            <w:vAlign w:val="bottom"/>
          </w:tcPr>
          <w:p>
            <w:pPr>
              <w:spacing w:after="0"/>
              <w:rPr>
                <w:sz w:val="23"/>
                <w:szCs w:val="23"/>
                <w:color w:val="auto"/>
              </w:rPr>
            </w:pPr>
          </w:p>
        </w:tc>
      </w:tr>
      <w:tr>
        <w:trPr>
          <w:trHeight w:val="265"/>
        </w:trPr>
        <w:tc>
          <w:tcPr>
            <w:tcW w:w="2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23"/>
                <w:szCs w:val="23"/>
                <w:color w:val="auto"/>
              </w:rPr>
            </w:pPr>
          </w:p>
        </w:tc>
        <w:tc>
          <w:tcPr>
            <w:tcW w:w="1340" w:type="dxa"/>
            <w:vAlign w:val="bottom"/>
            <w:gridSpan w:val="2"/>
          </w:tcPr>
          <w:p>
            <w:pPr>
              <w:ind w:left="28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23"/>
                <w:szCs w:val="23"/>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Level 2</w:t>
            </w:r>
          </w:p>
        </w:tc>
        <w:tc>
          <w:tcPr>
            <w:tcW w:w="1180" w:type="dxa"/>
            <w:vAlign w:val="bottom"/>
          </w:tcPr>
          <w:p>
            <w:pPr>
              <w:jc w:val="right"/>
              <w:ind w:right="148"/>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Valuation Technique</w:t>
            </w:r>
          </w:p>
        </w:tc>
      </w:tr>
      <w:tr>
        <w:trPr>
          <w:trHeight w:val="265"/>
        </w:trPr>
        <w:tc>
          <w:tcPr>
            <w:tcW w:w="2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80" w:type="dxa"/>
            <w:vAlign w:val="bottom"/>
            <w:tcBorders>
              <w:top w:val="single" w:sz="8" w:color="auto"/>
            </w:tcBorders>
            <w:shd w:val="clear" w:color="auto" w:fill="CCEEFF"/>
          </w:tcPr>
          <w:p>
            <w:pPr>
              <w:spacing w:after="0"/>
              <w:rPr>
                <w:sz w:val="23"/>
                <w:szCs w:val="23"/>
                <w:color w:val="auto"/>
              </w:rPr>
            </w:pPr>
          </w:p>
        </w:tc>
        <w:tc>
          <w:tcPr>
            <w:tcW w:w="16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80" w:type="dxa"/>
            <w:vAlign w:val="bottom"/>
            <w:tcBorders>
              <w:top w:val="single" w:sz="8" w:color="auto"/>
            </w:tcBorders>
            <w:shd w:val="clear" w:color="auto" w:fill="CCEEFF"/>
          </w:tcPr>
          <w:p>
            <w:pPr>
              <w:spacing w:after="0"/>
              <w:rPr>
                <w:sz w:val="23"/>
                <w:szCs w:val="23"/>
                <w:color w:val="auto"/>
              </w:rPr>
            </w:pPr>
          </w:p>
        </w:tc>
      </w:tr>
      <w:tr>
        <w:trPr>
          <w:trHeight w:val="266"/>
        </w:trPr>
        <w:tc>
          <w:tcPr>
            <w:tcW w:w="2660" w:type="dxa"/>
            <w:vAlign w:val="bottom"/>
          </w:tcPr>
          <w:p>
            <w:pPr>
              <w:ind w:left="260"/>
              <w:spacing w:after="0"/>
              <w:rPr>
                <w:sz w:val="20"/>
                <w:szCs w:val="20"/>
                <w:color w:val="auto"/>
              </w:rPr>
            </w:pPr>
            <w:r>
              <w:rPr>
                <w:rFonts w:ascii="Arial" w:cs="Arial" w:eastAsia="Arial" w:hAnsi="Arial"/>
                <w:sz w:val="14"/>
                <w:szCs w:val="14"/>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48"/>
              <w:spacing w:after="0"/>
              <w:rPr>
                <w:sz w:val="20"/>
                <w:szCs w:val="20"/>
                <w:color w:val="auto"/>
              </w:rPr>
            </w:pPr>
            <w:r>
              <w:rPr>
                <w:rFonts w:ascii="Arial" w:cs="Arial" w:eastAsia="Arial" w:hAnsi="Arial"/>
                <w:sz w:val="14"/>
                <w:szCs w:val="14"/>
                <w:color w:val="auto"/>
              </w:rPr>
              <w:t>68,055</w:t>
            </w:r>
          </w:p>
        </w:tc>
        <w:tc>
          <w:tcPr>
            <w:tcW w:w="120" w:type="dxa"/>
            <w:vAlign w:val="bottom"/>
          </w:tcPr>
          <w:p>
            <w:pPr>
              <w:spacing w:after="0"/>
              <w:rPr>
                <w:sz w:val="23"/>
                <w:szCs w:val="23"/>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68,055</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98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880" w:type="dxa"/>
            <w:vAlign w:val="bottom"/>
          </w:tcPr>
          <w:p>
            <w:pPr>
              <w:jc w:val="center"/>
              <w:spacing w:after="0"/>
              <w:rPr>
                <w:sz w:val="20"/>
                <w:szCs w:val="20"/>
                <w:color w:val="auto"/>
              </w:rPr>
            </w:pPr>
            <w:r>
              <w:rPr>
                <w:rFonts w:ascii="Arial" w:cs="Arial" w:eastAsia="Arial" w:hAnsi="Arial"/>
                <w:sz w:val="14"/>
                <w:szCs w:val="14"/>
                <w:color w:val="auto"/>
              </w:rPr>
              <w:t>Market</w:t>
            </w:r>
          </w:p>
        </w:tc>
      </w:tr>
      <w:tr>
        <w:trPr>
          <w:trHeight w:val="274"/>
        </w:trPr>
        <w:tc>
          <w:tcPr>
            <w:tcW w:w="26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Restricted cash</w:t>
            </w:r>
          </w:p>
        </w:tc>
        <w:tc>
          <w:tcPr>
            <w:tcW w:w="18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65,441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65,441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Market</w:t>
            </w:r>
          </w:p>
        </w:tc>
      </w:tr>
      <w:tr>
        <w:trPr>
          <w:trHeight w:val="266"/>
        </w:trPr>
        <w:tc>
          <w:tcPr>
            <w:tcW w:w="266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Available-for-sale securities</w:t>
            </w:r>
          </w:p>
        </w:tc>
        <w:tc>
          <w:tcPr>
            <w:tcW w:w="18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17,630</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17,630</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ind w:left="10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88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Market</w:t>
            </w:r>
          </w:p>
        </w:tc>
      </w:tr>
      <w:tr>
        <w:trPr>
          <w:trHeight w:val="241"/>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151,126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151,126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98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March 31, 2017 and December 31, 2016, the Company had no liabilities that were measured at fair value on a recurring basis.</w:t>
      </w:r>
    </w:p>
    <w:p>
      <w:pPr>
        <w:spacing w:after="0" w:line="167" w:lineRule="exact"/>
        <w:rPr>
          <w:sz w:val="20"/>
          <w:szCs w:val="20"/>
          <w:color w:val="auto"/>
        </w:rPr>
      </w:pPr>
    </w:p>
    <w:p>
      <w:pPr>
        <w:jc w:val="both"/>
        <w:ind w:left="340"/>
        <w:spacing w:after="0" w:line="261" w:lineRule="auto"/>
        <w:rPr>
          <w:sz w:val="20"/>
          <w:szCs w:val="20"/>
          <w:color w:val="auto"/>
        </w:rPr>
      </w:pPr>
      <w:r>
        <w:rPr>
          <w:rFonts w:ascii="Arial" w:cs="Arial" w:eastAsia="Arial" w:hAnsi="Arial"/>
          <w:sz w:val="16"/>
          <w:szCs w:val="16"/>
          <w:color w:val="auto"/>
        </w:rPr>
        <w:t>The Company’s cash and cash equivalents and restricted cash consist largely of demand deposit accounts with maturities of 90 days or less when purchased that are considered to be highly liquid. These instruments are valued using inputs observable in active markets for identical instruments and are therefore classified as Level 1 within the fair value hierarchy. Publicly traded securities with sufficient trading volume are fair valued by management using quoted prices for identical instruments in active markets and are therefore classified as Level 1 within the fair value hierarchy.</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16" w:right="239" w:bottom="1440" w:gutter="0" w:footer="0" w:header="0"/>
        </w:sectPr>
      </w:pPr>
    </w:p>
    <w:bookmarkStart w:id="23" w:name="page24"/>
    <w:bookmarkEnd w:id="23"/>
    <w:p>
      <w:pPr>
        <w:ind w:right="382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7" w:lineRule="exact"/>
        <w:rPr>
          <w:sz w:val="20"/>
          <w:szCs w:val="20"/>
          <w:color w:val="auto"/>
        </w:rPr>
      </w:pPr>
    </w:p>
    <w:p>
      <w:pPr>
        <w:jc w:val="both"/>
        <w:ind w:left="340"/>
        <w:spacing w:after="0" w:line="261" w:lineRule="auto"/>
        <w:rPr>
          <w:sz w:val="20"/>
          <w:szCs w:val="20"/>
          <w:color w:val="auto"/>
        </w:rPr>
      </w:pPr>
      <w:r>
        <w:rPr>
          <w:rFonts w:ascii="Arial" w:cs="Arial" w:eastAsia="Arial" w:hAnsi="Arial"/>
          <w:sz w:val="16"/>
          <w:szCs w:val="16"/>
          <w:color w:val="auto"/>
        </w:rPr>
        <w:t>Except as discussed below, the Company’s financial instruments other than cash and cash equivalents, restricted cash and available-for-sale securities consist principally of accounts receivable, accounts payable and accrued liabilities, loans payable, bonds payable, security deposits, maintenance deposits and management fees payable, whose fair value approximates their carrying value based on an evaluation of pricing data, vendor quotes, and historical trading activity or due to their short maturity profiles.</w:t>
      </w:r>
    </w:p>
    <w:p>
      <w:pPr>
        <w:spacing w:after="0" w:line="118" w:lineRule="exact"/>
        <w:rPr>
          <w:sz w:val="20"/>
          <w:szCs w:val="20"/>
          <w:color w:val="auto"/>
        </w:rPr>
      </w:pPr>
    </w:p>
    <w:p>
      <w:pPr>
        <w:jc w:val="both"/>
        <w:ind w:left="340"/>
        <w:spacing w:after="0" w:line="257" w:lineRule="auto"/>
        <w:rPr>
          <w:sz w:val="20"/>
          <w:szCs w:val="20"/>
          <w:color w:val="auto"/>
        </w:rPr>
      </w:pPr>
      <w:r>
        <w:rPr>
          <w:rFonts w:ascii="Arial" w:cs="Arial" w:eastAsia="Arial" w:hAnsi="Arial"/>
          <w:sz w:val="16"/>
          <w:szCs w:val="16"/>
          <w:color w:val="auto"/>
        </w:rPr>
        <w:t>The Company’s notes receivable at March 31, 2017 and December 31, 2016, which is included as a component of other assets on the accompanying Consolidated Balance Sheets, consist of a $3,725 loan bearing interest at 12.0% made to the Company’s joint venture partner in MT 6015 (Note 2) which is collateralized by other property owned by the joint venture partner. At March 31, 2017 and December 31, 2016, the Company’s notes receivable also included a $17,935 and $17,935, respectively, loan bearing interest at 10% related to a terminal site under development, collateralized by property at that site. The fair value of these notes receivable approximate carrying value and are classified as Level 3 within the fair value hierarchy.</w:t>
      </w:r>
    </w:p>
    <w:p>
      <w:pPr>
        <w:spacing w:after="0" w:line="122" w:lineRule="exact"/>
        <w:rPr>
          <w:sz w:val="20"/>
          <w:szCs w:val="20"/>
          <w:color w:val="auto"/>
        </w:rPr>
      </w:pPr>
    </w:p>
    <w:p>
      <w:pPr>
        <w:jc w:val="both"/>
        <w:ind w:left="340"/>
        <w:spacing w:after="0" w:line="254" w:lineRule="auto"/>
        <w:rPr>
          <w:sz w:val="20"/>
          <w:szCs w:val="20"/>
          <w:color w:val="auto"/>
        </w:rPr>
      </w:pPr>
      <w:r>
        <w:rPr>
          <w:rFonts w:ascii="Arial" w:cs="Arial" w:eastAsia="Arial" w:hAnsi="Arial"/>
          <w:sz w:val="16"/>
          <w:szCs w:val="16"/>
          <w:color w:val="auto"/>
        </w:rPr>
        <w:t>The fair value of Series 2012 bonds, reported in debt, net on the Consolidated Balance Sheets, was approximately $46,669 and $46,488, respectively, at March 31, 2017 and December 31, 2016, based upon market prices for similar municipal securities. The fair value of Series 2016 bonds, reported in debt, net on the Consolidated Balance Sheets, was approximately $149,980 and $149,575 at March 31, 2017 and December 31, 2016, respectively, based upon market prices for similar municipal securities. The fair value of Senior Notes, reported in debt, net on the Consolidated Balance Sheets, was approximately $242,551 as of March 31, 2017 as the carrying value approximates the market prices, and is classified as Level 2 within the fair value hierarchy. The fair values of all other items reported as debt, net in the Consolidated Balance Sheet approximate their carrying values due to their bearing market rates of interest, and are classified as Level 2 within the fair value hierarchy.</w:t>
      </w:r>
    </w:p>
    <w:p>
      <w:pPr>
        <w:spacing w:after="0" w:line="123" w:lineRule="exact"/>
        <w:rPr>
          <w:sz w:val="20"/>
          <w:szCs w:val="20"/>
          <w:color w:val="auto"/>
        </w:rPr>
      </w:pPr>
    </w:p>
    <w:p>
      <w:pPr>
        <w:jc w:val="both"/>
        <w:ind w:left="340"/>
        <w:spacing w:after="0" w:line="255" w:lineRule="auto"/>
        <w:rPr>
          <w:sz w:val="20"/>
          <w:szCs w:val="20"/>
          <w:color w:val="auto"/>
        </w:rPr>
      </w:pPr>
      <w:r>
        <w:rPr>
          <w:rFonts w:ascii="Arial" w:cs="Arial" w:eastAsia="Arial" w:hAnsi="Arial"/>
          <w:sz w:val="16"/>
          <w:szCs w:val="16"/>
          <w:color w:val="auto"/>
        </w:rPr>
        <w:t>The Company measures the fair value of certain assets and liabilities on a non-recurring basis when GAAP requires the application of fair value, including events or changes in circumstances that indicate that the carrying amounts of assets may not be recoverable. Assets subject to these measurements include goodwill, intangible assets, property, plant and equipment and leasing equipment. The Company records such assets at fair value when it is determined the carrying value may not be recoverable. Fair value measurements for assets subject to impairment tests are based on an income approach which uses Level 3 inputs, which include the Company’s assumptions as to future cash flows from operation of the underlying businesses and the leasing and eventual sale of assets.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17" w:right="239" w:bottom="1440" w:gutter="0" w:footer="0" w:header="0"/>
        </w:sectPr>
      </w:pPr>
    </w:p>
    <w:bookmarkStart w:id="24" w:name="page25"/>
    <w:bookmarkEnd w:id="24"/>
    <w:p>
      <w:pPr>
        <w:ind w:right="376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10. REVENUES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Components of revenue are as follows:</w:t>
      </w:r>
    </w:p>
    <w:p>
      <w:pPr>
        <w:spacing w:after="0" w:line="238"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80" w:type="dxa"/>
            <w:vAlign w:val="bottom"/>
            <w:tcBorders>
              <w:bottom w:val="single" w:sz="8" w:color="auto"/>
            </w:tcBorders>
            <w:gridSpan w:val="8"/>
          </w:tcPr>
          <w:p>
            <w:pPr>
              <w:jc w:val="center"/>
              <w:ind w:right="280"/>
              <w:spacing w:after="0"/>
              <w:rPr>
                <w:sz w:val="20"/>
                <w:szCs w:val="20"/>
                <w:color w:val="auto"/>
              </w:rPr>
            </w:pPr>
            <w:r>
              <w:rPr>
                <w:rFonts w:ascii="Arial" w:cs="Arial" w:eastAsia="Arial" w:hAnsi="Arial"/>
                <w:sz w:val="14"/>
                <w:szCs w:val="14"/>
                <w:b w:val="1"/>
                <w:bCs w:val="1"/>
                <w:color w:val="auto"/>
              </w:rPr>
              <w:t>Three Months Ended March 31, 2017</w:t>
            </w: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264"/>
        </w:trPr>
        <w:tc>
          <w:tcPr>
            <w:tcW w:w="26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Infrastructure</w:t>
            </w: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168"/>
        </w:trPr>
        <w:tc>
          <w:tcPr>
            <w:tcW w:w="2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Aviation</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Offshore</w:t>
            </w:r>
          </w:p>
        </w:tc>
        <w:tc>
          <w:tcPr>
            <w:tcW w:w="12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Shipping</w:t>
            </w:r>
          </w:p>
        </w:tc>
        <w:tc>
          <w:tcPr>
            <w:tcW w:w="16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Jefferson</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Ports and</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03"/>
        </w:trPr>
        <w:tc>
          <w:tcPr>
            <w:tcW w:w="2640" w:type="dxa"/>
            <w:vAlign w:val="bottom"/>
          </w:tcPr>
          <w:p>
            <w:pPr>
              <w:ind w:left="20"/>
              <w:spacing w:after="0"/>
              <w:rPr>
                <w:sz w:val="20"/>
                <w:szCs w:val="20"/>
                <w:color w:val="auto"/>
              </w:rPr>
            </w:pPr>
            <w:r>
              <w:rPr>
                <w:rFonts w:ascii="Arial" w:cs="Arial" w:eastAsia="Arial" w:hAnsi="Arial"/>
                <w:sz w:val="14"/>
                <w:szCs w:val="14"/>
                <w:b w:val="1"/>
                <w:bCs w:val="1"/>
                <w:color w:val="auto"/>
              </w:rPr>
              <w:t>Revenues</w:t>
            </w:r>
          </w:p>
        </w:tc>
        <w:tc>
          <w:tcPr>
            <w:tcW w:w="20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Arial" w:cs="Arial" w:eastAsia="Arial" w:hAnsi="Arial"/>
                <w:sz w:val="14"/>
                <w:szCs w:val="14"/>
                <w:b w:val="1"/>
                <w:bCs w:val="1"/>
                <w:color w:val="auto"/>
              </w:rPr>
              <w:t>Leasing</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Energy</w:t>
            </w:r>
          </w:p>
        </w:tc>
        <w:tc>
          <w:tcPr>
            <w:tcW w:w="12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Containers</w:t>
            </w:r>
          </w:p>
        </w:tc>
        <w:tc>
          <w:tcPr>
            <w:tcW w:w="16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Terminal</w:t>
            </w:r>
          </w:p>
        </w:tc>
        <w:tc>
          <w:tcPr>
            <w:tcW w:w="180" w:type="dxa"/>
            <w:vAlign w:val="bottom"/>
          </w:tcPr>
          <w:p>
            <w:pPr>
              <w:spacing w:after="0"/>
              <w:rPr>
                <w:sz w:val="17"/>
                <w:szCs w:val="17"/>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Railroad</w:t>
            </w:r>
          </w:p>
        </w:tc>
        <w:tc>
          <w:tcPr>
            <w:tcW w:w="160" w:type="dxa"/>
            <w:vAlign w:val="bottom"/>
          </w:tcPr>
          <w:p>
            <w:pPr>
              <w:spacing w:after="0"/>
              <w:rPr>
                <w:sz w:val="17"/>
                <w:szCs w:val="17"/>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Terminals</w:t>
            </w:r>
          </w:p>
        </w:tc>
        <w:tc>
          <w:tcPr>
            <w:tcW w:w="240" w:type="dxa"/>
            <w:vAlign w:val="bottom"/>
          </w:tcPr>
          <w:p>
            <w:pPr>
              <w:spacing w:after="0"/>
              <w:rPr>
                <w:sz w:val="17"/>
                <w:szCs w:val="17"/>
                <w:color w:val="auto"/>
              </w:rPr>
            </w:pPr>
          </w:p>
        </w:tc>
        <w:tc>
          <w:tcPr>
            <w:tcW w:w="860" w:type="dxa"/>
            <w:vAlign w:val="bottom"/>
          </w:tcPr>
          <w:p>
            <w:pPr>
              <w:jc w:val="right"/>
              <w:ind w:right="308"/>
              <w:spacing w:after="0"/>
              <w:rPr>
                <w:sz w:val="20"/>
                <w:szCs w:val="20"/>
                <w:color w:val="auto"/>
              </w:rPr>
            </w:pPr>
            <w:r>
              <w:rPr>
                <w:rFonts w:ascii="Arial" w:cs="Arial" w:eastAsia="Arial" w:hAnsi="Arial"/>
                <w:sz w:val="14"/>
                <w:szCs w:val="14"/>
                <w:b w:val="1"/>
                <w:bCs w:val="1"/>
                <w:color w:val="auto"/>
              </w:rPr>
              <w:t>Total</w:t>
            </w:r>
          </w:p>
        </w:tc>
      </w:tr>
      <w:tr>
        <w:trPr>
          <w:trHeight w:val="265"/>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20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r>
      <w:tr>
        <w:trPr>
          <w:trHeight w:val="269"/>
        </w:trPr>
        <w:tc>
          <w:tcPr>
            <w:tcW w:w="2640" w:type="dxa"/>
            <w:vAlign w:val="bottom"/>
          </w:tcPr>
          <w:p>
            <w:pPr>
              <w:ind w:left="380"/>
              <w:spacing w:after="0"/>
              <w:rPr>
                <w:sz w:val="20"/>
                <w:szCs w:val="20"/>
                <w:color w:val="auto"/>
              </w:rPr>
            </w:pPr>
            <w:r>
              <w:rPr>
                <w:rFonts w:ascii="Arial" w:cs="Arial" w:eastAsia="Arial" w:hAnsi="Arial"/>
                <w:sz w:val="14"/>
                <w:szCs w:val="14"/>
                <w:color w:val="auto"/>
              </w:rPr>
              <w:t>Lease income</w:t>
            </w: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17,635</w:t>
            </w:r>
          </w:p>
        </w:tc>
        <w:tc>
          <w:tcPr>
            <w:tcW w:w="36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611</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b w:val="1"/>
                <w:bCs w:val="1"/>
                <w:color w:val="auto"/>
              </w:rPr>
              <w:t>18,246</w:t>
            </w:r>
          </w:p>
        </w:tc>
      </w:tr>
      <w:tr>
        <w:trPr>
          <w:trHeight w:val="271"/>
        </w:trPr>
        <w:tc>
          <w:tcPr>
            <w:tcW w:w="26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Maintenance revenue</w:t>
            </w:r>
          </w:p>
        </w:tc>
        <w:tc>
          <w:tcPr>
            <w:tcW w:w="20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12,669</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12,669</w:t>
            </w:r>
          </w:p>
        </w:tc>
      </w:tr>
      <w:tr>
        <w:trPr>
          <w:trHeight w:val="269"/>
        </w:trPr>
        <w:tc>
          <w:tcPr>
            <w:tcW w:w="2640" w:type="dxa"/>
            <w:vAlign w:val="bottom"/>
          </w:tcPr>
          <w:p>
            <w:pPr>
              <w:ind w:left="380"/>
              <w:spacing w:after="0"/>
              <w:rPr>
                <w:sz w:val="20"/>
                <w:szCs w:val="20"/>
                <w:color w:val="auto"/>
              </w:rPr>
            </w:pPr>
            <w:r>
              <w:rPr>
                <w:rFonts w:ascii="Arial" w:cs="Arial" w:eastAsia="Arial" w:hAnsi="Arial"/>
                <w:sz w:val="14"/>
                <w:szCs w:val="14"/>
                <w:color w:val="auto"/>
              </w:rPr>
              <w:t>Finance lease income</w:t>
            </w: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386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b w:val="1"/>
                <w:bCs w:val="1"/>
                <w:color w:val="auto"/>
              </w:rPr>
              <w:t>386</w:t>
            </w:r>
          </w:p>
        </w:tc>
      </w:tr>
      <w:tr>
        <w:trPr>
          <w:trHeight w:val="271"/>
        </w:trPr>
        <w:tc>
          <w:tcPr>
            <w:tcW w:w="26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revenue</w:t>
            </w:r>
          </w:p>
        </w:tc>
        <w:tc>
          <w:tcPr>
            <w:tcW w:w="20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87</w:t>
            </w:r>
          </w:p>
        </w:tc>
      </w:tr>
      <w:tr>
        <w:trPr>
          <w:trHeight w:val="154"/>
        </w:trPr>
        <w:tc>
          <w:tcPr>
            <w:tcW w:w="2640" w:type="dxa"/>
            <w:vAlign w:val="bottom"/>
          </w:tcPr>
          <w:p>
            <w:pPr>
              <w:ind w:left="380"/>
              <w:spacing w:after="0" w:line="154" w:lineRule="exact"/>
              <w:rPr>
                <w:sz w:val="20"/>
                <w:szCs w:val="20"/>
                <w:color w:val="auto"/>
              </w:rPr>
            </w:pPr>
            <w:r>
              <w:rPr>
                <w:rFonts w:ascii="Arial" w:cs="Arial" w:eastAsia="Arial" w:hAnsi="Arial"/>
                <w:sz w:val="14"/>
                <w:szCs w:val="14"/>
                <w:b w:val="1"/>
                <w:bCs w:val="1"/>
                <w:color w:val="auto"/>
              </w:rPr>
              <w:t>Total equipment leasing</w:t>
            </w:r>
          </w:p>
        </w:tc>
        <w:tc>
          <w:tcPr>
            <w:tcW w:w="2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r>
      <w:tr>
        <w:trPr>
          <w:trHeight w:val="203"/>
        </w:trPr>
        <w:tc>
          <w:tcPr>
            <w:tcW w:w="2640" w:type="dxa"/>
            <w:vAlign w:val="bottom"/>
          </w:tcPr>
          <w:p>
            <w:pPr>
              <w:ind w:left="380"/>
              <w:spacing w:after="0"/>
              <w:rPr>
                <w:sz w:val="20"/>
                <w:szCs w:val="20"/>
                <w:color w:val="auto"/>
              </w:rPr>
            </w:pPr>
            <w:r>
              <w:rPr>
                <w:rFonts w:ascii="Arial" w:cs="Arial" w:eastAsia="Arial" w:hAnsi="Arial"/>
                <w:sz w:val="14"/>
                <w:szCs w:val="14"/>
                <w:b w:val="1"/>
                <w:bCs w:val="1"/>
                <w:color w:val="auto"/>
              </w:rPr>
              <w:t>revenues</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30,306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1,057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25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b w:val="1"/>
                <w:bCs w:val="1"/>
                <w:color w:val="auto"/>
              </w:rPr>
              <w:t>31,388</w:t>
            </w:r>
          </w:p>
        </w:tc>
      </w:tr>
      <w:tr>
        <w:trPr>
          <w:trHeight w:val="265"/>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20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r>
      <w:tr>
        <w:trPr>
          <w:trHeight w:val="269"/>
        </w:trPr>
        <w:tc>
          <w:tcPr>
            <w:tcW w:w="2640" w:type="dxa"/>
            <w:vAlign w:val="bottom"/>
          </w:tcPr>
          <w:p>
            <w:pPr>
              <w:ind w:left="380"/>
              <w:spacing w:after="0"/>
              <w:rPr>
                <w:sz w:val="20"/>
                <w:szCs w:val="20"/>
                <w:color w:val="auto"/>
              </w:rPr>
            </w:pPr>
            <w:r>
              <w:rPr>
                <w:rFonts w:ascii="Arial" w:cs="Arial" w:eastAsia="Arial" w:hAnsi="Arial"/>
                <w:sz w:val="14"/>
                <w:szCs w:val="14"/>
                <w:color w:val="auto"/>
              </w:rPr>
              <w:t>Lease income</w:t>
            </w: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auto"/>
              </w:rPr>
              <w:t>16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b w:val="1"/>
                <w:bCs w:val="1"/>
                <w:color w:val="auto"/>
              </w:rPr>
              <w:t>16</w:t>
            </w:r>
          </w:p>
        </w:tc>
      </w:tr>
      <w:tr>
        <w:trPr>
          <w:trHeight w:val="271"/>
        </w:trPr>
        <w:tc>
          <w:tcPr>
            <w:tcW w:w="26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Rail revenues</w:t>
            </w:r>
          </w:p>
        </w:tc>
        <w:tc>
          <w:tcPr>
            <w:tcW w:w="20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8,403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8,403</w:t>
            </w:r>
          </w:p>
        </w:tc>
      </w:tr>
      <w:tr>
        <w:trPr>
          <w:trHeight w:val="269"/>
        </w:trPr>
        <w:tc>
          <w:tcPr>
            <w:tcW w:w="26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Terminal services revenues</w:t>
            </w:r>
          </w:p>
        </w:tc>
        <w:tc>
          <w:tcPr>
            <w:tcW w:w="2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4,866</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4,866</w:t>
            </w:r>
          </w:p>
        </w:tc>
      </w:tr>
      <w:tr>
        <w:trPr>
          <w:trHeight w:val="250"/>
        </w:trPr>
        <w:tc>
          <w:tcPr>
            <w:tcW w:w="2640" w:type="dxa"/>
            <w:vAlign w:val="bottom"/>
            <w:shd w:val="clear" w:color="auto" w:fill="CCEEFF"/>
          </w:tcPr>
          <w:p>
            <w:pPr>
              <w:ind w:left="380"/>
              <w:spacing w:after="0"/>
              <w:rPr>
                <w:sz w:val="20"/>
                <w:szCs w:val="20"/>
                <w:color w:val="auto"/>
              </w:rPr>
            </w:pPr>
            <w:r>
              <w:rPr>
                <w:rFonts w:ascii="Arial" w:cs="Arial" w:eastAsia="Arial" w:hAnsi="Arial"/>
                <w:sz w:val="14"/>
                <w:szCs w:val="14"/>
                <w:b w:val="1"/>
                <w:bCs w:val="1"/>
                <w:color w:val="auto"/>
              </w:rPr>
              <w:t>Total infrastructure revenues</w:t>
            </w:r>
          </w:p>
        </w:tc>
        <w:tc>
          <w:tcPr>
            <w:tcW w:w="2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4,866</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8,403</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13,285</w:t>
            </w:r>
          </w:p>
        </w:tc>
      </w:tr>
      <w:tr>
        <w:trPr>
          <w:trHeight w:val="238"/>
        </w:trPr>
        <w:tc>
          <w:tcPr>
            <w:tcW w:w="2640" w:type="dxa"/>
            <w:vAlign w:val="bottom"/>
          </w:tcPr>
          <w:p>
            <w:pPr>
              <w:ind w:left="20"/>
              <w:spacing w:after="0"/>
              <w:rPr>
                <w:sz w:val="20"/>
                <w:szCs w:val="20"/>
                <w:color w:val="auto"/>
              </w:rPr>
            </w:pPr>
            <w:r>
              <w:rPr>
                <w:rFonts w:ascii="Arial" w:cs="Arial" w:eastAsia="Arial" w:hAnsi="Arial"/>
                <w:sz w:val="14"/>
                <w:szCs w:val="14"/>
                <w:b w:val="1"/>
                <w:bCs w:val="1"/>
                <w:color w:val="auto"/>
              </w:rPr>
              <w:t>Total revenues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30,306</w:t>
            </w: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1,057</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25</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4,866</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8,403</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16</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44,673</w:t>
            </w:r>
          </w:p>
        </w:tc>
      </w:tr>
      <w:tr>
        <w:trPr>
          <w:trHeight w:val="20"/>
        </w:trPr>
        <w:tc>
          <w:tcPr>
            <w:tcW w:w="2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385"/>
        </w:trPr>
        <w:tc>
          <w:tcPr>
            <w:tcW w:w="26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8"/>
          </w:tcPr>
          <w:p>
            <w:pPr>
              <w:jc w:val="center"/>
              <w:ind w:right="280"/>
              <w:spacing w:after="0"/>
              <w:rPr>
                <w:sz w:val="20"/>
                <w:szCs w:val="20"/>
                <w:color w:val="auto"/>
              </w:rPr>
            </w:pPr>
            <w:r>
              <w:rPr>
                <w:rFonts w:ascii="Arial" w:cs="Arial" w:eastAsia="Arial" w:hAnsi="Arial"/>
                <w:sz w:val="14"/>
                <w:szCs w:val="14"/>
                <w:b w:val="1"/>
                <w:bCs w:val="1"/>
                <w:color w:val="auto"/>
              </w:rPr>
              <w:t>Three Months Ended March 31, 2016</w:t>
            </w: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264"/>
        </w:trPr>
        <w:tc>
          <w:tcPr>
            <w:tcW w:w="26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Infrastructure</w:t>
            </w: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168"/>
        </w:trPr>
        <w:tc>
          <w:tcPr>
            <w:tcW w:w="2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Aviation</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Offshore</w:t>
            </w:r>
          </w:p>
        </w:tc>
        <w:tc>
          <w:tcPr>
            <w:tcW w:w="12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Shipping</w:t>
            </w:r>
          </w:p>
        </w:tc>
        <w:tc>
          <w:tcPr>
            <w:tcW w:w="16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Jefferson</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Ports and</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03"/>
        </w:trPr>
        <w:tc>
          <w:tcPr>
            <w:tcW w:w="2640" w:type="dxa"/>
            <w:vAlign w:val="bottom"/>
          </w:tcPr>
          <w:p>
            <w:pPr>
              <w:ind w:left="20"/>
              <w:spacing w:after="0"/>
              <w:rPr>
                <w:sz w:val="20"/>
                <w:szCs w:val="20"/>
                <w:color w:val="auto"/>
              </w:rPr>
            </w:pPr>
            <w:r>
              <w:rPr>
                <w:rFonts w:ascii="Arial" w:cs="Arial" w:eastAsia="Arial" w:hAnsi="Arial"/>
                <w:sz w:val="14"/>
                <w:szCs w:val="14"/>
                <w:b w:val="1"/>
                <w:bCs w:val="1"/>
                <w:color w:val="auto"/>
              </w:rPr>
              <w:t>Revenues</w:t>
            </w:r>
          </w:p>
        </w:tc>
        <w:tc>
          <w:tcPr>
            <w:tcW w:w="20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Arial" w:cs="Arial" w:eastAsia="Arial" w:hAnsi="Arial"/>
                <w:sz w:val="14"/>
                <w:szCs w:val="14"/>
                <w:b w:val="1"/>
                <w:bCs w:val="1"/>
                <w:color w:val="auto"/>
              </w:rPr>
              <w:t>Leasing</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Energy</w:t>
            </w:r>
          </w:p>
        </w:tc>
        <w:tc>
          <w:tcPr>
            <w:tcW w:w="12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Containers</w:t>
            </w:r>
          </w:p>
        </w:tc>
        <w:tc>
          <w:tcPr>
            <w:tcW w:w="16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Terminal</w:t>
            </w:r>
          </w:p>
        </w:tc>
        <w:tc>
          <w:tcPr>
            <w:tcW w:w="180" w:type="dxa"/>
            <w:vAlign w:val="bottom"/>
          </w:tcPr>
          <w:p>
            <w:pPr>
              <w:spacing w:after="0"/>
              <w:rPr>
                <w:sz w:val="17"/>
                <w:szCs w:val="17"/>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Railroad</w:t>
            </w:r>
          </w:p>
        </w:tc>
        <w:tc>
          <w:tcPr>
            <w:tcW w:w="160" w:type="dxa"/>
            <w:vAlign w:val="bottom"/>
          </w:tcPr>
          <w:p>
            <w:pPr>
              <w:spacing w:after="0"/>
              <w:rPr>
                <w:sz w:val="17"/>
                <w:szCs w:val="17"/>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Terminals</w:t>
            </w:r>
          </w:p>
        </w:tc>
        <w:tc>
          <w:tcPr>
            <w:tcW w:w="240" w:type="dxa"/>
            <w:vAlign w:val="bottom"/>
          </w:tcPr>
          <w:p>
            <w:pPr>
              <w:spacing w:after="0"/>
              <w:rPr>
                <w:sz w:val="17"/>
                <w:szCs w:val="17"/>
                <w:color w:val="auto"/>
              </w:rPr>
            </w:pPr>
          </w:p>
        </w:tc>
        <w:tc>
          <w:tcPr>
            <w:tcW w:w="860" w:type="dxa"/>
            <w:vAlign w:val="bottom"/>
          </w:tcPr>
          <w:p>
            <w:pPr>
              <w:jc w:val="right"/>
              <w:ind w:right="308"/>
              <w:spacing w:after="0"/>
              <w:rPr>
                <w:sz w:val="20"/>
                <w:szCs w:val="20"/>
                <w:color w:val="auto"/>
              </w:rPr>
            </w:pPr>
            <w:r>
              <w:rPr>
                <w:rFonts w:ascii="Arial" w:cs="Arial" w:eastAsia="Arial" w:hAnsi="Arial"/>
                <w:sz w:val="14"/>
                <w:szCs w:val="14"/>
                <w:b w:val="1"/>
                <w:bCs w:val="1"/>
                <w:color w:val="auto"/>
              </w:rPr>
              <w:t>Total</w:t>
            </w:r>
          </w:p>
        </w:tc>
      </w:tr>
      <w:tr>
        <w:trPr>
          <w:trHeight w:val="265"/>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20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r>
      <w:tr>
        <w:trPr>
          <w:trHeight w:val="266"/>
        </w:trPr>
        <w:tc>
          <w:tcPr>
            <w:tcW w:w="2640" w:type="dxa"/>
            <w:vAlign w:val="bottom"/>
          </w:tcPr>
          <w:p>
            <w:pPr>
              <w:ind w:left="380"/>
              <w:spacing w:after="0"/>
              <w:rPr>
                <w:sz w:val="20"/>
                <w:szCs w:val="20"/>
                <w:color w:val="auto"/>
              </w:rPr>
            </w:pPr>
            <w:r>
              <w:rPr>
                <w:rFonts w:ascii="Arial" w:cs="Arial" w:eastAsia="Arial" w:hAnsi="Arial"/>
                <w:sz w:val="14"/>
                <w:szCs w:val="14"/>
                <w:color w:val="auto"/>
              </w:rPr>
              <w:t>Lease income</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12,847</w:t>
            </w:r>
          </w:p>
        </w:tc>
        <w:tc>
          <w:tcPr>
            <w:tcW w:w="360" w:type="dxa"/>
            <w:vAlign w:val="bottom"/>
            <w:gridSpan w:val="3"/>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12,922</w:t>
            </w:r>
          </w:p>
        </w:tc>
      </w:tr>
      <w:tr>
        <w:trPr>
          <w:trHeight w:val="274"/>
        </w:trPr>
        <w:tc>
          <w:tcPr>
            <w:tcW w:w="26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Maintenance revenue</w:t>
            </w:r>
          </w:p>
        </w:tc>
        <w:tc>
          <w:tcPr>
            <w:tcW w:w="20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5,106</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5,106</w:t>
            </w:r>
          </w:p>
        </w:tc>
      </w:tr>
      <w:tr>
        <w:trPr>
          <w:trHeight w:val="266"/>
        </w:trPr>
        <w:tc>
          <w:tcPr>
            <w:tcW w:w="2640" w:type="dxa"/>
            <w:vAlign w:val="bottom"/>
          </w:tcPr>
          <w:p>
            <w:pPr>
              <w:ind w:left="380"/>
              <w:spacing w:after="0"/>
              <w:rPr>
                <w:sz w:val="20"/>
                <w:szCs w:val="20"/>
                <w:color w:val="auto"/>
              </w:rPr>
            </w:pPr>
            <w:r>
              <w:rPr>
                <w:rFonts w:ascii="Arial" w:cs="Arial" w:eastAsia="Arial" w:hAnsi="Arial"/>
                <w:sz w:val="14"/>
                <w:szCs w:val="14"/>
                <w:color w:val="auto"/>
              </w:rPr>
              <w:t>Finance lease income</w:t>
            </w: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410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1,112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1,522</w:t>
            </w:r>
          </w:p>
        </w:tc>
      </w:tr>
      <w:tr>
        <w:trPr>
          <w:trHeight w:val="274"/>
        </w:trPr>
        <w:tc>
          <w:tcPr>
            <w:tcW w:w="26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revenue</w:t>
            </w:r>
          </w:p>
        </w:tc>
        <w:tc>
          <w:tcPr>
            <w:tcW w:w="20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w:t>
            </w:r>
          </w:p>
        </w:tc>
      </w:tr>
      <w:tr>
        <w:trPr>
          <w:trHeight w:val="154"/>
        </w:trPr>
        <w:tc>
          <w:tcPr>
            <w:tcW w:w="2640" w:type="dxa"/>
            <w:vAlign w:val="bottom"/>
          </w:tcPr>
          <w:p>
            <w:pPr>
              <w:ind w:left="380"/>
              <w:spacing w:after="0" w:line="154" w:lineRule="exact"/>
              <w:rPr>
                <w:sz w:val="20"/>
                <w:szCs w:val="20"/>
                <w:color w:val="auto"/>
              </w:rPr>
            </w:pPr>
            <w:r>
              <w:rPr>
                <w:rFonts w:ascii="Arial" w:cs="Arial" w:eastAsia="Arial" w:hAnsi="Arial"/>
                <w:sz w:val="14"/>
                <w:szCs w:val="14"/>
                <w:b w:val="1"/>
                <w:bCs w:val="1"/>
                <w:color w:val="auto"/>
              </w:rPr>
              <w:t>Total equipment leasing</w:t>
            </w:r>
          </w:p>
        </w:tc>
        <w:tc>
          <w:tcPr>
            <w:tcW w:w="2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r>
      <w:tr>
        <w:trPr>
          <w:trHeight w:val="203"/>
        </w:trPr>
        <w:tc>
          <w:tcPr>
            <w:tcW w:w="2640" w:type="dxa"/>
            <w:vAlign w:val="bottom"/>
          </w:tcPr>
          <w:p>
            <w:pPr>
              <w:ind w:left="380"/>
              <w:spacing w:after="0"/>
              <w:rPr>
                <w:sz w:val="20"/>
                <w:szCs w:val="20"/>
                <w:color w:val="auto"/>
              </w:rPr>
            </w:pPr>
            <w:r>
              <w:rPr>
                <w:rFonts w:ascii="Arial" w:cs="Arial" w:eastAsia="Arial" w:hAnsi="Arial"/>
                <w:sz w:val="14"/>
                <w:szCs w:val="14"/>
                <w:b w:val="1"/>
                <w:bCs w:val="1"/>
                <w:color w:val="auto"/>
              </w:rPr>
              <w:t>revenues</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17,953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485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1,137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19,575</w:t>
            </w:r>
          </w:p>
        </w:tc>
      </w:tr>
      <w:tr>
        <w:trPr>
          <w:trHeight w:val="265"/>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20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r>
      <w:tr>
        <w:trPr>
          <w:trHeight w:val="266"/>
        </w:trPr>
        <w:tc>
          <w:tcPr>
            <w:tcW w:w="2640" w:type="dxa"/>
            <w:vAlign w:val="bottom"/>
          </w:tcPr>
          <w:p>
            <w:pPr>
              <w:ind w:left="420"/>
              <w:spacing w:after="0"/>
              <w:rPr>
                <w:sz w:val="20"/>
                <w:szCs w:val="20"/>
                <w:color w:val="auto"/>
              </w:rPr>
            </w:pPr>
            <w:r>
              <w:rPr>
                <w:rFonts w:ascii="Arial" w:cs="Arial" w:eastAsia="Arial" w:hAnsi="Arial"/>
                <w:sz w:val="14"/>
                <w:szCs w:val="14"/>
                <w:color w:val="auto"/>
              </w:rPr>
              <w:t>Lease income</w:t>
            </w: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4"/>
        </w:trPr>
        <w:tc>
          <w:tcPr>
            <w:tcW w:w="26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Rail revenues</w:t>
            </w:r>
          </w:p>
        </w:tc>
        <w:tc>
          <w:tcPr>
            <w:tcW w:w="20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7,999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7,999</w:t>
            </w:r>
          </w:p>
        </w:tc>
      </w:tr>
      <w:tr>
        <w:trPr>
          <w:trHeight w:val="266"/>
        </w:trPr>
        <w:tc>
          <w:tcPr>
            <w:tcW w:w="2640" w:type="dxa"/>
            <w:vAlign w:val="bottom"/>
            <w:tcBorders>
              <w:bottom w:val="single" w:sz="8" w:color="CCEEFF"/>
            </w:tcBorders>
          </w:tcPr>
          <w:p>
            <w:pPr>
              <w:ind w:left="400"/>
              <w:spacing w:after="0"/>
              <w:rPr>
                <w:sz w:val="20"/>
                <w:szCs w:val="20"/>
                <w:color w:val="auto"/>
              </w:rPr>
            </w:pPr>
            <w:r>
              <w:rPr>
                <w:rFonts w:ascii="Arial" w:cs="Arial" w:eastAsia="Arial" w:hAnsi="Arial"/>
                <w:sz w:val="14"/>
                <w:szCs w:val="14"/>
                <w:color w:val="auto"/>
              </w:rPr>
              <w:t>Terminal services revenues</w:t>
            </w:r>
          </w:p>
        </w:tc>
        <w:tc>
          <w:tcPr>
            <w:tcW w:w="2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3,879</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3,879</w:t>
            </w:r>
          </w:p>
        </w:tc>
      </w:tr>
      <w:tr>
        <w:trPr>
          <w:trHeight w:val="253"/>
        </w:trPr>
        <w:tc>
          <w:tcPr>
            <w:tcW w:w="2640" w:type="dxa"/>
            <w:vAlign w:val="bottom"/>
            <w:shd w:val="clear" w:color="auto" w:fill="CCEEFF"/>
          </w:tcPr>
          <w:p>
            <w:pPr>
              <w:ind w:left="380"/>
              <w:spacing w:after="0"/>
              <w:rPr>
                <w:sz w:val="20"/>
                <w:szCs w:val="20"/>
                <w:color w:val="auto"/>
              </w:rPr>
            </w:pPr>
            <w:r>
              <w:rPr>
                <w:rFonts w:ascii="Arial" w:cs="Arial" w:eastAsia="Arial" w:hAnsi="Arial"/>
                <w:sz w:val="14"/>
                <w:szCs w:val="14"/>
                <w:b w:val="1"/>
                <w:bCs w:val="1"/>
                <w:color w:val="auto"/>
              </w:rPr>
              <w:t>Total infrastructure revenues</w:t>
            </w:r>
          </w:p>
        </w:tc>
        <w:tc>
          <w:tcPr>
            <w:tcW w:w="20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3,879</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7,999</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11,878</w:t>
            </w:r>
          </w:p>
        </w:tc>
      </w:tr>
      <w:tr>
        <w:trPr>
          <w:trHeight w:val="238"/>
        </w:trPr>
        <w:tc>
          <w:tcPr>
            <w:tcW w:w="2640" w:type="dxa"/>
            <w:vAlign w:val="bottom"/>
          </w:tcPr>
          <w:p>
            <w:pPr>
              <w:ind w:left="20"/>
              <w:spacing w:after="0"/>
              <w:rPr>
                <w:sz w:val="20"/>
                <w:szCs w:val="20"/>
                <w:color w:val="auto"/>
              </w:rPr>
            </w:pPr>
            <w:r>
              <w:rPr>
                <w:rFonts w:ascii="Arial" w:cs="Arial" w:eastAsia="Arial" w:hAnsi="Arial"/>
                <w:sz w:val="14"/>
                <w:szCs w:val="14"/>
                <w:b w:val="1"/>
                <w:bCs w:val="1"/>
                <w:color w:val="auto"/>
              </w:rPr>
              <w:t>Total revenues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17,953</w:t>
            </w:r>
          </w:p>
        </w:tc>
        <w:tc>
          <w:tcPr>
            <w:tcW w:w="360" w:type="dxa"/>
            <w:vAlign w:val="bottom"/>
            <w:gridSpan w:val="3"/>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485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1,137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3,879</w:t>
            </w:r>
          </w:p>
        </w:tc>
        <w:tc>
          <w:tcPr>
            <w:tcW w:w="120" w:type="dxa"/>
            <w:vAlign w:val="bottom"/>
          </w:tcPr>
          <w:p>
            <w:pPr>
              <w:spacing w:after="0"/>
              <w:rPr>
                <w:sz w:val="20"/>
                <w:szCs w:val="20"/>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7,999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31,453</w:t>
            </w:r>
          </w:p>
        </w:tc>
      </w:tr>
      <w:tr>
        <w:trPr>
          <w:trHeight w:val="20"/>
        </w:trPr>
        <w:tc>
          <w:tcPr>
            <w:tcW w:w="2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Presented below are the contracted minimum future annual revenues to be received under existing operating leases across several market sectors as of</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March 31, 2017:</w:t>
      </w:r>
    </w:p>
    <w:p>
      <w:pPr>
        <w:spacing w:after="0" w:line="366"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914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Total</w:t>
            </w:r>
          </w:p>
        </w:tc>
      </w:tr>
      <w:tr>
        <w:trPr>
          <w:trHeight w:val="211"/>
        </w:trPr>
        <w:tc>
          <w:tcPr>
            <w:tcW w:w="9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2017</w:t>
            </w:r>
          </w:p>
        </w:tc>
        <w:tc>
          <w:tcPr>
            <w:tcW w:w="44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52,645</w:t>
            </w:r>
          </w:p>
        </w:tc>
      </w:tr>
      <w:tr>
        <w:trPr>
          <w:trHeight w:val="212"/>
        </w:trPr>
        <w:tc>
          <w:tcPr>
            <w:tcW w:w="9140" w:type="dxa"/>
            <w:vAlign w:val="bottom"/>
          </w:tcPr>
          <w:p>
            <w:pPr>
              <w:ind w:left="20"/>
              <w:spacing w:after="0"/>
              <w:rPr>
                <w:sz w:val="20"/>
                <w:szCs w:val="20"/>
                <w:color w:val="auto"/>
              </w:rPr>
            </w:pPr>
            <w:r>
              <w:rPr>
                <w:rFonts w:ascii="Arial" w:cs="Arial" w:eastAsia="Arial" w:hAnsi="Arial"/>
                <w:sz w:val="14"/>
                <w:szCs w:val="14"/>
                <w:color w:val="auto"/>
              </w:rPr>
              <w:t>2018</w:t>
            </w:r>
          </w:p>
        </w:tc>
        <w:tc>
          <w:tcPr>
            <w:tcW w:w="440" w:type="dxa"/>
            <w:vAlign w:val="bottom"/>
          </w:tcPr>
          <w:p>
            <w:pPr>
              <w:spacing w:after="0"/>
              <w:rPr>
                <w:sz w:val="18"/>
                <w:szCs w:val="18"/>
                <w:color w:val="auto"/>
              </w:rPr>
            </w:pP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48,876</w:t>
            </w:r>
          </w:p>
        </w:tc>
      </w:tr>
      <w:tr>
        <w:trPr>
          <w:trHeight w:val="220"/>
        </w:trPr>
        <w:tc>
          <w:tcPr>
            <w:tcW w:w="9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33,729</w:t>
            </w:r>
          </w:p>
        </w:tc>
      </w:tr>
      <w:tr>
        <w:trPr>
          <w:trHeight w:val="212"/>
        </w:trPr>
        <w:tc>
          <w:tcPr>
            <w:tcW w:w="9140" w:type="dxa"/>
            <w:vAlign w:val="bottom"/>
          </w:tcPr>
          <w:p>
            <w:pPr>
              <w:ind w:left="20"/>
              <w:spacing w:after="0"/>
              <w:rPr>
                <w:sz w:val="20"/>
                <w:szCs w:val="20"/>
                <w:color w:val="auto"/>
              </w:rPr>
            </w:pPr>
            <w:r>
              <w:rPr>
                <w:rFonts w:ascii="Arial" w:cs="Arial" w:eastAsia="Arial" w:hAnsi="Arial"/>
                <w:sz w:val="14"/>
                <w:szCs w:val="14"/>
                <w:color w:val="auto"/>
              </w:rPr>
              <w:t>2020</w:t>
            </w:r>
          </w:p>
        </w:tc>
        <w:tc>
          <w:tcPr>
            <w:tcW w:w="440" w:type="dxa"/>
            <w:vAlign w:val="bottom"/>
          </w:tcPr>
          <w:p>
            <w:pPr>
              <w:spacing w:after="0"/>
              <w:rPr>
                <w:sz w:val="18"/>
                <w:szCs w:val="18"/>
                <w:color w:val="auto"/>
              </w:rPr>
            </w:pP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22,998</w:t>
            </w:r>
          </w:p>
        </w:tc>
      </w:tr>
      <w:tr>
        <w:trPr>
          <w:trHeight w:val="220"/>
        </w:trPr>
        <w:tc>
          <w:tcPr>
            <w:tcW w:w="9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13,943</w:t>
            </w:r>
          </w:p>
        </w:tc>
      </w:tr>
      <w:tr>
        <w:trPr>
          <w:trHeight w:val="212"/>
        </w:trPr>
        <w:tc>
          <w:tcPr>
            <w:tcW w:w="9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3,326</w:t>
            </w:r>
          </w:p>
        </w:tc>
      </w:tr>
      <w:tr>
        <w:trPr>
          <w:trHeight w:val="214"/>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44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175,517</w:t>
            </w:r>
          </w:p>
        </w:tc>
      </w:tr>
      <w:tr>
        <w:trPr>
          <w:trHeight w:val="20"/>
        </w:trPr>
        <w:tc>
          <w:tcPr>
            <w:tcW w:w="9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117" w:right="299" w:bottom="1440" w:gutter="0" w:footer="0" w:header="0"/>
        </w:sectPr>
      </w:pPr>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360"/>
          </w:cols>
          <w:pgMar w:left="240" w:top="117" w:right="299" w:bottom="1440" w:gutter="0" w:footer="0" w:header="0"/>
          <w:type w:val="continuous"/>
        </w:sectPr>
      </w:pPr>
    </w:p>
    <w:bookmarkStart w:id="25" w:name="page26"/>
    <w:bookmarkEnd w:id="25"/>
    <w:p>
      <w:pPr>
        <w:ind w:right="382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11. EQUITY-BASED COMPENSATION</w:t>
      </w:r>
    </w:p>
    <w:p>
      <w:pPr>
        <w:spacing w:after="0" w:line="171" w:lineRule="exact"/>
        <w:rPr>
          <w:sz w:val="20"/>
          <w:szCs w:val="20"/>
          <w:color w:val="auto"/>
        </w:rPr>
      </w:pPr>
    </w:p>
    <w:p>
      <w:pPr>
        <w:jc w:val="both"/>
        <w:ind w:left="340"/>
        <w:spacing w:after="0" w:line="269" w:lineRule="auto"/>
        <w:rPr>
          <w:sz w:val="20"/>
          <w:szCs w:val="20"/>
          <w:color w:val="auto"/>
        </w:rPr>
      </w:pPr>
      <w:r>
        <w:rPr>
          <w:rFonts w:ascii="Arial" w:cs="Arial" w:eastAsia="Arial" w:hAnsi="Arial"/>
          <w:sz w:val="16"/>
          <w:szCs w:val="16"/>
          <w:color w:val="auto"/>
        </w:rPr>
        <w:t>In 2015, the Company established a Nonqualified Stock Option and Incentive Award Plan (“Incentive Plan”) which provides for the ability to award equity compensation awards in the form of stock options, stock appreciation rights, restricted stock, and performance awards to eligible employees, consultants, directors, and other individuals who provide services to the Company, each as determined by the Compensation Committee of the Board of Directors.</w:t>
      </w:r>
    </w:p>
    <w:p>
      <w:pPr>
        <w:spacing w:after="0" w:line="111" w:lineRule="exact"/>
        <w:rPr>
          <w:sz w:val="20"/>
          <w:szCs w:val="20"/>
          <w:color w:val="auto"/>
        </w:rPr>
      </w:pPr>
    </w:p>
    <w:p>
      <w:pPr>
        <w:jc w:val="both"/>
        <w:ind w:left="340"/>
        <w:spacing w:after="0" w:line="269" w:lineRule="auto"/>
        <w:rPr>
          <w:sz w:val="20"/>
          <w:szCs w:val="20"/>
          <w:color w:val="auto"/>
        </w:rPr>
      </w:pPr>
      <w:r>
        <w:rPr>
          <w:rFonts w:ascii="Arial" w:cs="Arial" w:eastAsia="Arial" w:hAnsi="Arial"/>
          <w:sz w:val="16"/>
          <w:szCs w:val="16"/>
          <w:color w:val="auto"/>
        </w:rPr>
        <w:t xml:space="preserve">As of March 31, 2017, the Incentive Plan provides for the issuance of up to 30 million shares. The Company accounts for equity-based compensation expense in accordance with Accounting Standards Codification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(“ASC 718”) and is reported within operating expenses and general and administrative in the Consolidated Statements of Operations.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Consolidated Statements of Operations includes the following expense (income) related to its stock-based compensation arrangements:</w:t>
      </w:r>
    </w:p>
    <w:p>
      <w:pPr>
        <w:spacing w:after="0" w:line="346" w:lineRule="exact"/>
        <w:rPr>
          <w:sz w:val="20"/>
          <w:szCs w:val="20"/>
          <w:color w:val="auto"/>
        </w:rPr>
      </w:pPr>
    </w:p>
    <w:tbl>
      <w:tblPr>
        <w:tblLayout w:type="fixed"/>
        <w:tblInd w:w="340" w:type="dxa"/>
        <w:tblCellMar>
          <w:top w:w="0" w:type="dxa"/>
          <w:left w:w="0" w:type="dxa"/>
          <w:bottom w:w="0" w:type="dxa"/>
          <w:right w:w="0" w:type="dxa"/>
        </w:tblCellMar>
      </w:tblPr>
      <w:tr>
        <w:trPr>
          <w:trHeight w:val="191"/>
        </w:trPr>
        <w:tc>
          <w:tcPr>
            <w:tcW w:w="5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60" w:type="dxa"/>
            <w:vAlign w:val="bottom"/>
            <w:gridSpan w:val="7"/>
          </w:tcPr>
          <w:p>
            <w:pPr>
              <w:ind w:left="320"/>
              <w:spacing w:after="0"/>
              <w:rPr>
                <w:sz w:val="20"/>
                <w:szCs w:val="20"/>
                <w:color w:val="auto"/>
              </w:rPr>
            </w:pPr>
            <w:r>
              <w:rPr>
                <w:rFonts w:ascii="Arial" w:cs="Arial" w:eastAsia="Arial" w:hAnsi="Arial"/>
                <w:sz w:val="14"/>
                <w:szCs w:val="14"/>
                <w:b w:val="1"/>
                <w:bCs w:val="1"/>
                <w:color w:val="auto"/>
              </w:rPr>
              <w:t>Three Months Ended March 31,</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3"/>
          </w:tcPr>
          <w:p>
            <w:pPr>
              <w:ind w:left="40"/>
              <w:spacing w:after="0"/>
              <w:rPr>
                <w:sz w:val="20"/>
                <w:szCs w:val="20"/>
                <w:color w:val="auto"/>
              </w:rPr>
            </w:pPr>
            <w:r>
              <w:rPr>
                <w:rFonts w:ascii="Arial" w:cs="Arial" w:eastAsia="Arial" w:hAnsi="Arial"/>
                <w:sz w:val="14"/>
                <w:szCs w:val="14"/>
                <w:b w:val="1"/>
                <w:bCs w:val="1"/>
                <w:color w:val="auto"/>
              </w:rPr>
              <w:t>Remaining Expense To Be</w:t>
            </w:r>
          </w:p>
        </w:tc>
        <w:tc>
          <w:tcPr>
            <w:tcW w:w="0" w:type="dxa"/>
            <w:vAlign w:val="bottom"/>
          </w:tcPr>
          <w:p>
            <w:pPr>
              <w:spacing w:after="0"/>
              <w:rPr>
                <w:sz w:val="1"/>
                <w:szCs w:val="1"/>
                <w:color w:val="auto"/>
              </w:rPr>
            </w:pPr>
          </w:p>
        </w:tc>
      </w:tr>
      <w:tr>
        <w:trPr>
          <w:trHeight w:val="54"/>
        </w:trPr>
        <w:tc>
          <w:tcPr>
            <w:tcW w:w="518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80" w:type="dxa"/>
            <w:vAlign w:val="bottom"/>
            <w:gridSpan w:val="3"/>
            <w:vMerge w:val="restart"/>
          </w:tcPr>
          <w:p>
            <w:pPr>
              <w:jc w:val="right"/>
              <w:spacing w:after="0" w:line="133" w:lineRule="exact"/>
              <w:rPr>
                <w:sz w:val="20"/>
                <w:szCs w:val="20"/>
                <w:color w:val="auto"/>
              </w:rPr>
            </w:pPr>
            <w:r>
              <w:rPr>
                <w:rFonts w:ascii="Arial" w:cs="Arial" w:eastAsia="Arial" w:hAnsi="Arial"/>
                <w:sz w:val="14"/>
                <w:szCs w:val="14"/>
                <w:b w:val="1"/>
                <w:bCs w:val="1"/>
                <w:color w:val="auto"/>
              </w:rPr>
              <w:t>Recognized, If All Vesting</w:t>
            </w:r>
          </w:p>
        </w:tc>
        <w:tc>
          <w:tcPr>
            <w:tcW w:w="0" w:type="dxa"/>
            <w:vAlign w:val="bottom"/>
          </w:tcPr>
          <w:p>
            <w:pPr>
              <w:spacing w:after="0"/>
              <w:rPr>
                <w:sz w:val="1"/>
                <w:szCs w:val="1"/>
                <w:color w:val="auto"/>
              </w:rPr>
            </w:pPr>
          </w:p>
        </w:tc>
      </w:tr>
      <w:tr>
        <w:trPr>
          <w:trHeight w:val="59"/>
        </w:trPr>
        <w:tc>
          <w:tcPr>
            <w:tcW w:w="5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18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2016</w:t>
            </w: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Borders>
              <w:bottom w:val="single" w:sz="8" w:color="auto"/>
            </w:tcBorders>
            <w:gridSpan w:val="3"/>
          </w:tcPr>
          <w:p>
            <w:pPr>
              <w:jc w:val="right"/>
              <w:ind w:right="208"/>
              <w:spacing w:after="0"/>
              <w:rPr>
                <w:sz w:val="20"/>
                <w:szCs w:val="20"/>
                <w:color w:val="auto"/>
              </w:rPr>
            </w:pPr>
            <w:r>
              <w:rPr>
                <w:rFonts w:ascii="Arial" w:cs="Arial" w:eastAsia="Arial" w:hAnsi="Arial"/>
                <w:sz w:val="14"/>
                <w:szCs w:val="14"/>
                <w:b w:val="1"/>
                <w:bCs w:val="1"/>
                <w:color w:val="auto"/>
              </w:rPr>
              <w:t>Conditions Are Met</w:t>
            </w:r>
          </w:p>
        </w:tc>
        <w:tc>
          <w:tcPr>
            <w:tcW w:w="0" w:type="dxa"/>
            <w:vAlign w:val="bottom"/>
          </w:tcPr>
          <w:p>
            <w:pPr>
              <w:spacing w:after="0"/>
              <w:rPr>
                <w:sz w:val="1"/>
                <w:szCs w:val="1"/>
                <w:color w:val="auto"/>
              </w:rPr>
            </w:pPr>
          </w:p>
        </w:tc>
      </w:tr>
      <w:tr>
        <w:trPr>
          <w:trHeight w:val="250"/>
        </w:trPr>
        <w:tc>
          <w:tcPr>
            <w:tcW w:w="5180" w:type="dxa"/>
            <w:vAlign w:val="bottom"/>
          </w:tcPr>
          <w:p>
            <w:pPr>
              <w:ind w:left="20"/>
              <w:spacing w:after="0"/>
              <w:rPr>
                <w:sz w:val="20"/>
                <w:szCs w:val="20"/>
                <w:color w:val="auto"/>
              </w:rPr>
            </w:pPr>
            <w:r>
              <w:rPr>
                <w:rFonts w:ascii="Arial" w:cs="Arial" w:eastAsia="Arial" w:hAnsi="Arial"/>
                <w:sz w:val="14"/>
                <w:szCs w:val="14"/>
                <w:color w:val="auto"/>
              </w:rPr>
              <w:t>Stock Options</w:t>
            </w:r>
          </w:p>
        </w:tc>
        <w:tc>
          <w:tcPr>
            <w:tcW w:w="560" w:type="dxa"/>
            <w:vAlign w:val="bottom"/>
          </w:tcPr>
          <w:p>
            <w:pPr>
              <w:jc w:val="right"/>
              <w:ind w:right="388"/>
              <w:spacing w:after="0"/>
              <w:rPr>
                <w:sz w:val="20"/>
                <w:szCs w:val="20"/>
                <w:color w:val="auto"/>
              </w:rPr>
            </w:pPr>
            <w:r>
              <w:rPr>
                <w:rFonts w:ascii="Arial" w:cs="Arial" w:eastAsia="Arial" w:hAnsi="Arial"/>
                <w:sz w:val="14"/>
                <w:szCs w:val="14"/>
                <w:b w:val="1"/>
                <w:bCs w:val="1"/>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tcPr>
          <w:p>
            <w:pPr>
              <w:jc w:val="right"/>
              <w:ind w:right="928"/>
              <w:spacing w:after="0"/>
              <w:rPr>
                <w:sz w:val="20"/>
                <w:szCs w:val="20"/>
                <w:color w:val="auto"/>
              </w:rPr>
            </w:pPr>
            <w:r>
              <w:rPr>
                <w:rFonts w:ascii="Arial" w:cs="Arial" w:eastAsia="Arial" w:hAnsi="Arial"/>
                <w:sz w:val="14"/>
                <w:szCs w:val="14"/>
                <w:color w:val="auto"/>
                <w:w w:val="76"/>
              </w:rPr>
              <w:t>$</w:t>
            </w:r>
          </w:p>
        </w:tc>
        <w:tc>
          <w:tcPr>
            <w:tcW w:w="12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tcPr>
          <w:p>
            <w:pPr>
              <w:ind w:left="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Shares</w:t>
            </w:r>
          </w:p>
        </w:tc>
        <w:tc>
          <w:tcPr>
            <w:tcW w:w="5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59</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(4,168)</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24,644</w:t>
            </w:r>
          </w:p>
        </w:tc>
        <w:tc>
          <w:tcPr>
            <w:tcW w:w="0" w:type="dxa"/>
            <w:vAlign w:val="bottom"/>
          </w:tcPr>
          <w:p>
            <w:pPr>
              <w:spacing w:after="0"/>
              <w:rPr>
                <w:sz w:val="1"/>
                <w:szCs w:val="1"/>
                <w:color w:val="auto"/>
              </w:rPr>
            </w:pPr>
          </w:p>
        </w:tc>
      </w:tr>
      <w:tr>
        <w:trPr>
          <w:trHeight w:val="269"/>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Common Units</w:t>
            </w:r>
          </w:p>
        </w:tc>
        <w:tc>
          <w:tcPr>
            <w:tcW w:w="5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28</w:t>
            </w: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205</w:t>
            </w:r>
          </w:p>
        </w:tc>
        <w:tc>
          <w:tcPr>
            <w:tcW w:w="100" w:type="dxa"/>
            <w:vAlign w:val="bottom"/>
            <w:tcBorders>
              <w:bottom w:val="single" w:sz="8" w:color="CCEEFF"/>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38"/>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56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87</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928"/>
              <w:spacing w:after="0"/>
              <w:rPr>
                <w:sz w:val="20"/>
                <w:szCs w:val="20"/>
                <w:color w:val="auto"/>
              </w:rPr>
            </w:pPr>
            <w:r>
              <w:rPr>
                <w:rFonts w:ascii="Arial" w:cs="Arial" w:eastAsia="Arial" w:hAnsi="Arial"/>
                <w:sz w:val="14"/>
                <w:szCs w:val="14"/>
                <w:color w:val="auto"/>
                <w:w w:val="76"/>
              </w:rPr>
              <w:t>$</w:t>
            </w:r>
          </w:p>
        </w:tc>
        <w:tc>
          <w:tcPr>
            <w:tcW w:w="1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(3,963)</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24,705</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6"/>
                <w:szCs w:val="16"/>
                <w:b w:val="1"/>
                <w:bCs w:val="1"/>
                <w:i w:val="1"/>
                <w:iCs w:val="1"/>
                <w:color w:val="00497F"/>
              </w:rPr>
              <w:t>Stock Options</w:t>
            </w:r>
          </w:p>
        </w:tc>
        <w:tc>
          <w:tcPr>
            <w:tcW w:w="5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518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5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62"/>
        </w:trPr>
        <w:tc>
          <w:tcPr>
            <w:tcW w:w="5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5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Weighted-</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62"/>
        </w:trPr>
        <w:tc>
          <w:tcPr>
            <w:tcW w:w="5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Average</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0" w:type="dxa"/>
            <w:vAlign w:val="bottom"/>
          </w:tcPr>
          <w:p>
            <w:pPr>
              <w:spacing w:after="0"/>
              <w:rPr>
                <w:sz w:val="1"/>
                <w:szCs w:val="1"/>
                <w:color w:val="auto"/>
              </w:rPr>
            </w:pPr>
          </w:p>
        </w:tc>
      </w:tr>
      <w:tr>
        <w:trPr>
          <w:trHeight w:val="162"/>
        </w:trPr>
        <w:tc>
          <w:tcPr>
            <w:tcW w:w="5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Exercise Price</w:t>
            </w:r>
          </w:p>
        </w:tc>
        <w:tc>
          <w:tcPr>
            <w:tcW w:w="14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Aggregate Value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0" w:type="dxa"/>
            <w:vAlign w:val="bottom"/>
          </w:tcPr>
          <w:p>
            <w:pPr>
              <w:spacing w:after="0"/>
              <w:rPr>
                <w:sz w:val="1"/>
                <w:szCs w:val="1"/>
                <w:color w:val="auto"/>
              </w:rPr>
            </w:pPr>
          </w:p>
        </w:tc>
      </w:tr>
      <w:tr>
        <w:trPr>
          <w:trHeight w:val="203"/>
        </w:trPr>
        <w:tc>
          <w:tcPr>
            <w:tcW w:w="518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Options</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(per share)</w:t>
            </w:r>
          </w:p>
        </w:tc>
        <w:tc>
          <w:tcPr>
            <w:tcW w:w="12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0" w:type="dxa"/>
            <w:vAlign w:val="bottom"/>
          </w:tcPr>
          <w:p>
            <w:pPr>
              <w:spacing w:after="0"/>
              <w:rPr>
                <w:sz w:val="1"/>
                <w:szCs w:val="1"/>
                <w:color w:val="auto"/>
              </w:rPr>
            </w:pPr>
          </w:p>
        </w:tc>
      </w:tr>
      <w:tr>
        <w:trPr>
          <w:trHeight w:val="251"/>
        </w:trPr>
        <w:tc>
          <w:tcPr>
            <w:tcW w:w="5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options outstanding and exercisable as of January 1, 2017</w:t>
            </w:r>
          </w:p>
        </w:tc>
        <w:tc>
          <w:tcPr>
            <w:tcW w:w="5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15,000</w:t>
            </w:r>
          </w:p>
        </w:tc>
        <w:tc>
          <w:tcPr>
            <w:tcW w:w="100" w:type="dxa"/>
            <w:vAlign w:val="bottom"/>
            <w:shd w:val="clear" w:color="auto" w:fill="CCEEFF"/>
          </w:tcPr>
          <w:p>
            <w:pPr>
              <w:spacing w:after="0"/>
              <w:rPr>
                <w:sz w:val="21"/>
                <w:szCs w:val="21"/>
                <w:color w:val="auto"/>
              </w:rPr>
            </w:pPr>
          </w:p>
        </w:tc>
        <w:tc>
          <w:tcPr>
            <w:tcW w:w="1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16.98</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8.40</w:t>
            </w:r>
          </w:p>
        </w:tc>
        <w:tc>
          <w:tcPr>
            <w:tcW w:w="0" w:type="dxa"/>
            <w:vAlign w:val="bottom"/>
          </w:tcPr>
          <w:p>
            <w:pPr>
              <w:spacing w:after="0"/>
              <w:rPr>
                <w:sz w:val="1"/>
                <w:szCs w:val="1"/>
                <w:color w:val="auto"/>
              </w:rPr>
            </w:pPr>
          </w:p>
        </w:tc>
      </w:tr>
      <w:tr>
        <w:trPr>
          <w:trHeight w:val="269"/>
        </w:trPr>
        <w:tc>
          <w:tcPr>
            <w:tcW w:w="5180" w:type="dxa"/>
            <w:vAlign w:val="bottom"/>
          </w:tcPr>
          <w:p>
            <w:pPr>
              <w:ind w:left="260"/>
              <w:spacing w:after="0"/>
              <w:rPr>
                <w:sz w:val="20"/>
                <w:szCs w:val="20"/>
                <w:color w:val="auto"/>
              </w:rPr>
            </w:pPr>
            <w:r>
              <w:rPr>
                <w:rFonts w:ascii="Arial" w:cs="Arial" w:eastAsia="Arial" w:hAnsi="Arial"/>
                <w:sz w:val="14"/>
                <w:szCs w:val="14"/>
                <w:color w:val="auto"/>
              </w:rPr>
              <w:t>Granted</w:t>
            </w:r>
          </w:p>
        </w:tc>
        <w:tc>
          <w:tcPr>
            <w:tcW w:w="56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71"/>
        </w:trPr>
        <w:tc>
          <w:tcPr>
            <w:tcW w:w="51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Exercised</w:t>
            </w:r>
          </w:p>
        </w:tc>
        <w:tc>
          <w:tcPr>
            <w:tcW w:w="5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N/A</w:t>
            </w:r>
          </w:p>
        </w:tc>
        <w:tc>
          <w:tcPr>
            <w:tcW w:w="0" w:type="dxa"/>
            <w:vAlign w:val="bottom"/>
          </w:tcPr>
          <w:p>
            <w:pPr>
              <w:spacing w:after="0"/>
              <w:rPr>
                <w:sz w:val="1"/>
                <w:szCs w:val="1"/>
                <w:color w:val="auto"/>
              </w:rPr>
            </w:pPr>
          </w:p>
        </w:tc>
      </w:tr>
      <w:tr>
        <w:trPr>
          <w:trHeight w:val="269"/>
        </w:trPr>
        <w:tc>
          <w:tcPr>
            <w:tcW w:w="518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Forfeited and canceled</w:t>
            </w:r>
          </w:p>
        </w:tc>
        <w:tc>
          <w:tcPr>
            <w:tcW w:w="560" w:type="dxa"/>
            <w:vAlign w:val="bottom"/>
            <w:tcBorders>
              <w:bottom w:val="single" w:sz="8" w:color="CCEEFF"/>
            </w:tcBorders>
          </w:tcPr>
          <w:p>
            <w:pPr>
              <w:spacing w:after="0"/>
              <w:rPr>
                <w:sz w:val="23"/>
                <w:szCs w:val="23"/>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3"/>
                <w:szCs w:val="23"/>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N/A</w:t>
            </w:r>
          </w:p>
        </w:tc>
        <w:tc>
          <w:tcPr>
            <w:tcW w:w="0" w:type="dxa"/>
            <w:vAlign w:val="bottom"/>
          </w:tcPr>
          <w:p>
            <w:pPr>
              <w:spacing w:after="0"/>
              <w:rPr>
                <w:sz w:val="1"/>
                <w:szCs w:val="1"/>
                <w:color w:val="auto"/>
              </w:rPr>
            </w:pPr>
          </w:p>
        </w:tc>
      </w:tr>
      <w:tr>
        <w:trPr>
          <w:trHeight w:val="238"/>
        </w:trPr>
        <w:tc>
          <w:tcPr>
            <w:tcW w:w="5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Stock options outstanding and exercisable as of March 31, 2017</w:t>
            </w:r>
          </w:p>
        </w:tc>
        <w:tc>
          <w:tcPr>
            <w:tcW w:w="5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15,000</w:t>
            </w:r>
          </w:p>
        </w:tc>
        <w:tc>
          <w:tcPr>
            <w:tcW w:w="100" w:type="dxa"/>
            <w:vAlign w:val="bottom"/>
            <w:shd w:val="clear" w:color="auto" w:fill="CCEEFF"/>
          </w:tcPr>
          <w:p>
            <w:pPr>
              <w:spacing w:after="0"/>
              <w:rPr>
                <w:sz w:val="20"/>
                <w:szCs w:val="20"/>
                <w:color w:val="auto"/>
              </w:rPr>
            </w:pPr>
          </w:p>
        </w:tc>
        <w:tc>
          <w:tcPr>
            <w:tcW w:w="1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16.98</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8.15</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b w:val="1"/>
                <w:bCs w:val="1"/>
                <w:i w:val="1"/>
                <w:iCs w:val="1"/>
                <w:color w:val="00497F"/>
              </w:rPr>
              <w:t>Restricted Shares</w:t>
            </w:r>
          </w:p>
        </w:tc>
        <w:tc>
          <w:tcPr>
            <w:tcW w:w="5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518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5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62"/>
        </w:trPr>
        <w:tc>
          <w:tcPr>
            <w:tcW w:w="5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5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Weighted-</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62"/>
        </w:trPr>
        <w:tc>
          <w:tcPr>
            <w:tcW w:w="5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Average</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0" w:type="dxa"/>
            <w:vAlign w:val="bottom"/>
          </w:tcPr>
          <w:p>
            <w:pPr>
              <w:spacing w:after="0"/>
              <w:rPr>
                <w:sz w:val="1"/>
                <w:szCs w:val="1"/>
                <w:color w:val="auto"/>
              </w:rPr>
            </w:pPr>
          </w:p>
        </w:tc>
      </w:tr>
      <w:tr>
        <w:trPr>
          <w:trHeight w:val="162"/>
        </w:trPr>
        <w:tc>
          <w:tcPr>
            <w:tcW w:w="5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Restricted</w:t>
            </w:r>
          </w:p>
        </w:tc>
        <w:tc>
          <w:tcPr>
            <w:tcW w:w="20" w:type="dxa"/>
            <w:vAlign w:val="bottom"/>
          </w:tcPr>
          <w:p>
            <w:pPr>
              <w:spacing w:after="0"/>
              <w:rPr>
                <w:sz w:val="14"/>
                <w:szCs w:val="14"/>
                <w:color w:val="auto"/>
              </w:rPr>
            </w:pPr>
          </w:p>
        </w:tc>
        <w:tc>
          <w:tcPr>
            <w:tcW w:w="13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Exercise Price</w:t>
            </w:r>
          </w:p>
        </w:tc>
        <w:tc>
          <w:tcPr>
            <w:tcW w:w="14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Aggregate Value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0" w:type="dxa"/>
            <w:vAlign w:val="bottom"/>
          </w:tcPr>
          <w:p>
            <w:pPr>
              <w:spacing w:after="0"/>
              <w:rPr>
                <w:sz w:val="1"/>
                <w:szCs w:val="1"/>
                <w:color w:val="auto"/>
              </w:rPr>
            </w:pPr>
          </w:p>
        </w:tc>
      </w:tr>
      <w:tr>
        <w:trPr>
          <w:trHeight w:val="203"/>
        </w:trPr>
        <w:tc>
          <w:tcPr>
            <w:tcW w:w="518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(per share)</w:t>
            </w:r>
          </w:p>
        </w:tc>
        <w:tc>
          <w:tcPr>
            <w:tcW w:w="12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0" w:type="dxa"/>
            <w:vAlign w:val="bottom"/>
          </w:tcPr>
          <w:p>
            <w:pPr>
              <w:spacing w:after="0"/>
              <w:rPr>
                <w:sz w:val="1"/>
                <w:szCs w:val="1"/>
                <w:color w:val="auto"/>
              </w:rPr>
            </w:pPr>
          </w:p>
        </w:tc>
      </w:tr>
      <w:tr>
        <w:trPr>
          <w:trHeight w:val="251"/>
        </w:trPr>
        <w:tc>
          <w:tcPr>
            <w:tcW w:w="5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shares outstanding and exercisable as of January 1, 2017</w:t>
            </w:r>
          </w:p>
        </w:tc>
        <w:tc>
          <w:tcPr>
            <w:tcW w:w="5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1,302,388</w:t>
            </w:r>
          </w:p>
        </w:tc>
        <w:tc>
          <w:tcPr>
            <w:tcW w:w="100" w:type="dxa"/>
            <w:vAlign w:val="bottom"/>
            <w:shd w:val="clear" w:color="auto" w:fill="CCEEFF"/>
          </w:tcPr>
          <w:p>
            <w:pPr>
              <w:spacing w:after="0"/>
              <w:rPr>
                <w:sz w:val="21"/>
                <w:szCs w:val="21"/>
                <w:color w:val="auto"/>
              </w:rPr>
            </w:pPr>
          </w:p>
        </w:tc>
        <w:tc>
          <w:tcPr>
            <w:tcW w:w="1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19.06</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24,824</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0.74</w:t>
            </w:r>
          </w:p>
        </w:tc>
        <w:tc>
          <w:tcPr>
            <w:tcW w:w="0" w:type="dxa"/>
            <w:vAlign w:val="bottom"/>
          </w:tcPr>
          <w:p>
            <w:pPr>
              <w:spacing w:after="0"/>
              <w:rPr>
                <w:sz w:val="1"/>
                <w:szCs w:val="1"/>
                <w:color w:val="auto"/>
              </w:rPr>
            </w:pPr>
          </w:p>
        </w:tc>
      </w:tr>
      <w:tr>
        <w:trPr>
          <w:trHeight w:val="269"/>
        </w:trPr>
        <w:tc>
          <w:tcPr>
            <w:tcW w:w="5180" w:type="dxa"/>
            <w:vAlign w:val="bottom"/>
          </w:tcPr>
          <w:p>
            <w:pPr>
              <w:ind w:left="260"/>
              <w:spacing w:after="0"/>
              <w:rPr>
                <w:sz w:val="20"/>
                <w:szCs w:val="20"/>
                <w:color w:val="auto"/>
              </w:rPr>
            </w:pPr>
            <w:r>
              <w:rPr>
                <w:rFonts w:ascii="Arial" w:cs="Arial" w:eastAsia="Arial" w:hAnsi="Arial"/>
                <w:sz w:val="14"/>
                <w:szCs w:val="14"/>
                <w:color w:val="auto"/>
              </w:rPr>
              <w:t>Granted</w:t>
            </w:r>
          </w:p>
        </w:tc>
        <w:tc>
          <w:tcPr>
            <w:tcW w:w="56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71"/>
        </w:trPr>
        <w:tc>
          <w:tcPr>
            <w:tcW w:w="51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Less: vested</w:t>
            </w:r>
          </w:p>
        </w:tc>
        <w:tc>
          <w:tcPr>
            <w:tcW w:w="5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N/A</w:t>
            </w:r>
          </w:p>
        </w:tc>
        <w:tc>
          <w:tcPr>
            <w:tcW w:w="0" w:type="dxa"/>
            <w:vAlign w:val="bottom"/>
          </w:tcPr>
          <w:p>
            <w:pPr>
              <w:spacing w:after="0"/>
              <w:rPr>
                <w:sz w:val="1"/>
                <w:szCs w:val="1"/>
                <w:color w:val="auto"/>
              </w:rPr>
            </w:pPr>
          </w:p>
        </w:tc>
      </w:tr>
      <w:tr>
        <w:trPr>
          <w:trHeight w:val="269"/>
        </w:trPr>
        <w:tc>
          <w:tcPr>
            <w:tcW w:w="518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Less: forfeited and canceled</w:t>
            </w:r>
          </w:p>
        </w:tc>
        <w:tc>
          <w:tcPr>
            <w:tcW w:w="560" w:type="dxa"/>
            <w:vAlign w:val="bottom"/>
            <w:tcBorders>
              <w:bottom w:val="single" w:sz="8" w:color="CCEEFF"/>
            </w:tcBorders>
          </w:tcPr>
          <w:p>
            <w:pPr>
              <w:spacing w:after="0"/>
              <w:rPr>
                <w:sz w:val="23"/>
                <w:szCs w:val="23"/>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3"/>
                <w:szCs w:val="23"/>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N/A</w:t>
            </w:r>
          </w:p>
        </w:tc>
        <w:tc>
          <w:tcPr>
            <w:tcW w:w="0" w:type="dxa"/>
            <w:vAlign w:val="bottom"/>
          </w:tcPr>
          <w:p>
            <w:pPr>
              <w:spacing w:after="0"/>
              <w:rPr>
                <w:sz w:val="1"/>
                <w:szCs w:val="1"/>
                <w:color w:val="auto"/>
              </w:rPr>
            </w:pPr>
          </w:p>
        </w:tc>
      </w:tr>
      <w:tr>
        <w:trPr>
          <w:trHeight w:val="238"/>
        </w:trPr>
        <w:tc>
          <w:tcPr>
            <w:tcW w:w="5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Restricted shares outstanding and exercisable as of March 31, 2017</w:t>
            </w:r>
          </w:p>
        </w:tc>
        <w:tc>
          <w:tcPr>
            <w:tcW w:w="5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1,302,388</w:t>
            </w:r>
          </w:p>
        </w:tc>
        <w:tc>
          <w:tcPr>
            <w:tcW w:w="100" w:type="dxa"/>
            <w:vAlign w:val="bottom"/>
            <w:shd w:val="clear" w:color="auto" w:fill="CCEEFF"/>
          </w:tcPr>
          <w:p>
            <w:pPr>
              <w:spacing w:after="0"/>
              <w:rPr>
                <w:sz w:val="20"/>
                <w:szCs w:val="20"/>
                <w:color w:val="auto"/>
              </w:rPr>
            </w:pPr>
          </w:p>
        </w:tc>
        <w:tc>
          <w:tcPr>
            <w:tcW w:w="1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19.06</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24,824</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0.49</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left="340"/>
        <w:spacing w:after="0" w:line="254" w:lineRule="auto"/>
        <w:rPr>
          <w:sz w:val="20"/>
          <w:szCs w:val="20"/>
          <w:color w:val="auto"/>
        </w:rPr>
      </w:pPr>
      <w:r>
        <w:rPr>
          <w:rFonts w:ascii="Arial" w:cs="Arial" w:eastAsia="Arial" w:hAnsi="Arial"/>
          <w:sz w:val="16"/>
          <w:szCs w:val="16"/>
          <w:color w:val="auto"/>
        </w:rPr>
        <w:t>The Company granted equity based compensation awards in a subsidiary consisting of 1.3 million restricted shares in exchange for services. The first award for 1.25 million restricted shares had a grant date fair value of $23,879. The fair value was determined on the grant date, August 27, 2014, using the market approach assuming no forfeitures. The shares vest in three tranches over three years, subject to continued employment and achievement of three separate performance conditions based on EBITDA for that subsidiary. The compensation expense will be recognized ratably over the remaining service period when it is probable that the performance conditions will be achieved and expires in August 2017. During the first quarter of 2016, the achievement of all performance conditions was deemed not probable and, accordingly, the $4,402 expense previously recognized was reversed in operating expenses in the Consolidated Statement of Operations.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17" w:right="239" w:bottom="1440" w:gutter="0" w:footer="0" w:header="0"/>
        </w:sectPr>
      </w:pPr>
    </w:p>
    <w:bookmarkStart w:id="26" w:name="page27"/>
    <w:bookmarkEnd w:id="26"/>
    <w:p>
      <w:pPr>
        <w:ind w:right="382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7" w:lineRule="exact"/>
        <w:rPr>
          <w:sz w:val="20"/>
          <w:szCs w:val="20"/>
          <w:color w:val="auto"/>
        </w:rPr>
      </w:pPr>
    </w:p>
    <w:p>
      <w:pPr>
        <w:jc w:val="both"/>
        <w:ind w:left="340"/>
        <w:spacing w:after="0" w:line="257" w:lineRule="auto"/>
        <w:rPr>
          <w:sz w:val="20"/>
          <w:szCs w:val="20"/>
          <w:color w:val="auto"/>
        </w:rPr>
      </w:pPr>
      <w:r>
        <w:rPr>
          <w:rFonts w:ascii="Arial" w:cs="Arial" w:eastAsia="Arial" w:hAnsi="Arial"/>
          <w:sz w:val="16"/>
          <w:szCs w:val="16"/>
          <w:color w:val="auto"/>
        </w:rPr>
        <w:t>The second award of 42,000 restricted shares had a grant day fair value of $800 using the market approach and assuming no forfeited awards. The award vests over four years, provided the employee remains employed by the Company. During the first quarter of 2016 the employment ended at which time 50% of the award was vested and 50% was forfeited per the terms of the agreement with the employee. In lieu of delivering the vested shares, the Company paid $200 in cash to the former employee in accordance with the amended terms of the agreement during the second quarter of 2016, effectively terminating and canceling the awards.</w:t>
      </w:r>
    </w:p>
    <w:p>
      <w:pPr>
        <w:spacing w:after="0" w:line="122" w:lineRule="exact"/>
        <w:rPr>
          <w:sz w:val="20"/>
          <w:szCs w:val="20"/>
          <w:color w:val="auto"/>
        </w:rPr>
      </w:pPr>
    </w:p>
    <w:p>
      <w:pPr>
        <w:jc w:val="both"/>
        <w:ind w:left="340"/>
        <w:spacing w:after="0" w:line="269" w:lineRule="auto"/>
        <w:rPr>
          <w:sz w:val="20"/>
          <w:szCs w:val="20"/>
          <w:color w:val="auto"/>
        </w:rPr>
      </w:pPr>
      <w:r>
        <w:rPr>
          <w:rFonts w:ascii="Arial" w:cs="Arial" w:eastAsia="Arial" w:hAnsi="Arial"/>
          <w:sz w:val="16"/>
          <w:szCs w:val="16"/>
          <w:color w:val="auto"/>
        </w:rPr>
        <w:t>The third award of 52,388 restricted shares had a grant date fair value of $942. The fair value was determined on the grant date, November 9, 2016, using the discounted cash flows model. The shares vest over four years, subject to continued employment through June 2020. The compensation expense will be recognized ratably through the fourth anniversary of the employee’s start date. During the three months ended March 31, 2017, no shares were vested.</w:t>
      </w:r>
    </w:p>
    <w:p>
      <w:pPr>
        <w:spacing w:after="0" w:line="111" w:lineRule="exact"/>
        <w:rPr>
          <w:sz w:val="20"/>
          <w:szCs w:val="20"/>
          <w:color w:val="auto"/>
        </w:rPr>
      </w:pPr>
    </w:p>
    <w:p>
      <w:pPr>
        <w:jc w:val="both"/>
        <w:ind w:left="340"/>
        <w:spacing w:after="0" w:line="269" w:lineRule="auto"/>
        <w:rPr>
          <w:sz w:val="20"/>
          <w:szCs w:val="20"/>
          <w:color w:val="auto"/>
        </w:rPr>
      </w:pPr>
      <w:r>
        <w:rPr>
          <w:rFonts w:ascii="Arial" w:cs="Arial" w:eastAsia="Arial" w:hAnsi="Arial"/>
          <w:sz w:val="16"/>
          <w:szCs w:val="16"/>
          <w:color w:val="auto"/>
        </w:rPr>
        <w:t>The fair value of the third award is based on the fair value of the operating subsidiary on each date of grant, which was estimated using a discounted cash flow analysis which requires the application of discount factors and terminal multiples to projected cash flows. Discount factors and terminal multiples were based on market based inputs and transactions, as available at the measurement date.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00497F"/>
        </w:rPr>
        <w:t>Common Units</w:t>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5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5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r>
      <w:tr>
        <w:trPr>
          <w:trHeight w:val="162"/>
        </w:trPr>
        <w:tc>
          <w:tcPr>
            <w:tcW w:w="5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r>
      <w:tr>
        <w:trPr>
          <w:trHeight w:val="162"/>
        </w:trPr>
        <w:tc>
          <w:tcPr>
            <w:tcW w:w="5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r>
      <w:tr>
        <w:trPr>
          <w:trHeight w:val="162"/>
        </w:trPr>
        <w:tc>
          <w:tcPr>
            <w:tcW w:w="5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Exercise Price</w:t>
            </w:r>
          </w:p>
        </w:tc>
        <w:tc>
          <w:tcPr>
            <w:tcW w:w="14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Aggregate Value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r>
      <w:tr>
        <w:trPr>
          <w:trHeight w:val="203"/>
        </w:trPr>
        <w:tc>
          <w:tcPr>
            <w:tcW w:w="5740" w:type="dxa"/>
            <w:vAlign w:val="bottom"/>
          </w:tcPr>
          <w:p>
            <w:pPr>
              <w:spacing w:after="0"/>
              <w:rPr>
                <w:sz w:val="17"/>
                <w:szCs w:val="17"/>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Common Units</w:t>
            </w:r>
          </w:p>
        </w:tc>
        <w:tc>
          <w:tcPr>
            <w:tcW w:w="18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(per share)</w:t>
            </w:r>
          </w:p>
        </w:tc>
        <w:tc>
          <w:tcPr>
            <w:tcW w:w="12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 thousands)</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(in years)</w:t>
            </w:r>
          </w:p>
        </w:tc>
      </w:tr>
      <w:tr>
        <w:trPr>
          <w:trHeight w:val="251"/>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Common units outstanding and exercisable as of January 1, 2017</w:t>
            </w:r>
          </w:p>
        </w:tc>
        <w:tc>
          <w:tcPr>
            <w:tcW w:w="1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83,333</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1.34</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112</w:t>
            </w:r>
          </w:p>
        </w:tc>
        <w:tc>
          <w:tcPr>
            <w:tcW w:w="120" w:type="dxa"/>
            <w:vAlign w:val="bottom"/>
            <w:tcBorders>
              <w:top w:val="single" w:sz="8" w:color="CCEEFF"/>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0.77</w:t>
            </w:r>
          </w:p>
        </w:tc>
      </w:tr>
      <w:tr>
        <w:trPr>
          <w:trHeight w:val="269"/>
        </w:trPr>
        <w:tc>
          <w:tcPr>
            <w:tcW w:w="5740" w:type="dxa"/>
            <w:vAlign w:val="bottom"/>
          </w:tcPr>
          <w:p>
            <w:pPr>
              <w:ind w:left="380"/>
              <w:spacing w:after="0"/>
              <w:rPr>
                <w:sz w:val="20"/>
                <w:szCs w:val="20"/>
                <w:color w:val="auto"/>
              </w:rPr>
            </w:pPr>
            <w:r>
              <w:rPr>
                <w:rFonts w:ascii="Arial" w:cs="Arial" w:eastAsia="Arial" w:hAnsi="Arial"/>
                <w:sz w:val="14"/>
                <w:szCs w:val="14"/>
                <w:color w:val="auto"/>
              </w:rPr>
              <w:t>Granted</w:t>
            </w:r>
          </w:p>
        </w:tc>
        <w:tc>
          <w:tcPr>
            <w:tcW w:w="13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r>
      <w:tr>
        <w:trPr>
          <w:trHeight w:val="271"/>
        </w:trPr>
        <w:tc>
          <w:tcPr>
            <w:tcW w:w="5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Less: vested</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N/A</w:t>
            </w:r>
          </w:p>
        </w:tc>
      </w:tr>
      <w:tr>
        <w:trPr>
          <w:trHeight w:val="269"/>
        </w:trPr>
        <w:tc>
          <w:tcPr>
            <w:tcW w:w="5740" w:type="dxa"/>
            <w:vAlign w:val="bottom"/>
          </w:tcPr>
          <w:p>
            <w:pPr>
              <w:ind w:left="380"/>
              <w:spacing w:after="0"/>
              <w:rPr>
                <w:sz w:val="20"/>
                <w:szCs w:val="20"/>
                <w:color w:val="auto"/>
              </w:rPr>
            </w:pPr>
            <w:r>
              <w:rPr>
                <w:rFonts w:ascii="Arial" w:cs="Arial" w:eastAsia="Arial" w:hAnsi="Arial"/>
                <w:sz w:val="14"/>
                <w:szCs w:val="14"/>
                <w:color w:val="auto"/>
              </w:rPr>
              <w:t>Less: forfeited and canceled</w:t>
            </w:r>
          </w:p>
        </w:tc>
        <w:tc>
          <w:tcPr>
            <w:tcW w:w="13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auto"/>
              </w:rPr>
              <w:t>N/A</w:t>
            </w:r>
          </w:p>
        </w:tc>
      </w:tr>
      <w:tr>
        <w:trPr>
          <w:trHeight w:val="238"/>
        </w:trPr>
        <w:tc>
          <w:tcPr>
            <w:tcW w:w="5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Common units outstanding and exercisable as of March 31, 2017</w:t>
            </w:r>
          </w:p>
        </w:tc>
        <w:tc>
          <w:tcPr>
            <w:tcW w:w="1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83,333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0.52</w:t>
            </w:r>
          </w:p>
        </w:tc>
      </w:tr>
      <w:tr>
        <w:trPr>
          <w:trHeight w:val="20"/>
        </w:trPr>
        <w:tc>
          <w:tcPr>
            <w:tcW w:w="57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left="340"/>
        <w:spacing w:after="0" w:line="269" w:lineRule="auto"/>
        <w:rPr>
          <w:sz w:val="20"/>
          <w:szCs w:val="20"/>
          <w:color w:val="auto"/>
        </w:rPr>
      </w:pPr>
      <w:r>
        <w:rPr>
          <w:rFonts w:ascii="Arial" w:cs="Arial" w:eastAsia="Arial" w:hAnsi="Arial"/>
          <w:sz w:val="16"/>
          <w:szCs w:val="16"/>
          <w:color w:val="auto"/>
        </w:rPr>
        <w:t>In 2014 and 2015, the Company granted equity based compensation in a subsidiary consisting of common units in exchange for services assuming no forfeited amounts. The awards have varying terms, ranging between 16 and 36 months, and vest subject to continued employment through each respective vesting date. The awards are equity based with compensation expense recognized ratably over the vesting periods.</w:t>
      </w:r>
    </w:p>
    <w:p>
      <w:pPr>
        <w:spacing w:after="0" w:line="111" w:lineRule="exact"/>
        <w:rPr>
          <w:sz w:val="20"/>
          <w:szCs w:val="20"/>
          <w:color w:val="auto"/>
        </w:rPr>
      </w:pPr>
    </w:p>
    <w:p>
      <w:pPr>
        <w:jc w:val="both"/>
        <w:ind w:left="340"/>
        <w:spacing w:after="0" w:line="269" w:lineRule="auto"/>
        <w:rPr>
          <w:sz w:val="20"/>
          <w:szCs w:val="20"/>
          <w:color w:val="auto"/>
        </w:rPr>
      </w:pPr>
      <w:r>
        <w:rPr>
          <w:rFonts w:ascii="Arial" w:cs="Arial" w:eastAsia="Arial" w:hAnsi="Arial"/>
          <w:sz w:val="16"/>
          <w:szCs w:val="16"/>
          <w:color w:val="auto"/>
        </w:rPr>
        <w:t>The fair value of the awards are based on the fair value of the operating subsidiary on each date of grant, which was estimated using a discounted cash flow analysis which requires the application of discount factors and terminal multiples to projected cash flows. Discount factors and terminal multiples were based on market based inputs and transactions, as available at the measurement dates.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17" w:right="239" w:bottom="1440" w:gutter="0" w:footer="0" w:header="0"/>
        </w:sectPr>
      </w:pPr>
    </w:p>
    <w:bookmarkStart w:id="27" w:name="page28"/>
    <w:bookmarkEnd w:id="27"/>
    <w:p>
      <w:pPr>
        <w:ind w:right="382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12. INCOME TAXES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current and deferred components of the income tax provision (benefit) included in the Consolidated Statements of Operations are as follows:</w:t>
      </w:r>
    </w:p>
    <w:p>
      <w:pPr>
        <w:spacing w:after="0" w:line="386"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6940" w:type="dxa"/>
            <w:vAlign w:val="bottom"/>
          </w:tcPr>
          <w:p>
            <w:pPr>
              <w:spacing w:after="0"/>
              <w:rPr>
                <w:sz w:val="17"/>
                <w:szCs w:val="17"/>
                <w:color w:val="auto"/>
              </w:rPr>
            </w:pPr>
          </w:p>
        </w:tc>
        <w:tc>
          <w:tcPr>
            <w:tcW w:w="3460" w:type="dxa"/>
            <w:vAlign w:val="bottom"/>
            <w:tcBorders>
              <w:bottom w:val="single" w:sz="8" w:color="auto"/>
            </w:tcBorders>
            <w:gridSpan w:val="4"/>
          </w:tcPr>
          <w:p>
            <w:pPr>
              <w:jc w:val="right"/>
              <w:ind w:right="268"/>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7"/>
                <w:szCs w:val="17"/>
                <w:color w:val="auto"/>
              </w:rPr>
            </w:pPr>
          </w:p>
        </w:tc>
      </w:tr>
      <w:tr>
        <w:trPr>
          <w:trHeight w:val="264"/>
        </w:trPr>
        <w:tc>
          <w:tcPr>
            <w:tcW w:w="694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2016</w:t>
            </w:r>
          </w:p>
        </w:tc>
        <w:tc>
          <w:tcPr>
            <w:tcW w:w="620" w:type="dxa"/>
            <w:vAlign w:val="bottom"/>
            <w:tcBorders>
              <w:bottom w:val="single" w:sz="8" w:color="auto"/>
            </w:tcBorders>
          </w:tcPr>
          <w:p>
            <w:pPr>
              <w:spacing w:after="0"/>
              <w:rPr>
                <w:sz w:val="22"/>
                <w:szCs w:val="22"/>
                <w:color w:val="auto"/>
              </w:rPr>
            </w:pPr>
          </w:p>
        </w:tc>
      </w:tr>
      <w:tr>
        <w:trPr>
          <w:trHeight w:val="265"/>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w:t>
            </w:r>
          </w:p>
        </w:tc>
        <w:tc>
          <w:tcPr>
            <w:tcW w:w="14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r>
      <w:tr>
        <w:trPr>
          <w:trHeight w:val="269"/>
        </w:trPr>
        <w:tc>
          <w:tcPr>
            <w:tcW w:w="6940" w:type="dxa"/>
            <w:vAlign w:val="bottom"/>
          </w:tcPr>
          <w:p>
            <w:pPr>
              <w:ind w:left="260"/>
              <w:spacing w:after="0"/>
              <w:rPr>
                <w:sz w:val="20"/>
                <w:szCs w:val="20"/>
                <w:color w:val="auto"/>
              </w:rPr>
            </w:pPr>
            <w:r>
              <w:rPr>
                <w:rFonts w:ascii="Arial" w:cs="Arial" w:eastAsia="Arial" w:hAnsi="Arial"/>
                <w:sz w:val="14"/>
                <w:szCs w:val="14"/>
                <w:color w:val="auto"/>
              </w:rPr>
              <w:t>Federal</w:t>
            </w:r>
          </w:p>
        </w:tc>
        <w:tc>
          <w:tcPr>
            <w:tcW w:w="1400" w:type="dxa"/>
            <w:vAlign w:val="bottom"/>
          </w:tcPr>
          <w:p>
            <w:pPr>
              <w:jc w:val="right"/>
              <w:ind w:right="120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b w:val="1"/>
                <w:bCs w:val="1"/>
                <w:color w:val="auto"/>
              </w:rPr>
              <w:t>121</w:t>
            </w:r>
          </w:p>
        </w:tc>
        <w:tc>
          <w:tcPr>
            <w:tcW w:w="100" w:type="dxa"/>
            <w:vAlign w:val="bottom"/>
          </w:tcPr>
          <w:p>
            <w:pPr>
              <w:spacing w:after="0"/>
              <w:rPr>
                <w:sz w:val="23"/>
                <w:szCs w:val="23"/>
                <w:color w:val="auto"/>
              </w:rPr>
            </w:pPr>
          </w:p>
        </w:tc>
        <w:tc>
          <w:tcPr>
            <w:tcW w:w="1360" w:type="dxa"/>
            <w:vAlign w:val="bottom"/>
          </w:tcPr>
          <w:p>
            <w:pPr>
              <w:jc w:val="right"/>
              <w:ind w:right="118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20</w:t>
            </w:r>
          </w:p>
        </w:tc>
      </w:tr>
      <w:tr>
        <w:trPr>
          <w:trHeight w:val="271"/>
        </w:trPr>
        <w:tc>
          <w:tcPr>
            <w:tcW w:w="69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State and local</w:t>
            </w:r>
          </w:p>
        </w:tc>
        <w:tc>
          <w:tcPr>
            <w:tcW w:w="14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53</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w:t>
            </w:r>
          </w:p>
        </w:tc>
      </w:tr>
      <w:tr>
        <w:trPr>
          <w:trHeight w:val="269"/>
        </w:trPr>
        <w:tc>
          <w:tcPr>
            <w:tcW w:w="694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Foreign</w:t>
            </w:r>
          </w:p>
        </w:tc>
        <w:tc>
          <w:tcPr>
            <w:tcW w:w="14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21</w:t>
            </w:r>
          </w:p>
        </w:tc>
        <w:tc>
          <w:tcPr>
            <w:tcW w:w="100" w:type="dxa"/>
            <w:vAlign w:val="bottom"/>
            <w:tcBorders>
              <w:bottom w:val="single" w:sz="8" w:color="CCEEFF"/>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w:t>
            </w:r>
          </w:p>
        </w:tc>
      </w:tr>
      <w:tr>
        <w:trPr>
          <w:trHeight w:val="250"/>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current provision</w:t>
            </w:r>
          </w:p>
        </w:tc>
        <w:tc>
          <w:tcPr>
            <w:tcW w:w="14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195</w:t>
            </w:r>
          </w:p>
        </w:tc>
        <w:tc>
          <w:tcPr>
            <w:tcW w:w="100" w:type="dxa"/>
            <w:vAlign w:val="bottom"/>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w:t>
            </w:r>
          </w:p>
        </w:tc>
      </w:tr>
      <w:tr>
        <w:trPr>
          <w:trHeight w:val="319"/>
        </w:trPr>
        <w:tc>
          <w:tcPr>
            <w:tcW w:w="6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70"/>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w:t>
            </w:r>
          </w:p>
        </w:tc>
        <w:tc>
          <w:tcPr>
            <w:tcW w:w="14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r>
      <w:tr>
        <w:trPr>
          <w:trHeight w:val="269"/>
        </w:trPr>
        <w:tc>
          <w:tcPr>
            <w:tcW w:w="6940" w:type="dxa"/>
            <w:vAlign w:val="bottom"/>
          </w:tcPr>
          <w:p>
            <w:pPr>
              <w:ind w:left="260"/>
              <w:spacing w:after="0"/>
              <w:rPr>
                <w:sz w:val="20"/>
                <w:szCs w:val="20"/>
                <w:color w:val="auto"/>
              </w:rPr>
            </w:pPr>
            <w:r>
              <w:rPr>
                <w:rFonts w:ascii="Arial" w:cs="Arial" w:eastAsia="Arial" w:hAnsi="Arial"/>
                <w:sz w:val="14"/>
                <w:szCs w:val="14"/>
                <w:color w:val="auto"/>
              </w:rPr>
              <w:t>Federal</w:t>
            </w:r>
          </w:p>
        </w:tc>
        <w:tc>
          <w:tcPr>
            <w:tcW w:w="140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4</w:t>
            </w:r>
          </w:p>
        </w:tc>
      </w:tr>
      <w:tr>
        <w:trPr>
          <w:trHeight w:val="271"/>
        </w:trPr>
        <w:tc>
          <w:tcPr>
            <w:tcW w:w="69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State and local</w:t>
            </w:r>
          </w:p>
        </w:tc>
        <w:tc>
          <w:tcPr>
            <w:tcW w:w="140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3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69"/>
        </w:trPr>
        <w:tc>
          <w:tcPr>
            <w:tcW w:w="694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Foreign</w:t>
            </w:r>
          </w:p>
        </w:tc>
        <w:tc>
          <w:tcPr>
            <w:tcW w:w="14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13</w:t>
            </w:r>
          </w:p>
        </w:tc>
        <w:tc>
          <w:tcPr>
            <w:tcW w:w="100" w:type="dxa"/>
            <w:vAlign w:val="bottom"/>
            <w:tcBorders>
              <w:bottom w:val="single" w:sz="8" w:color="CCEEFF"/>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w:t>
            </w:r>
          </w:p>
        </w:tc>
      </w:tr>
      <w:tr>
        <w:trPr>
          <w:trHeight w:val="250"/>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deferred provision</w:t>
            </w:r>
          </w:p>
        </w:tc>
        <w:tc>
          <w:tcPr>
            <w:tcW w:w="14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17</w:t>
            </w:r>
          </w:p>
        </w:tc>
        <w:tc>
          <w:tcPr>
            <w:tcW w:w="100" w:type="dxa"/>
            <w:vAlign w:val="bottom"/>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w:t>
            </w:r>
          </w:p>
        </w:tc>
      </w:tr>
      <w:tr>
        <w:trPr>
          <w:trHeight w:val="319"/>
        </w:trPr>
        <w:tc>
          <w:tcPr>
            <w:tcW w:w="6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57"/>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provision for (benefit from) income taxes</w:t>
            </w:r>
          </w:p>
        </w:tc>
        <w:tc>
          <w:tcPr>
            <w:tcW w:w="1400" w:type="dxa"/>
            <w:vAlign w:val="bottom"/>
            <w:tcBorders>
              <w:bottom w:val="single" w:sz="8" w:color="auto"/>
            </w:tcBorders>
            <w:shd w:val="clear" w:color="auto" w:fill="CCEEFF"/>
          </w:tcPr>
          <w:p>
            <w:pPr>
              <w:jc w:val="right"/>
              <w:ind w:right="120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212</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18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w:t>
            </w:r>
          </w:p>
        </w:tc>
      </w:tr>
      <w:tr>
        <w:trPr>
          <w:trHeight w:val="20"/>
        </w:trPr>
        <w:tc>
          <w:tcPr>
            <w:tcW w:w="69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left="340"/>
        <w:spacing w:after="0" w:line="269" w:lineRule="auto"/>
        <w:rPr>
          <w:sz w:val="20"/>
          <w:szCs w:val="20"/>
          <w:color w:val="auto"/>
        </w:rPr>
      </w:pPr>
      <w:r>
        <w:rPr>
          <w:rFonts w:ascii="Arial" w:cs="Arial" w:eastAsia="Arial" w:hAnsi="Arial"/>
          <w:sz w:val="16"/>
          <w:szCs w:val="16"/>
          <w:color w:val="auto"/>
        </w:rPr>
        <w:t>The Company is taxed as a flow-through entity for U.S. income tax purposes and its taxable income or loss generated is the responsibility of its owners. Taxable income or loss generated by the Company’s corporate subsidiaries is subject to U.S. federal, state and foreign corporate income tax in locations where they conduct business.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Company’s effective tax rate differs from the U.S. federal tax rate of 35% primarily due to a significant portion of its income not being subject to U.S.</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corporate tax rates, or being deemed to be foreign sourced and thus either not taxable or taxable at effectively lower tax rates.</w:t>
      </w:r>
    </w:p>
    <w:p>
      <w:pPr>
        <w:spacing w:after="0" w:line="147" w:lineRule="exact"/>
        <w:rPr>
          <w:sz w:val="20"/>
          <w:szCs w:val="20"/>
          <w:color w:val="auto"/>
        </w:rPr>
      </w:pPr>
    </w:p>
    <w:p>
      <w:pPr>
        <w:jc w:val="both"/>
        <w:ind w:left="340"/>
        <w:spacing w:after="0" w:line="257" w:lineRule="auto"/>
        <w:rPr>
          <w:sz w:val="20"/>
          <w:szCs w:val="20"/>
          <w:color w:val="auto"/>
        </w:rPr>
      </w:pPr>
      <w:r>
        <w:rPr>
          <w:rFonts w:ascii="Arial" w:cs="Arial" w:eastAsia="Arial" w:hAnsi="Arial"/>
          <w:sz w:val="16"/>
          <w:szCs w:val="16"/>
          <w:color w:val="auto"/>
        </w:rPr>
        <w:t>As of and for the period ended March 31, 2017, the Company had not established a liability for uncertain tax positions as no such positions existed. In general, the Company’s tax returns and the tax returns of its corporate subsidiaries are subject to U.S. federal, state, local and foreign income tax examinations by tax authorities. Generally, the Company is not subject to examination by taxing authorities for tax years prior to 2013. The Company does not believe that it is reasonably possible that the total amount of unrecognized tax benefits will significantly change within 12 months of the reporting date of March 31, 2017.</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13. MANAGEMENT AGREEMENT AND AFFILIATE TRANSACTIONS</w:t>
      </w:r>
    </w:p>
    <w:p>
      <w:pPr>
        <w:spacing w:after="0" w:line="171" w:lineRule="exact"/>
        <w:rPr>
          <w:sz w:val="20"/>
          <w:szCs w:val="20"/>
          <w:color w:val="auto"/>
        </w:rPr>
      </w:pPr>
    </w:p>
    <w:p>
      <w:pPr>
        <w:jc w:val="both"/>
        <w:ind w:left="340"/>
        <w:spacing w:after="0" w:line="255" w:lineRule="auto"/>
        <w:rPr>
          <w:sz w:val="20"/>
          <w:szCs w:val="20"/>
          <w:color w:val="auto"/>
        </w:rPr>
      </w:pPr>
      <w:r>
        <w:rPr>
          <w:rFonts w:ascii="Arial" w:cs="Arial" w:eastAsia="Arial" w:hAnsi="Arial"/>
          <w:sz w:val="16"/>
          <w:szCs w:val="16"/>
          <w:color w:val="auto"/>
        </w:rPr>
        <w:t>The Manager is paid annual fees in exchange for advising the Company on various aspects of its business, formulating its investment strategies, arranging for the acquisition and disposition of assets, arranging for financing, monitoring performance, and managing its day-to-day operations, inclusive of all costs incidental thereto. In addition, the Manager may be reimbursed for various expenses incurred by the Manager on the Company’s behalf, including the costs of legal, accounting and other administrative activities. In May 2015, in connection with the Company’s IPO, the Company entered into the Management Agreement which replaced its then-existing management agreement as a private fund. Additionally, the Company has entered into certain incentive allocation arrangements with Master GP, which owns 0.05% of the Partnership and is the general partner of the Partnership.</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00497F"/>
        </w:rPr>
        <w:t>Post-IPO Management Agreement and Other Incentive Allocation</w:t>
      </w:r>
    </w:p>
    <w:p>
      <w:pPr>
        <w:spacing w:after="0" w:line="165" w:lineRule="exact"/>
        <w:rPr>
          <w:sz w:val="20"/>
          <w:szCs w:val="20"/>
          <w:color w:val="auto"/>
        </w:rPr>
      </w:pPr>
    </w:p>
    <w:p>
      <w:pPr>
        <w:jc w:val="both"/>
        <w:ind w:left="340"/>
        <w:spacing w:after="0" w:line="257" w:lineRule="auto"/>
        <w:rPr>
          <w:sz w:val="20"/>
          <w:szCs w:val="20"/>
          <w:color w:val="auto"/>
        </w:rPr>
      </w:pPr>
      <w:r>
        <w:rPr>
          <w:rFonts w:ascii="Arial" w:cs="Arial" w:eastAsia="Arial" w:hAnsi="Arial"/>
          <w:sz w:val="16"/>
          <w:szCs w:val="16"/>
          <w:color w:val="auto"/>
        </w:rPr>
        <w:t>The Manager is entitled to a management fee, incentive allocations (comprised of income incentive allocation and capital gains incentive allocation, defined below) and reimbursement of certain expenses. The management fee is determined by taking the average value of total equity (excluding non-controlling interests) determined on a consolidated basis in accordance with GAAP at the end of the two most recently completed months multiplied by an annual rate of 1.50%, and is payable monthly in arrears in cash. The total management fees for the three months ended March 31, 2017 and 2016 were $3,893 and $4,348, respectively.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17" w:right="239" w:bottom="1440" w:gutter="0" w:footer="0" w:header="0"/>
        </w:sectPr>
      </w:pPr>
    </w:p>
    <w:bookmarkStart w:id="28" w:name="page29"/>
    <w:bookmarkEnd w:id="28"/>
    <w:p>
      <w:pPr>
        <w:ind w:right="382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7" w:lineRule="exact"/>
        <w:rPr>
          <w:sz w:val="20"/>
          <w:szCs w:val="20"/>
          <w:color w:val="auto"/>
        </w:rPr>
      </w:pPr>
    </w:p>
    <w:p>
      <w:pPr>
        <w:jc w:val="both"/>
        <w:ind w:left="340"/>
        <w:spacing w:after="0" w:line="255" w:lineRule="auto"/>
        <w:rPr>
          <w:sz w:val="20"/>
          <w:szCs w:val="20"/>
          <w:color w:val="auto"/>
        </w:rPr>
      </w:pPr>
      <w:r>
        <w:rPr>
          <w:rFonts w:ascii="Arial" w:cs="Arial" w:eastAsia="Arial" w:hAnsi="Arial"/>
          <w:sz w:val="16"/>
          <w:szCs w:val="16"/>
          <w:color w:val="auto"/>
        </w:rPr>
        <w:t>The income incentive allocation is calculated and distributable quarterly in arrears based on the pre-incentive allocation net income for the immediately preceding calendar quarter (the “Income Incentive Allocation”). For this purpose, pre-incentive allocation net income means, with respect to a calendar quarter, net income attributable to shareholders during such quarter calculated in accordance with GAAP excluding the Company’s pro rata share of</w:t>
      </w:r>
    </w:p>
    <w:p>
      <w:pPr>
        <w:spacing w:after="0" w:line="1" w:lineRule="exact"/>
        <w:rPr>
          <w:sz w:val="20"/>
          <w:szCs w:val="20"/>
          <w:color w:val="auto"/>
        </w:rPr>
      </w:pPr>
    </w:p>
    <w:p>
      <w:pPr>
        <w:jc w:val="both"/>
        <w:ind w:left="340" w:hanging="8"/>
        <w:spacing w:after="0" w:line="256" w:lineRule="auto"/>
        <w:tabs>
          <w:tab w:leader="none" w:pos="61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realized or unrealized gains and losses, and (2) certain non-cash or one-time items, and (3) any other adjustments as may be approved by the Company’s independent directors. Pre-incentive allocation net income does not include any Income Incentive Allocation or Capital Gains Incentive Allocation (described below) paid to the Master GP during the relevant quarter.</w:t>
      </w:r>
    </w:p>
    <w:p>
      <w:pPr>
        <w:spacing w:after="0" w:line="121" w:lineRule="exact"/>
        <w:rPr>
          <w:sz w:val="20"/>
          <w:szCs w:val="20"/>
          <w:color w:val="auto"/>
        </w:rPr>
      </w:pPr>
    </w:p>
    <w:p>
      <w:pPr>
        <w:jc w:val="both"/>
        <w:ind w:left="340"/>
        <w:spacing w:after="0" w:line="251" w:lineRule="auto"/>
        <w:rPr>
          <w:sz w:val="20"/>
          <w:szCs w:val="20"/>
          <w:color w:val="auto"/>
        </w:rPr>
      </w:pPr>
      <w:r>
        <w:rPr>
          <w:rFonts w:ascii="Arial" w:cs="Arial" w:eastAsia="Arial" w:hAnsi="Arial"/>
          <w:sz w:val="16"/>
          <w:szCs w:val="16"/>
          <w:color w:val="auto"/>
        </w:rPr>
        <w:t>A subsidiary of the Company allocates and distributes to the Master GP an Income Incentive Allocation with respect to its pre-incentive allocation net income in each calendar quarter as follows: (1) no Income Incentive Allocation in any calendar quarter in which pre-incentive allocation net income, expressed as a rate of return on the average value of the Company’s net equity capital (excluding non-controlling interests) at the end of the two most recently completed calendar quarters, does not exceed 2% for such quarter (8% annualized); (2) 100% of pre -incentive allocation net income with respect to that portion of such pre-incentive allocation net income, if any, that is equal to or exceeds 2% but does not exceed 2.2223% for such quarter; and</w:t>
      </w:r>
    </w:p>
    <w:p>
      <w:pPr>
        <w:spacing w:after="0" w:line="3" w:lineRule="exact"/>
        <w:rPr>
          <w:sz w:val="20"/>
          <w:szCs w:val="20"/>
          <w:color w:val="auto"/>
        </w:rPr>
      </w:pPr>
    </w:p>
    <w:p>
      <w:pPr>
        <w:ind w:left="340" w:hanging="8"/>
        <w:spacing w:after="0" w:line="265" w:lineRule="auto"/>
        <w:tabs>
          <w:tab w:leader="none" w:pos="583" w:val="left"/>
        </w:tabs>
        <w:numPr>
          <w:ilvl w:val="0"/>
          <w:numId w:val="9"/>
        </w:numPr>
        <w:rPr>
          <w:rFonts w:ascii="Arial" w:cs="Arial" w:eastAsia="Arial" w:hAnsi="Arial"/>
          <w:sz w:val="16"/>
          <w:szCs w:val="16"/>
          <w:color w:val="auto"/>
        </w:rPr>
      </w:pPr>
      <w:r>
        <w:rPr>
          <w:rFonts w:ascii="Arial" w:cs="Arial" w:eastAsia="Arial" w:hAnsi="Arial"/>
          <w:sz w:val="16"/>
          <w:szCs w:val="16"/>
          <w:color w:val="auto"/>
        </w:rPr>
        <w:t>10% of the amount of pre-incentive allocation net income, if any, that exceeds 2.2223% for such quarter. These calculations will be prorated for any period of less than three months. No Income Incentive Allocation was due to the Master GP for the three months ended March 31, 2017 and 2016.</w:t>
      </w:r>
    </w:p>
    <w:p>
      <w:pPr>
        <w:spacing w:after="0" w:line="114" w:lineRule="exact"/>
        <w:rPr>
          <w:sz w:val="20"/>
          <w:szCs w:val="20"/>
          <w:color w:val="auto"/>
        </w:rPr>
      </w:pPr>
    </w:p>
    <w:p>
      <w:pPr>
        <w:jc w:val="both"/>
        <w:ind w:left="340"/>
        <w:spacing w:after="0" w:line="257" w:lineRule="auto"/>
        <w:rPr>
          <w:sz w:val="20"/>
          <w:szCs w:val="20"/>
          <w:color w:val="auto"/>
        </w:rPr>
      </w:pPr>
      <w:r>
        <w:rPr>
          <w:rFonts w:ascii="Arial" w:cs="Arial" w:eastAsia="Arial" w:hAnsi="Arial"/>
          <w:sz w:val="16"/>
          <w:szCs w:val="16"/>
          <w:color w:val="auto"/>
        </w:rPr>
        <w:t>Capital Gains Incentive Allocation is calculated and distributable in arrears as of the end of each calendar year and is equal to 10% of the Company’s pro rata share of cumulative realized gains from the date of the IPO through the end of the applicable calendar year, net of the Company’s pro rata share of cumulative realized or unrealized losses, the cumulative non-cash portion of equity-based compensation expenses and all realized gains upon which prior performance-based Capital Gains Incentive Allocation payments were made to the Master GP. No Capital Gains Incentive Allocation was due to the Master GP for the three months ended March 31, 2017 and 2016.</w:t>
      </w:r>
    </w:p>
    <w:p>
      <w:pPr>
        <w:spacing w:after="0" w:line="122"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The Company will pay all of its operating expenses, except those specifically required to be borne by the Manager under the Management Agreement. The expenses required to be paid by the Company include, but are not limited to, issuance and transaction costs incident to the acquisition, disposition and financing of the company’s assets, legal and auditing fees and expenses, the compensation and expenses of the Company’s independent directors, the costs associated with the establishment and maintenance of any credit facilities and other indebtedness of the Company (including commitment fees, legal fees, closing costs, etc.), expenses associated with other securities offerings of the Company, costs and expenses incurred in contracting with third parties (including affiliates of the Manager), the costs of printing and mailing proxies and reports to the Company’s shareholders, costs incurred by the Manager or its affiliates for travel on the Company’s behalf, costs associated with any computer software or hardware that is used for the Company, costs to obtain liability insurance to indemnify the Company’s directors and officers and the compensation and expenses of the Company’s transfer agent.</w:t>
      </w:r>
    </w:p>
    <w:p>
      <w:pPr>
        <w:spacing w:after="0" w:line="123" w:lineRule="exact"/>
        <w:rPr>
          <w:sz w:val="20"/>
          <w:szCs w:val="20"/>
          <w:color w:val="auto"/>
        </w:rPr>
      </w:pPr>
    </w:p>
    <w:p>
      <w:pPr>
        <w:jc w:val="both"/>
        <w:ind w:left="340"/>
        <w:spacing w:after="0" w:line="254" w:lineRule="auto"/>
        <w:rPr>
          <w:sz w:val="20"/>
          <w:szCs w:val="20"/>
          <w:color w:val="auto"/>
        </w:rPr>
      </w:pPr>
      <w:r>
        <w:rPr>
          <w:rFonts w:ascii="Arial" w:cs="Arial" w:eastAsia="Arial" w:hAnsi="Arial"/>
          <w:sz w:val="16"/>
          <w:szCs w:val="16"/>
          <w:color w:val="auto"/>
        </w:rPr>
        <w:t>The Company will pay or reimburse the Manager and its affiliates for performing certain legal, accounting, due diligence tasks and other services that outside professionals or outside consultants otherwise would perform, provided that such costs and reimbursements are no greater than those which would be paid to outside professionals or consultants. The Manager is responsible for all of its other costs incident to the performance of its duties under the Management Agreement, including compensation of the Manager’s employees, rent for facilities and other “overhead” expenses; the Company will not reimburse the Manager for these expenses. During the three months ended March 31, 2017 and 2016, expense reimbursement of $2,204 and $1,758 was recorded in general and administrative expenses, respectively, and $1,150 and $1,013 was recorded in acquisition and transaction expenses, respectively, in the Consolidated Statements of Operations.</w:t>
      </w:r>
    </w:p>
    <w:p>
      <w:pPr>
        <w:spacing w:after="0" w:line="123" w:lineRule="exact"/>
        <w:rPr>
          <w:sz w:val="20"/>
          <w:szCs w:val="20"/>
          <w:color w:val="auto"/>
        </w:rPr>
      </w:pPr>
    </w:p>
    <w:p>
      <w:pPr>
        <w:jc w:val="both"/>
        <w:ind w:left="340"/>
        <w:spacing w:after="0" w:line="255" w:lineRule="auto"/>
        <w:rPr>
          <w:sz w:val="20"/>
          <w:szCs w:val="20"/>
          <w:color w:val="auto"/>
        </w:rPr>
      </w:pPr>
      <w:r>
        <w:rPr>
          <w:rFonts w:ascii="Arial" w:cs="Arial" w:eastAsia="Arial" w:hAnsi="Arial"/>
          <w:sz w:val="16"/>
          <w:szCs w:val="16"/>
          <w:color w:val="auto"/>
        </w:rPr>
        <w:t>If the Company terminates the Management Agreement, it will generally be required to pay the Manager a termination fee. The termination fee is equal to the amount of the management fee during the 12 months immediately preceding the date of the termination. In addition, an Incentive Allocation Fair Value Amount will be distributable to the Master GP if the Master GP is removed due to the termination of the Management Agreement in certain specified circumstances. The Incentive Allocation Fair Value Amount is an amount equal to the Income Incentive Allocation and the Capital Gains Incentive Allocation that would be paid to the Master GP if the Company’s assets were sold for cash at their then current fair market value (as determined by an appraisal, taking into account, among other things, the expected future value of the underlying investments).</w:t>
      </w:r>
    </w:p>
    <w:p>
      <w:pPr>
        <w:spacing w:after="0" w:line="124" w:lineRule="exact"/>
        <w:rPr>
          <w:sz w:val="20"/>
          <w:szCs w:val="20"/>
          <w:color w:val="auto"/>
        </w:rPr>
      </w:pPr>
    </w:p>
    <w:p>
      <w:pPr>
        <w:jc w:val="both"/>
        <w:ind w:left="340"/>
        <w:spacing w:after="0" w:line="254" w:lineRule="auto"/>
        <w:rPr>
          <w:sz w:val="20"/>
          <w:szCs w:val="20"/>
          <w:color w:val="auto"/>
        </w:rPr>
      </w:pPr>
      <w:r>
        <w:rPr>
          <w:rFonts w:ascii="Arial" w:cs="Arial" w:eastAsia="Arial" w:hAnsi="Arial"/>
          <w:sz w:val="16"/>
          <w:szCs w:val="16"/>
          <w:color w:val="auto"/>
        </w:rPr>
        <w:t>Upon the successful completion of a post-IPO offering of the Company’s common shares or other equity securities (including securities issued as consideration in an acquisition), the Company will grant the Manager options to purchase common shares in an amount equal to 10% of the number of common shares being sold in the offering (or if the issuance relates to equity securities other than the Company’s common shares, options to purchase a number of common shares equal to 10% of the gross capital raised in the equity issuance divided by the fair market value of a common share as of the date of issuance), with an exercise price equal to the offering price per share paid by the public or other ultimate purchaser or attributed to such securities in connection with an acquisition (or the fair market value of a common share as of the date of the equity issuance if it relates to equity securities other than our common shares). Any ultimate purchaser of common shares for which such options are granted may be an affiliate of Fortress.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17" w:right="239" w:bottom="1440" w:gutter="0" w:footer="0" w:header="0"/>
        </w:sectPr>
      </w:pPr>
    </w:p>
    <w:bookmarkStart w:id="29" w:name="page30"/>
    <w:bookmarkEnd w:id="29"/>
    <w:p>
      <w:pPr>
        <w:ind w:right="382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7" w:lineRule="exact"/>
        <w:rPr>
          <w:sz w:val="20"/>
          <w:szCs w:val="20"/>
          <w:color w:val="auto"/>
        </w:rPr>
      </w:pPr>
    </w:p>
    <w:p>
      <w:pPr>
        <w:jc w:val="both"/>
        <w:ind w:left="340"/>
        <w:spacing w:after="0" w:line="257" w:lineRule="auto"/>
        <w:rPr>
          <w:sz w:val="20"/>
          <w:szCs w:val="20"/>
          <w:color w:val="auto"/>
        </w:rPr>
      </w:pPr>
      <w:r>
        <w:rPr>
          <w:rFonts w:ascii="Arial" w:cs="Arial" w:eastAsia="Arial" w:hAnsi="Arial"/>
          <w:sz w:val="16"/>
          <w:szCs w:val="16"/>
          <w:color w:val="auto"/>
        </w:rPr>
        <w:t>As of March 31, 2017 and December 31, 2016, no amounts were recorded as a receivable from the Manager. As of March 31, 2017 and December 31, 2016, amounts due to the Manager or its affiliates of $1,304 and $1,697, excluding accrued management fees, respectively, are included within accounts payable and accrued liabilities on the Consolidated Balance Sheets. As of March 31, 2017 and December 31, 2016, amounts due to the Manager or its affiliates of $1,350 and $1,347, respectively, related to accrued management fees, are included within accounts payable and accrued liabilities on the Consolidated Balance Sheets.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00497F"/>
        </w:rPr>
        <w:t>Other Affiliate Transactions</w:t>
      </w:r>
    </w:p>
    <w:p>
      <w:pPr>
        <w:spacing w:after="0" w:line="165" w:lineRule="exact"/>
        <w:rPr>
          <w:sz w:val="20"/>
          <w:szCs w:val="20"/>
          <w:color w:val="auto"/>
        </w:rPr>
      </w:pPr>
    </w:p>
    <w:p>
      <w:pPr>
        <w:jc w:val="both"/>
        <w:ind w:left="340"/>
        <w:spacing w:after="0" w:line="261" w:lineRule="auto"/>
        <w:rPr>
          <w:sz w:val="20"/>
          <w:szCs w:val="20"/>
          <w:color w:val="auto"/>
        </w:rPr>
      </w:pPr>
      <w:r>
        <w:rPr>
          <w:rFonts w:ascii="Arial" w:cs="Arial" w:eastAsia="Arial" w:hAnsi="Arial"/>
          <w:sz w:val="16"/>
          <w:szCs w:val="16"/>
          <w:color w:val="auto"/>
        </w:rPr>
        <w:t>As of March 31, 2017 and December 31, 2016 an affiliate of the Company’s Manager owns an approximately 20% interest in Jefferson Terminal which has been accounted for as a component of non-controlling interest in consolidated subsidiaries in the accompanying consolidated financial statements. The carrying amount of this non-controlling interest at March 31, 2017 and December 31, 2016 was $72,346 and $74,904, respectively. For the three months ended March 31, 2017 and 2016, the amount of this non-controlling interest share of net loss was $2,558 and $1,633, respectively.</w:t>
      </w:r>
    </w:p>
    <w:p>
      <w:pPr>
        <w:spacing w:after="0" w:line="118" w:lineRule="exact"/>
        <w:rPr>
          <w:sz w:val="20"/>
          <w:szCs w:val="20"/>
          <w:color w:val="auto"/>
        </w:rPr>
      </w:pPr>
    </w:p>
    <w:p>
      <w:pPr>
        <w:jc w:val="both"/>
        <w:ind w:left="340"/>
        <w:spacing w:after="0" w:line="261" w:lineRule="auto"/>
        <w:rPr>
          <w:sz w:val="20"/>
          <w:szCs w:val="20"/>
          <w:color w:val="auto"/>
        </w:rPr>
      </w:pPr>
      <w:r>
        <w:rPr>
          <w:rFonts w:ascii="Arial" w:cs="Arial" w:eastAsia="Arial" w:hAnsi="Arial"/>
          <w:sz w:val="16"/>
          <w:szCs w:val="16"/>
          <w:color w:val="auto"/>
        </w:rPr>
        <w:t>In connection with the Capital Call Agreement related to the Series 2016 Bonds discussed in Note 8, the Company and an affiliate of its Manager entered into a Fee and Support Agreement. The Fee and Support Agreement provides that the affiliate of the Manager is compensated for its guarantee of a portion of the obligations under the Standby Bond Purchase Agreement. This affiliate of the Manager received fees of $1,740, which will be amortized as interest expense to the earlier of the redemption date or February 13, 2020.</w:t>
      </w:r>
    </w:p>
    <w:p>
      <w:pPr>
        <w:spacing w:after="0" w:line="59"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14. SEGMENT INFORMATION</w:t>
      </w:r>
    </w:p>
    <w:p>
      <w:pPr>
        <w:spacing w:after="0" w:line="117" w:lineRule="exact"/>
        <w:rPr>
          <w:sz w:val="20"/>
          <w:szCs w:val="20"/>
          <w:color w:val="auto"/>
        </w:rPr>
      </w:pPr>
    </w:p>
    <w:p>
      <w:pPr>
        <w:jc w:val="both"/>
        <w:ind w:left="340"/>
        <w:spacing w:after="0" w:line="252" w:lineRule="auto"/>
        <w:rPr>
          <w:sz w:val="20"/>
          <w:szCs w:val="20"/>
          <w:color w:val="auto"/>
        </w:rPr>
      </w:pPr>
      <w:r>
        <w:rPr>
          <w:rFonts w:ascii="Arial" w:cs="Arial" w:eastAsia="Arial" w:hAnsi="Arial"/>
          <w:sz w:val="16"/>
          <w:szCs w:val="16"/>
          <w:color w:val="auto"/>
        </w:rPr>
        <w:t>The Company’s reportable segments represent strategic business units comprised of investments in different types of transportation and infrastructure assets. The Company has six reportable segments which operate in the Equipment Leasing and Infrastructure businesses across several market sectors. The Company’s reportable segments are (i) Aviation Leasing, (ii) Offshore Energy, (iii) Shipping Containers, (iv) Jefferson Terminal, (v) Railroad, and (vi) Ports and Terminals. Aviation Leasing consists of aircraft and aircraft engines held for lease and are typically held long-term. Offshore Energy consists of vessels and equipment that support offshore oil and gas drilling and production which are typically subject to long-term operating leases. Shipping Containers consists of an investment in an unconsolidated entity engaged in the acquisition and leasing of shipping containers (on both an operating lease and finance lease basis). Jefferson Terminal consists of a multi-modal crude oil and refined products terminal and other related assets. Railroad consists of our CMQR railroad operations. Ports and Terminals consists of Repauno, which is a 1,630 acre deep-water port located along the Delaware river with an underground storage cavern and multiple industrial development opportunities, and the investment in note receivable.</w:t>
      </w:r>
    </w:p>
    <w:p>
      <w:pPr>
        <w:spacing w:after="0" w:line="71" w:lineRule="exact"/>
        <w:rPr>
          <w:sz w:val="20"/>
          <w:szCs w:val="20"/>
          <w:color w:val="auto"/>
        </w:rPr>
      </w:pPr>
    </w:p>
    <w:p>
      <w:pPr>
        <w:jc w:val="both"/>
        <w:ind w:left="340"/>
        <w:spacing w:after="0" w:line="261" w:lineRule="auto"/>
        <w:rPr>
          <w:sz w:val="20"/>
          <w:szCs w:val="20"/>
          <w:color w:val="auto"/>
        </w:rPr>
      </w:pPr>
      <w:r>
        <w:rPr>
          <w:rFonts w:ascii="Arial" w:cs="Arial" w:eastAsia="Arial" w:hAnsi="Arial"/>
          <w:sz w:val="16"/>
          <w:szCs w:val="16"/>
          <w:color w:val="auto"/>
        </w:rPr>
        <w:t>Corporate consists primarily of unallocated Company level general and administrative expenses, and management fees. The accounting policies of the segments are the same as those described in the summary of significant accounting policies; however, financial information presented by segment includes the impact of intercompany eliminations. The Company evaluates investment performance for each reportable segment primarily based on net income attributable to shareholders and Adjusted Net Income.</w:t>
      </w:r>
    </w:p>
    <w:p>
      <w:pPr>
        <w:spacing w:after="0" w:line="64" w:lineRule="exact"/>
        <w:rPr>
          <w:sz w:val="20"/>
          <w:szCs w:val="20"/>
          <w:color w:val="auto"/>
        </w:rPr>
      </w:pPr>
    </w:p>
    <w:p>
      <w:pPr>
        <w:jc w:val="both"/>
        <w:ind w:left="340"/>
        <w:spacing w:after="0" w:line="257" w:lineRule="auto"/>
        <w:rPr>
          <w:sz w:val="20"/>
          <w:szCs w:val="20"/>
          <w:color w:val="auto"/>
        </w:rPr>
      </w:pPr>
      <w:r>
        <w:rPr>
          <w:rFonts w:ascii="Arial" w:cs="Arial" w:eastAsia="Arial" w:hAnsi="Arial"/>
          <w:sz w:val="16"/>
          <w:szCs w:val="16"/>
          <w:color w:val="auto"/>
        </w:rPr>
        <w:t>Adjusted Net Income is defined as net income attributable to shareholders, adjusted (a) to exclude the impact of provision for income taxes, equity-based compensation expense, acquisition and transaction expenses, losses on the modification or extinguishment of debt and capital lease obligations, changes in fair value of non-hedge derivative instruments, asset impairment charges, incentive allocations, and equity in earnings of unconsolidated entities; (b) to include the impact of cash income tax payments, the Company’s pro-rata share of the Adjusted Net Income from unconsolidated entities (collectively “Adjusted Net Income”), and (c) to exclude the impact of the non-controlling share of Adjusted Net Income.</w:t>
      </w:r>
    </w:p>
    <w:p>
      <w:pPr>
        <w:spacing w:after="0" w:line="68" w:lineRule="exact"/>
        <w:rPr>
          <w:sz w:val="20"/>
          <w:szCs w:val="20"/>
          <w:color w:val="auto"/>
        </w:rPr>
      </w:pPr>
    </w:p>
    <w:p>
      <w:pPr>
        <w:jc w:val="both"/>
        <w:ind w:left="340"/>
        <w:spacing w:after="0" w:line="269" w:lineRule="auto"/>
        <w:rPr>
          <w:sz w:val="20"/>
          <w:szCs w:val="20"/>
          <w:color w:val="auto"/>
        </w:rPr>
      </w:pPr>
      <w:r>
        <w:rPr>
          <w:rFonts w:ascii="Arial" w:cs="Arial" w:eastAsia="Arial" w:hAnsi="Arial"/>
          <w:sz w:val="16"/>
          <w:szCs w:val="16"/>
          <w:color w:val="auto"/>
        </w:rPr>
        <w:t>The Company believes that net income attributable to shareholders, as defined by GAAP, is the most appropriate earnings measurement with which to reconcile Adjusted Net Income. Adjusted Net Income should not be considered as an alternative to net income attributable to shareholders as determined in accordance with GAAP.</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17" w:right="239" w:bottom="1440" w:gutter="0" w:footer="0" w:header="0"/>
        </w:sectPr>
      </w:pPr>
    </w:p>
    <w:bookmarkStart w:id="30" w:name="page31"/>
    <w:bookmarkEnd w:id="30"/>
    <w:p>
      <w:pPr>
        <w:ind w:right="382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tables set forth certain information for each reportable segment of the Company:</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00497F"/>
        </w:rPr>
        <w:t>I. For the Three Months Ended March 31, 2017</w:t>
      </w:r>
    </w:p>
    <w:p>
      <w:pPr>
        <w:spacing w:after="0" w:line="388"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2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gridSpan w:val="8"/>
          </w:tcPr>
          <w:p>
            <w:pPr>
              <w:ind w:left="760"/>
              <w:spacing w:after="0"/>
              <w:rPr>
                <w:sz w:val="20"/>
                <w:szCs w:val="20"/>
                <w:color w:val="auto"/>
              </w:rPr>
            </w:pPr>
            <w:r>
              <w:rPr>
                <w:rFonts w:ascii="Arial" w:cs="Arial" w:eastAsia="Arial" w:hAnsi="Arial"/>
                <w:sz w:val="14"/>
                <w:szCs w:val="14"/>
                <w:b w:val="1"/>
                <w:bCs w:val="1"/>
                <w:color w:val="auto"/>
              </w:rPr>
              <w:t>Three months ended March 31, 2017</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2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Equipment Leasing</w:t>
            </w:r>
          </w:p>
        </w:tc>
        <w:tc>
          <w:tcPr>
            <w:tcW w:w="9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Infrastructure</w:t>
            </w: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b w:val="1"/>
                <w:bCs w:val="1"/>
                <w:color w:val="auto"/>
              </w:rPr>
              <w:t>Aviation</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Offshore</w:t>
            </w: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Shipping</w:t>
            </w:r>
          </w:p>
        </w:tc>
        <w:tc>
          <w:tcPr>
            <w:tcW w:w="14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Jefferson</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Ports and</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b w:val="1"/>
                <w:bCs w:val="1"/>
                <w:color w:val="auto"/>
              </w:rPr>
              <w:t>Leasing</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Energy</w:t>
            </w:r>
          </w:p>
        </w:tc>
        <w:tc>
          <w:tcPr>
            <w:tcW w:w="14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Containers</w:t>
            </w:r>
          </w:p>
        </w:tc>
        <w:tc>
          <w:tcPr>
            <w:tcW w:w="14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Terminal</w:t>
            </w:r>
          </w:p>
        </w:tc>
        <w:tc>
          <w:tcPr>
            <w:tcW w:w="140" w:type="dxa"/>
            <w:vAlign w:val="bottom"/>
          </w:tcPr>
          <w:p>
            <w:pPr>
              <w:spacing w:after="0"/>
              <w:rPr>
                <w:sz w:val="17"/>
                <w:szCs w:val="17"/>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Railroad</w:t>
            </w:r>
          </w:p>
        </w:tc>
        <w:tc>
          <w:tcPr>
            <w:tcW w:w="140" w:type="dxa"/>
            <w:vAlign w:val="bottom"/>
          </w:tcPr>
          <w:p>
            <w:pPr>
              <w:spacing w:after="0"/>
              <w:rPr>
                <w:sz w:val="17"/>
                <w:szCs w:val="17"/>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Terminals</w:t>
            </w:r>
          </w:p>
        </w:tc>
        <w:tc>
          <w:tcPr>
            <w:tcW w:w="120" w:type="dxa"/>
            <w:vAlign w:val="bottom"/>
          </w:tcPr>
          <w:p>
            <w:pPr>
              <w:spacing w:after="0"/>
              <w:rPr>
                <w:sz w:val="17"/>
                <w:szCs w:val="17"/>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Corporate</w:t>
            </w:r>
          </w:p>
        </w:tc>
        <w:tc>
          <w:tcPr>
            <w:tcW w:w="220" w:type="dxa"/>
            <w:vAlign w:val="bottom"/>
          </w:tcPr>
          <w:p>
            <w:pPr>
              <w:spacing w:after="0"/>
              <w:rPr>
                <w:sz w:val="17"/>
                <w:szCs w:val="17"/>
                <w:color w:val="auto"/>
              </w:rPr>
            </w:pPr>
          </w:p>
        </w:tc>
        <w:tc>
          <w:tcPr>
            <w:tcW w:w="760" w:type="dxa"/>
            <w:vAlign w:val="bottom"/>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5"/>
        </w:trPr>
        <w:tc>
          <w:tcPr>
            <w:tcW w:w="2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2220" w:type="dxa"/>
            <w:vAlign w:val="bottom"/>
          </w:tcPr>
          <w:p>
            <w:pPr>
              <w:ind w:left="20"/>
              <w:spacing w:after="0"/>
              <w:rPr>
                <w:sz w:val="20"/>
                <w:szCs w:val="20"/>
                <w:color w:val="auto"/>
              </w:rPr>
            </w:pPr>
            <w:r>
              <w:rPr>
                <w:rFonts w:ascii="Arial" w:cs="Arial" w:eastAsia="Arial" w:hAnsi="Arial"/>
                <w:sz w:val="14"/>
                <w:szCs w:val="14"/>
                <w:color w:val="auto"/>
              </w:rPr>
              <w:t>Equipment leasing revenues</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30,306</w:t>
            </w:r>
          </w:p>
        </w:tc>
        <w:tc>
          <w:tcPr>
            <w:tcW w:w="2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1,057</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25</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b w:val="1"/>
                <w:bCs w:val="1"/>
                <w:color w:val="auto"/>
              </w:rPr>
              <w:t>31,388</w:t>
            </w:r>
          </w:p>
        </w:tc>
        <w:tc>
          <w:tcPr>
            <w:tcW w:w="0" w:type="dxa"/>
            <w:vAlign w:val="bottom"/>
          </w:tcPr>
          <w:p>
            <w:pPr>
              <w:spacing w:after="0"/>
              <w:rPr>
                <w:sz w:val="1"/>
                <w:szCs w:val="1"/>
                <w:color w:val="auto"/>
              </w:rPr>
            </w:pPr>
          </w:p>
        </w:tc>
      </w:tr>
      <w:tr>
        <w:trPr>
          <w:trHeight w:val="270"/>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Infrastructure revenues</w:t>
            </w: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4,866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8,403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13,285</w:t>
            </w:r>
          </w:p>
        </w:tc>
        <w:tc>
          <w:tcPr>
            <w:tcW w:w="0" w:type="dxa"/>
            <w:vAlign w:val="bottom"/>
          </w:tcPr>
          <w:p>
            <w:pPr>
              <w:spacing w:after="0"/>
              <w:rPr>
                <w:sz w:val="1"/>
                <w:szCs w:val="1"/>
                <w:color w:val="auto"/>
              </w:rPr>
            </w:pPr>
          </w:p>
        </w:tc>
      </w:tr>
      <w:tr>
        <w:trPr>
          <w:trHeight w:val="250"/>
        </w:trPr>
        <w:tc>
          <w:tcPr>
            <w:tcW w:w="2220" w:type="dxa"/>
            <w:vAlign w:val="bottom"/>
          </w:tcPr>
          <w:p>
            <w:pPr>
              <w:ind w:left="20"/>
              <w:spacing w:after="0"/>
              <w:rPr>
                <w:sz w:val="20"/>
                <w:szCs w:val="20"/>
                <w:color w:val="auto"/>
              </w:rPr>
            </w:pPr>
            <w:r>
              <w:rPr>
                <w:rFonts w:ascii="Arial" w:cs="Arial" w:eastAsia="Arial" w:hAnsi="Arial"/>
                <w:sz w:val="14"/>
                <w:szCs w:val="14"/>
                <w:color w:val="auto"/>
              </w:rPr>
              <w:t>Total revenues</w:t>
            </w:r>
          </w:p>
        </w:tc>
        <w:tc>
          <w:tcPr>
            <w:tcW w:w="180" w:type="dxa"/>
            <w:vAlign w:val="bottom"/>
          </w:tcPr>
          <w:p>
            <w:pPr>
              <w:spacing w:after="0"/>
              <w:rPr>
                <w:sz w:val="21"/>
                <w:szCs w:val="21"/>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30,306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1,057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b w:val="1"/>
                <w:bCs w:val="1"/>
                <w:color w:val="auto"/>
              </w:rPr>
              <w:t>4,866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b w:val="1"/>
                <w:bCs w:val="1"/>
                <w:color w:val="auto"/>
              </w:rPr>
              <w:t>8,403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b w:val="1"/>
                <w:bCs w:val="1"/>
                <w:color w:val="auto"/>
              </w:rPr>
              <w:t>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1"/>
                <w:szCs w:val="21"/>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b w:val="1"/>
                <w:bCs w:val="1"/>
                <w:color w:val="auto"/>
              </w:rPr>
              <w:t>44,673</w:t>
            </w:r>
          </w:p>
        </w:tc>
        <w:tc>
          <w:tcPr>
            <w:tcW w:w="0" w:type="dxa"/>
            <w:vAlign w:val="bottom"/>
          </w:tcPr>
          <w:p>
            <w:pPr>
              <w:spacing w:after="0"/>
              <w:rPr>
                <w:sz w:val="1"/>
                <w:szCs w:val="1"/>
                <w:color w:val="auto"/>
              </w:rPr>
            </w:pPr>
          </w:p>
        </w:tc>
      </w:tr>
      <w:tr>
        <w:trPr>
          <w:trHeight w:val="319"/>
        </w:trPr>
        <w:tc>
          <w:tcPr>
            <w:tcW w:w="222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8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8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8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76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22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1,419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3,543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7,613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7,544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894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21,013</w:t>
            </w:r>
          </w:p>
        </w:tc>
        <w:tc>
          <w:tcPr>
            <w:tcW w:w="0" w:type="dxa"/>
            <w:vAlign w:val="bottom"/>
          </w:tcPr>
          <w:p>
            <w:pPr>
              <w:spacing w:after="0"/>
              <w:rPr>
                <w:sz w:val="1"/>
                <w:szCs w:val="1"/>
                <w:color w:val="auto"/>
              </w:rPr>
            </w:pPr>
          </w:p>
        </w:tc>
      </w:tr>
      <w:tr>
        <w:trPr>
          <w:trHeight w:val="269"/>
        </w:trPr>
        <w:tc>
          <w:tcPr>
            <w:tcW w:w="222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8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b w:val="1"/>
                <w:bCs w:val="1"/>
                <w:color w:val="auto"/>
              </w:rPr>
              <w:t>3,835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b w:val="1"/>
                <w:bCs w:val="1"/>
                <w:color w:val="auto"/>
              </w:rPr>
              <w:t>3,835</w:t>
            </w:r>
          </w:p>
        </w:tc>
        <w:tc>
          <w:tcPr>
            <w:tcW w:w="0" w:type="dxa"/>
            <w:vAlign w:val="bottom"/>
          </w:tcPr>
          <w:p>
            <w:pPr>
              <w:spacing w:after="0"/>
              <w:rPr>
                <w:sz w:val="1"/>
                <w:szCs w:val="1"/>
                <w:color w:val="auto"/>
              </w:rPr>
            </w:pPr>
          </w:p>
        </w:tc>
      </w:tr>
      <w:tr>
        <w:trPr>
          <w:trHeight w:val="177"/>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w:t>
            </w:r>
          </w:p>
        </w:tc>
        <w:tc>
          <w:tcPr>
            <w:tcW w:w="1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215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1,237</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1,452</w:t>
            </w:r>
          </w:p>
        </w:tc>
        <w:tc>
          <w:tcPr>
            <w:tcW w:w="0" w:type="dxa"/>
            <w:vAlign w:val="bottom"/>
          </w:tcPr>
          <w:p>
            <w:pPr>
              <w:spacing w:after="0"/>
              <w:rPr>
                <w:sz w:val="1"/>
                <w:szCs w:val="1"/>
                <w:color w:val="auto"/>
              </w:rPr>
            </w:pPr>
          </w:p>
        </w:tc>
      </w:tr>
      <w:tr>
        <w:trPr>
          <w:trHeight w:val="202"/>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expenses</w:t>
            </w:r>
          </w:p>
        </w:tc>
        <w:tc>
          <w:tcPr>
            <w:tcW w:w="18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220" w:type="dxa"/>
            <w:vAlign w:val="bottom"/>
          </w:tcPr>
          <w:p>
            <w:pPr>
              <w:ind w:left="20"/>
              <w:spacing w:after="0"/>
              <w:rPr>
                <w:sz w:val="20"/>
                <w:szCs w:val="20"/>
                <w:color w:val="auto"/>
              </w:rPr>
            </w:pPr>
            <w:r>
              <w:rPr>
                <w:rFonts w:ascii="Arial" w:cs="Arial" w:eastAsia="Arial" w:hAnsi="Arial"/>
                <w:sz w:val="14"/>
                <w:szCs w:val="14"/>
                <w:color w:val="auto"/>
              </w:rPr>
              <w:t>Management fees and incentive</w:t>
            </w:r>
          </w:p>
        </w:tc>
        <w:tc>
          <w:tcPr>
            <w:tcW w:w="180" w:type="dxa"/>
            <w:vAlign w:val="bottom"/>
          </w:tcPr>
          <w:p>
            <w:pPr>
              <w:spacing w:after="0"/>
              <w:rPr>
                <w:sz w:val="15"/>
                <w:szCs w:val="15"/>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3,893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3,893</w:t>
            </w:r>
          </w:p>
        </w:tc>
        <w:tc>
          <w:tcPr>
            <w:tcW w:w="0" w:type="dxa"/>
            <w:vAlign w:val="bottom"/>
          </w:tcPr>
          <w:p>
            <w:pPr>
              <w:spacing w:after="0"/>
              <w:rPr>
                <w:sz w:val="1"/>
                <w:szCs w:val="1"/>
                <w:color w:val="auto"/>
              </w:rPr>
            </w:pPr>
          </w:p>
        </w:tc>
      </w:tr>
      <w:tr>
        <w:trPr>
          <w:trHeight w:val="201"/>
        </w:trPr>
        <w:tc>
          <w:tcPr>
            <w:tcW w:w="2220" w:type="dxa"/>
            <w:vAlign w:val="bottom"/>
          </w:tcPr>
          <w:p>
            <w:pPr>
              <w:ind w:left="20"/>
              <w:spacing w:after="0"/>
              <w:rPr>
                <w:sz w:val="20"/>
                <w:szCs w:val="20"/>
                <w:color w:val="auto"/>
              </w:rPr>
            </w:pPr>
            <w:r>
              <w:rPr>
                <w:rFonts w:ascii="Arial" w:cs="Arial" w:eastAsia="Arial" w:hAnsi="Arial"/>
                <w:sz w:val="14"/>
                <w:szCs w:val="14"/>
                <w:color w:val="auto"/>
              </w:rPr>
              <w:t>allocation to affiliate</w:t>
            </w:r>
          </w:p>
        </w:tc>
        <w:tc>
          <w:tcPr>
            <w:tcW w:w="1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11,289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1,607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3,951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526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17,377</w:t>
            </w:r>
          </w:p>
        </w:tc>
        <w:tc>
          <w:tcPr>
            <w:tcW w:w="0" w:type="dxa"/>
            <w:vAlign w:val="bottom"/>
          </w:tcPr>
          <w:p>
            <w:pPr>
              <w:spacing w:after="0"/>
              <w:rPr>
                <w:sz w:val="1"/>
                <w:szCs w:val="1"/>
                <w:color w:val="auto"/>
              </w:rPr>
            </w:pPr>
          </w:p>
        </w:tc>
      </w:tr>
      <w:tr>
        <w:trPr>
          <w:trHeight w:val="269"/>
        </w:trPr>
        <w:tc>
          <w:tcPr>
            <w:tcW w:w="2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expense</w:t>
            </w:r>
          </w:p>
        </w:tc>
        <w:tc>
          <w:tcPr>
            <w:tcW w:w="1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924</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1,437</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199</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274</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1,860</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4,694</w:t>
            </w:r>
          </w:p>
        </w:tc>
        <w:tc>
          <w:tcPr>
            <w:tcW w:w="0" w:type="dxa"/>
            <w:vAlign w:val="bottom"/>
          </w:tcPr>
          <w:p>
            <w:pPr>
              <w:spacing w:after="0"/>
              <w:rPr>
                <w:sz w:val="1"/>
                <w:szCs w:val="1"/>
                <w:color w:val="auto"/>
              </w:rPr>
            </w:pPr>
          </w:p>
        </w:tc>
      </w:tr>
      <w:tr>
        <w:trPr>
          <w:trHeight w:val="250"/>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expenses</w:t>
            </w: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12,923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6,074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13,001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8,269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1,172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10,825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52,264</w:t>
            </w:r>
          </w:p>
        </w:tc>
        <w:tc>
          <w:tcPr>
            <w:tcW w:w="0" w:type="dxa"/>
            <w:vAlign w:val="bottom"/>
          </w:tcPr>
          <w:p>
            <w:pPr>
              <w:spacing w:after="0"/>
              <w:rPr>
                <w:sz w:val="1"/>
                <w:szCs w:val="1"/>
                <w:color w:val="auto"/>
              </w:rPr>
            </w:pPr>
          </w:p>
        </w:tc>
      </w:tr>
      <w:tr>
        <w:trPr>
          <w:trHeight w:val="319"/>
        </w:trPr>
        <w:tc>
          <w:tcPr>
            <w:tcW w:w="2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2220" w:type="dxa"/>
            <w:vAlign w:val="bottom"/>
          </w:tcPr>
          <w:p>
            <w:pPr>
              <w:ind w:left="20"/>
              <w:spacing w:after="0"/>
              <w:rPr>
                <w:sz w:val="20"/>
                <w:szCs w:val="20"/>
                <w:color w:val="auto"/>
              </w:rPr>
            </w:pPr>
            <w:r>
              <w:rPr>
                <w:rFonts w:ascii="Arial" w:cs="Arial" w:eastAsia="Arial" w:hAnsi="Arial"/>
                <w:sz w:val="14"/>
                <w:szCs w:val="14"/>
                <w:color w:val="auto"/>
              </w:rPr>
              <w:t>Equity in losses of unconsolidated</w:t>
            </w:r>
          </w:p>
        </w:tc>
        <w:tc>
          <w:tcPr>
            <w:tcW w:w="1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(736)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(465)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(1,266)</w:t>
            </w:r>
          </w:p>
        </w:tc>
        <w:tc>
          <w:tcPr>
            <w:tcW w:w="0" w:type="dxa"/>
            <w:vAlign w:val="bottom"/>
          </w:tcPr>
          <w:p>
            <w:pPr>
              <w:spacing w:after="0"/>
              <w:rPr>
                <w:sz w:val="1"/>
                <w:szCs w:val="1"/>
                <w:color w:val="auto"/>
              </w:rPr>
            </w:pPr>
          </w:p>
        </w:tc>
      </w:tr>
      <w:tr>
        <w:trPr>
          <w:trHeight w:val="201"/>
        </w:trPr>
        <w:tc>
          <w:tcPr>
            <w:tcW w:w="2220" w:type="dxa"/>
            <w:vAlign w:val="bottom"/>
          </w:tcPr>
          <w:p>
            <w:pPr>
              <w:ind w:left="20"/>
              <w:spacing w:after="0"/>
              <w:rPr>
                <w:sz w:val="20"/>
                <w:szCs w:val="20"/>
                <w:color w:val="auto"/>
              </w:rPr>
            </w:pPr>
            <w:r>
              <w:rPr>
                <w:rFonts w:ascii="Arial" w:cs="Arial" w:eastAsia="Arial" w:hAnsi="Arial"/>
                <w:sz w:val="14"/>
                <w:szCs w:val="14"/>
                <w:color w:val="auto"/>
              </w:rPr>
              <w:t>entities</w:t>
            </w:r>
          </w:p>
        </w:tc>
        <w:tc>
          <w:tcPr>
            <w:tcW w:w="1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on sale of equipment, net</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2,032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69"/>
        </w:trPr>
        <w:tc>
          <w:tcPr>
            <w:tcW w:w="222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18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(2,456)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(2,456)</w:t>
            </w:r>
          </w:p>
        </w:tc>
        <w:tc>
          <w:tcPr>
            <w:tcW w:w="0" w:type="dxa"/>
            <w:vAlign w:val="bottom"/>
          </w:tcPr>
          <w:p>
            <w:pPr>
              <w:spacing w:after="0"/>
              <w:rPr>
                <w:sz w:val="1"/>
                <w:szCs w:val="1"/>
                <w:color w:val="auto"/>
              </w:rPr>
            </w:pPr>
          </w:p>
        </w:tc>
      </w:tr>
      <w:tr>
        <w:trPr>
          <w:trHeight w:val="271"/>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197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283</w:t>
            </w:r>
          </w:p>
        </w:tc>
        <w:tc>
          <w:tcPr>
            <w:tcW w:w="0" w:type="dxa"/>
            <w:vAlign w:val="bottom"/>
          </w:tcPr>
          <w:p>
            <w:pPr>
              <w:spacing w:after="0"/>
              <w:rPr>
                <w:sz w:val="1"/>
                <w:szCs w:val="1"/>
                <w:color w:val="auto"/>
              </w:rPr>
            </w:pPr>
          </w:p>
        </w:tc>
      </w:tr>
      <w:tr>
        <w:trPr>
          <w:trHeight w:val="269"/>
        </w:trPr>
        <w:tc>
          <w:tcPr>
            <w:tcW w:w="2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w:t>
            </w:r>
          </w:p>
        </w:tc>
        <w:tc>
          <w:tcPr>
            <w:tcW w:w="1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12</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12</w:t>
            </w:r>
          </w:p>
        </w:tc>
        <w:tc>
          <w:tcPr>
            <w:tcW w:w="0" w:type="dxa"/>
            <w:vAlign w:val="bottom"/>
          </w:tcPr>
          <w:p>
            <w:pPr>
              <w:spacing w:after="0"/>
              <w:rPr>
                <w:sz w:val="1"/>
                <w:szCs w:val="1"/>
                <w:color w:val="auto"/>
              </w:rPr>
            </w:pPr>
          </w:p>
        </w:tc>
      </w:tr>
      <w:tr>
        <w:trPr>
          <w:trHeight w:val="251"/>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income (expense)</w:t>
            </w: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1,379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(2,456)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(1,409)</w:t>
            </w:r>
          </w:p>
        </w:tc>
        <w:tc>
          <w:tcPr>
            <w:tcW w:w="0" w:type="dxa"/>
            <w:vAlign w:val="bottom"/>
          </w:tcPr>
          <w:p>
            <w:pPr>
              <w:spacing w:after="0"/>
              <w:rPr>
                <w:sz w:val="1"/>
                <w:szCs w:val="1"/>
                <w:color w:val="auto"/>
              </w:rPr>
            </w:pPr>
          </w:p>
        </w:tc>
      </w:tr>
      <w:tr>
        <w:trPr>
          <w:trHeight w:val="154"/>
        </w:trPr>
        <w:tc>
          <w:tcPr>
            <w:tcW w:w="2220" w:type="dxa"/>
            <w:vAlign w:val="bottom"/>
          </w:tcPr>
          <w:p>
            <w:pPr>
              <w:ind w:left="20"/>
              <w:spacing w:after="0" w:line="154" w:lineRule="exact"/>
              <w:rPr>
                <w:sz w:val="20"/>
                <w:szCs w:val="20"/>
                <w:color w:val="auto"/>
              </w:rPr>
            </w:pPr>
            <w:r>
              <w:rPr>
                <w:rFonts w:ascii="Arial" w:cs="Arial" w:eastAsia="Arial" w:hAnsi="Arial"/>
                <w:sz w:val="14"/>
                <w:szCs w:val="14"/>
                <w:b w:val="1"/>
                <w:bCs w:val="1"/>
                <w:color w:val="auto"/>
              </w:rPr>
              <w:t>Income (loss) before income</w:t>
            </w: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220" w:type="dxa"/>
            <w:vAlign w:val="bottom"/>
          </w:tcPr>
          <w:p>
            <w:pPr>
              <w:ind w:left="20"/>
              <w:spacing w:after="0"/>
              <w:rPr>
                <w:sz w:val="20"/>
                <w:szCs w:val="20"/>
                <w:color w:val="auto"/>
              </w:rPr>
            </w:pPr>
            <w:r>
              <w:rPr>
                <w:rFonts w:ascii="Arial" w:cs="Arial" w:eastAsia="Arial" w:hAnsi="Arial"/>
                <w:sz w:val="14"/>
                <w:szCs w:val="14"/>
                <w:b w:val="1"/>
                <w:bCs w:val="1"/>
                <w:color w:val="auto"/>
              </w:rPr>
              <w:t>taxes</w:t>
            </w:r>
          </w:p>
        </w:tc>
        <w:tc>
          <w:tcPr>
            <w:tcW w:w="180" w:type="dxa"/>
            <w:vAlign w:val="bottom"/>
          </w:tcPr>
          <w:p>
            <w:pPr>
              <w:spacing w:after="0"/>
              <w:rPr>
                <w:sz w:val="17"/>
                <w:szCs w:val="17"/>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18,762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rPr>
              <w:t>(5,014)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(440)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(7,991)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b w:val="1"/>
                <w:bCs w:val="1"/>
                <w:color w:val="auto"/>
              </w:rPr>
              <w:t>120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(1,156)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(13,281)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(9,000)</w:t>
            </w:r>
          </w:p>
        </w:tc>
        <w:tc>
          <w:tcPr>
            <w:tcW w:w="0" w:type="dxa"/>
            <w:vAlign w:val="bottom"/>
          </w:tcPr>
          <w:p>
            <w:pPr>
              <w:spacing w:after="0"/>
              <w:rPr>
                <w:sz w:val="1"/>
                <w:szCs w:val="1"/>
                <w:color w:val="auto"/>
              </w:rPr>
            </w:pPr>
          </w:p>
        </w:tc>
      </w:tr>
      <w:tr>
        <w:trPr>
          <w:trHeight w:val="177"/>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(benefit from)</w:t>
            </w:r>
          </w:p>
        </w:tc>
        <w:tc>
          <w:tcPr>
            <w:tcW w:w="1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193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212</w:t>
            </w:r>
          </w:p>
        </w:tc>
        <w:tc>
          <w:tcPr>
            <w:tcW w:w="0" w:type="dxa"/>
            <w:vAlign w:val="bottom"/>
          </w:tcPr>
          <w:p>
            <w:pPr>
              <w:spacing w:after="0"/>
              <w:rPr>
                <w:sz w:val="1"/>
                <w:szCs w:val="1"/>
                <w:color w:val="auto"/>
              </w:rPr>
            </w:pPr>
          </w:p>
        </w:tc>
      </w:tr>
      <w:tr>
        <w:trPr>
          <w:trHeight w:val="201"/>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taxes</w:t>
            </w:r>
          </w:p>
        </w:tc>
        <w:tc>
          <w:tcPr>
            <w:tcW w:w="18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2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income (loss)</w:t>
            </w:r>
          </w:p>
        </w:tc>
        <w:tc>
          <w:tcPr>
            <w:tcW w:w="18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18,569</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(5,016)</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(415)</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(8,030)</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120</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(1,159)</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(13,281)</w:t>
            </w: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(9,212)</w:t>
            </w:r>
          </w:p>
        </w:tc>
        <w:tc>
          <w:tcPr>
            <w:tcW w:w="0" w:type="dxa"/>
            <w:vAlign w:val="bottom"/>
          </w:tcPr>
          <w:p>
            <w:pPr>
              <w:spacing w:after="0"/>
              <w:rPr>
                <w:sz w:val="1"/>
                <w:szCs w:val="1"/>
                <w:color w:val="auto"/>
              </w:rPr>
            </w:pPr>
          </w:p>
        </w:tc>
      </w:tr>
      <w:tr>
        <w:trPr>
          <w:trHeight w:val="157"/>
        </w:trPr>
        <w:tc>
          <w:tcPr>
            <w:tcW w:w="222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Less: Net (loss) income</w:t>
            </w: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attributable to non-controlling</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interests in consolidated</w:t>
            </w:r>
          </w:p>
        </w:tc>
        <w:tc>
          <w:tcPr>
            <w:tcW w:w="1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(82)</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(248)</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(4,358)</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(114)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vMerge w:val="restart"/>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(4,798)</w:t>
            </w:r>
          </w:p>
        </w:tc>
        <w:tc>
          <w:tcPr>
            <w:tcW w:w="0" w:type="dxa"/>
            <w:vAlign w:val="bottom"/>
          </w:tcPr>
          <w:p>
            <w:pPr>
              <w:spacing w:after="0"/>
              <w:rPr>
                <w:sz w:val="1"/>
                <w:szCs w:val="1"/>
                <w:color w:val="auto"/>
              </w:rPr>
            </w:pPr>
          </w:p>
        </w:tc>
      </w:tr>
      <w:tr>
        <w:trPr>
          <w:trHeight w:val="202"/>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subsidiaries</w:t>
            </w: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2220" w:type="dxa"/>
            <w:vAlign w:val="bottom"/>
          </w:tcPr>
          <w:p>
            <w:pPr>
              <w:ind w:left="20"/>
              <w:spacing w:after="0" w:line="154" w:lineRule="exact"/>
              <w:rPr>
                <w:sz w:val="20"/>
                <w:szCs w:val="20"/>
                <w:color w:val="auto"/>
              </w:rPr>
            </w:pPr>
            <w:r>
              <w:rPr>
                <w:rFonts w:ascii="Arial" w:cs="Arial" w:eastAsia="Arial" w:hAnsi="Arial"/>
                <w:sz w:val="14"/>
                <w:szCs w:val="14"/>
                <w:b w:val="1"/>
                <w:bCs w:val="1"/>
                <w:color w:val="auto"/>
              </w:rPr>
              <w:t>Net income (loss) attributable</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18,651</w:t>
            </w:r>
          </w:p>
        </w:tc>
        <w:tc>
          <w:tcPr>
            <w:tcW w:w="28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w:t>
            </w: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(4,768)</w:t>
            </w:r>
          </w:p>
        </w:tc>
        <w:tc>
          <w:tcPr>
            <w:tcW w:w="12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(415)</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(3,672)</w:t>
            </w:r>
          </w:p>
        </w:tc>
        <w:tc>
          <w:tcPr>
            <w:tcW w:w="120" w:type="dxa"/>
            <w:vAlign w:val="bottom"/>
          </w:tcPr>
          <w:p>
            <w:pPr>
              <w:spacing w:after="0"/>
              <w:rPr>
                <w:sz w:val="13"/>
                <w:szCs w:val="13"/>
                <w:color w:val="auto"/>
              </w:rPr>
            </w:pPr>
          </w:p>
        </w:tc>
        <w:tc>
          <w:tcPr>
            <w:tcW w:w="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116</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(1,045)</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(13,281)</w:t>
            </w:r>
          </w:p>
        </w:tc>
        <w:tc>
          <w:tcPr>
            <w:tcW w:w="120" w:type="dxa"/>
            <w:vAlign w:val="bottom"/>
          </w:tcPr>
          <w:p>
            <w:pPr>
              <w:spacing w:after="0"/>
              <w:rPr>
                <w:sz w:val="13"/>
                <w:szCs w:val="13"/>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(4,414)</w:t>
            </w:r>
          </w:p>
        </w:tc>
        <w:tc>
          <w:tcPr>
            <w:tcW w:w="0" w:type="dxa"/>
            <w:vAlign w:val="bottom"/>
          </w:tcPr>
          <w:p>
            <w:pPr>
              <w:spacing w:after="0"/>
              <w:rPr>
                <w:sz w:val="1"/>
                <w:szCs w:val="1"/>
                <w:color w:val="auto"/>
              </w:rPr>
            </w:pPr>
          </w:p>
        </w:tc>
      </w:tr>
      <w:tr>
        <w:trPr>
          <w:trHeight w:val="191"/>
        </w:trPr>
        <w:tc>
          <w:tcPr>
            <w:tcW w:w="2220" w:type="dxa"/>
            <w:vAlign w:val="bottom"/>
          </w:tcPr>
          <w:p>
            <w:pPr>
              <w:ind w:left="20"/>
              <w:spacing w:after="0"/>
              <w:rPr>
                <w:sz w:val="20"/>
                <w:szCs w:val="20"/>
                <w:color w:val="auto"/>
              </w:rPr>
            </w:pPr>
            <w:r>
              <w:rPr>
                <w:rFonts w:ascii="Arial" w:cs="Arial" w:eastAsia="Arial" w:hAnsi="Arial"/>
                <w:sz w:val="14"/>
                <w:szCs w:val="14"/>
                <w:b w:val="1"/>
                <w:bCs w:val="1"/>
                <w:color w:val="auto"/>
              </w:rPr>
              <w:t>to shareholders</w:t>
            </w:r>
          </w:p>
        </w:tc>
        <w:tc>
          <w:tcPr>
            <w:tcW w:w="18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17" w:right="239" w:bottom="1440" w:gutter="0" w:footer="0" w:header="0"/>
        </w:sectPr>
      </w:pPr>
    </w:p>
    <w:bookmarkStart w:id="31" w:name="page32"/>
    <w:bookmarkEnd w:id="31"/>
    <w:p>
      <w:pPr>
        <w:ind w:right="382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a reconciliation of Adjusted Net Income (Loss) to net loss attributable to shareholders:</w:t>
      </w:r>
    </w:p>
    <w:p>
      <w:pPr>
        <w:spacing w:after="0" w:line="386"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2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gridSpan w:val="8"/>
          </w:tcPr>
          <w:p>
            <w:pPr>
              <w:ind w:left="760"/>
              <w:spacing w:after="0"/>
              <w:rPr>
                <w:sz w:val="20"/>
                <w:szCs w:val="20"/>
                <w:color w:val="auto"/>
              </w:rPr>
            </w:pPr>
            <w:r>
              <w:rPr>
                <w:rFonts w:ascii="Arial" w:cs="Arial" w:eastAsia="Arial" w:hAnsi="Arial"/>
                <w:sz w:val="14"/>
                <w:szCs w:val="14"/>
                <w:b w:val="1"/>
                <w:bCs w:val="1"/>
                <w:color w:val="auto"/>
              </w:rPr>
              <w:t>Three months ended March 31, 2017</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2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Equipment Leasing</w:t>
            </w:r>
          </w:p>
        </w:tc>
        <w:tc>
          <w:tcPr>
            <w:tcW w:w="9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Infrastructure</w:t>
            </w: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ind w:left="60"/>
              <w:spacing w:after="0"/>
              <w:rPr>
                <w:sz w:val="20"/>
                <w:szCs w:val="20"/>
                <w:color w:val="auto"/>
              </w:rPr>
            </w:pPr>
            <w:r>
              <w:rPr>
                <w:rFonts w:ascii="Arial" w:cs="Arial" w:eastAsia="Arial" w:hAnsi="Arial"/>
                <w:sz w:val="14"/>
                <w:szCs w:val="14"/>
                <w:b w:val="1"/>
                <w:bCs w:val="1"/>
                <w:color w:val="auto"/>
              </w:rPr>
              <w:t>Aviation</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Offshore</w:t>
            </w: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Shipping</w:t>
            </w:r>
          </w:p>
        </w:tc>
        <w:tc>
          <w:tcPr>
            <w:tcW w:w="14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Jefferson</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Ports and</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Leasing</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Energy</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Containers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9"/>
              </w:rPr>
              <w:t>Terminal</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Railroad</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Terminals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Corporate</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1"/>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Net Income (Loss)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19,059</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(4,766)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(3,614)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(1,042)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(9,588)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(249)</w:t>
            </w:r>
          </w:p>
        </w:tc>
        <w:tc>
          <w:tcPr>
            <w:tcW w:w="0" w:type="dxa"/>
            <w:vAlign w:val="bottom"/>
          </w:tcPr>
          <w:p>
            <w:pPr>
              <w:spacing w:after="0"/>
              <w:rPr>
                <w:sz w:val="1"/>
                <w:szCs w:val="1"/>
                <w:color w:val="auto"/>
              </w:rPr>
            </w:pPr>
          </w:p>
        </w:tc>
      </w:tr>
      <w:tr>
        <w:trPr>
          <w:trHeight w:val="156"/>
        </w:trPr>
        <w:tc>
          <w:tcPr>
            <w:tcW w:w="2220" w:type="dxa"/>
            <w:vAlign w:val="bottom"/>
          </w:tcPr>
          <w:p>
            <w:pPr>
              <w:ind w:left="20"/>
              <w:spacing w:after="0" w:line="156" w:lineRule="exact"/>
              <w:rPr>
                <w:sz w:val="20"/>
                <w:szCs w:val="20"/>
                <w:color w:val="auto"/>
              </w:rPr>
            </w:pPr>
            <w:r>
              <w:rPr>
                <w:rFonts w:ascii="Arial" w:cs="Arial" w:eastAsia="Arial" w:hAnsi="Arial"/>
                <w:sz w:val="14"/>
                <w:szCs w:val="14"/>
                <w:color w:val="auto"/>
              </w:rPr>
              <w:t>Add: Non-controlling share of</w:t>
            </w: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20" w:type="dxa"/>
            <w:vAlign w:val="bottom"/>
          </w:tcPr>
          <w:p>
            <w:pPr>
              <w:ind w:left="20"/>
              <w:spacing w:after="0"/>
              <w:rPr>
                <w:sz w:val="20"/>
                <w:szCs w:val="20"/>
                <w:color w:val="auto"/>
              </w:rPr>
            </w:pPr>
            <w:r>
              <w:rPr>
                <w:rFonts w:ascii="Arial" w:cs="Arial" w:eastAsia="Arial" w:hAnsi="Arial"/>
                <w:sz w:val="14"/>
                <w:szCs w:val="14"/>
                <w:color w:val="auto"/>
              </w:rPr>
              <w:t>adjustments to Adjusted Net</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39</w:t>
            </w:r>
          </w:p>
        </w:tc>
        <w:tc>
          <w:tcPr>
            <w:tcW w:w="0" w:type="dxa"/>
            <w:vAlign w:val="bottom"/>
          </w:tcPr>
          <w:p>
            <w:pPr>
              <w:spacing w:after="0"/>
              <w:rPr>
                <w:sz w:val="1"/>
                <w:szCs w:val="1"/>
                <w:color w:val="auto"/>
              </w:rPr>
            </w:pPr>
          </w:p>
        </w:tc>
      </w:tr>
      <w:tr>
        <w:trPr>
          <w:trHeight w:val="201"/>
        </w:trPr>
        <w:tc>
          <w:tcPr>
            <w:tcW w:w="2220" w:type="dxa"/>
            <w:vAlign w:val="bottom"/>
          </w:tcPr>
          <w:p>
            <w:pPr>
              <w:ind w:left="20"/>
              <w:spacing w:after="0"/>
              <w:rPr>
                <w:sz w:val="20"/>
                <w:szCs w:val="20"/>
                <w:color w:val="auto"/>
              </w:rPr>
            </w:pPr>
            <w:r>
              <w:rPr>
                <w:rFonts w:ascii="Arial" w:cs="Arial" w:eastAsia="Arial" w:hAnsi="Arial"/>
                <w:sz w:val="14"/>
                <w:szCs w:val="14"/>
                <w:color w:val="auto"/>
              </w:rPr>
              <w:t>Income</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 in losses of</w:t>
            </w: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(1,266)</w:t>
            </w:r>
          </w:p>
        </w:tc>
        <w:tc>
          <w:tcPr>
            <w:tcW w:w="0" w:type="dxa"/>
            <w:vAlign w:val="bottom"/>
          </w:tcPr>
          <w:p>
            <w:pPr>
              <w:spacing w:after="0"/>
              <w:rPr>
                <w:sz w:val="1"/>
                <w:szCs w:val="1"/>
                <w:color w:val="auto"/>
              </w:rPr>
            </w:pPr>
          </w:p>
        </w:tc>
      </w:tr>
      <w:tr>
        <w:trPr>
          <w:trHeight w:val="202"/>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unconsolidated entities</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220" w:type="dxa"/>
            <w:vAlign w:val="bottom"/>
          </w:tcPr>
          <w:p>
            <w:pPr>
              <w:ind w:left="20"/>
              <w:spacing w:after="0"/>
              <w:rPr>
                <w:sz w:val="20"/>
                <w:szCs w:val="20"/>
                <w:color w:val="auto"/>
              </w:rPr>
            </w:pPr>
            <w:r>
              <w:rPr>
                <w:rFonts w:ascii="Arial" w:cs="Arial" w:eastAsia="Arial" w:hAnsi="Arial"/>
                <w:sz w:val="14"/>
                <w:szCs w:val="14"/>
                <w:color w:val="auto"/>
              </w:rPr>
              <w:t>Add: Cash payments for income</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201"/>
        </w:trPr>
        <w:tc>
          <w:tcPr>
            <w:tcW w:w="2220" w:type="dxa"/>
            <w:vAlign w:val="bottom"/>
          </w:tcPr>
          <w:p>
            <w:pPr>
              <w:ind w:left="20"/>
              <w:spacing w:after="0"/>
              <w:rPr>
                <w:sz w:val="20"/>
                <w:szCs w:val="20"/>
                <w:color w:val="auto"/>
              </w:rPr>
            </w:pPr>
            <w:r>
              <w:rPr>
                <w:rFonts w:ascii="Arial" w:cs="Arial" w:eastAsia="Arial" w:hAnsi="Arial"/>
                <w:sz w:val="14"/>
                <w:szCs w:val="14"/>
                <w:color w:val="auto"/>
              </w:rPr>
              <w:t>taxes</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Incentive allocations</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6"/>
        </w:trPr>
        <w:tc>
          <w:tcPr>
            <w:tcW w:w="2220" w:type="dxa"/>
            <w:vAlign w:val="bottom"/>
          </w:tcPr>
          <w:p>
            <w:pPr>
              <w:ind w:left="20"/>
              <w:spacing w:after="0"/>
              <w:rPr>
                <w:sz w:val="20"/>
                <w:szCs w:val="20"/>
                <w:color w:val="auto"/>
              </w:rPr>
            </w:pPr>
            <w:r>
              <w:rPr>
                <w:rFonts w:ascii="Arial" w:cs="Arial" w:eastAsia="Arial" w:hAnsi="Arial"/>
                <w:sz w:val="14"/>
                <w:szCs w:val="14"/>
                <w:color w:val="auto"/>
              </w:rPr>
              <w:t>Less: Pro-rata share of Adjusted</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220" w:type="dxa"/>
            <w:vAlign w:val="bottom"/>
          </w:tcPr>
          <w:p>
            <w:pPr>
              <w:ind w:left="20"/>
              <w:spacing w:after="0"/>
              <w:rPr>
                <w:sz w:val="20"/>
                <w:szCs w:val="20"/>
                <w:color w:val="auto"/>
              </w:rPr>
            </w:pPr>
            <w:r>
              <w:rPr>
                <w:rFonts w:ascii="Arial" w:cs="Arial" w:eastAsia="Arial" w:hAnsi="Arial"/>
                <w:sz w:val="14"/>
                <w:szCs w:val="14"/>
                <w:color w:val="auto"/>
              </w:rPr>
              <w:t>Net Income from investments in</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1,266</w:t>
            </w:r>
          </w:p>
        </w:tc>
        <w:tc>
          <w:tcPr>
            <w:tcW w:w="0" w:type="dxa"/>
            <w:vAlign w:val="bottom"/>
          </w:tcPr>
          <w:p>
            <w:pPr>
              <w:spacing w:after="0"/>
              <w:rPr>
                <w:sz w:val="1"/>
                <w:szCs w:val="1"/>
                <w:color w:val="auto"/>
              </w:rPr>
            </w:pPr>
          </w:p>
        </w:tc>
      </w:tr>
      <w:tr>
        <w:trPr>
          <w:trHeight w:val="201"/>
        </w:trPr>
        <w:tc>
          <w:tcPr>
            <w:tcW w:w="2220" w:type="dxa"/>
            <w:vAlign w:val="bottom"/>
          </w:tcPr>
          <w:p>
            <w:pPr>
              <w:ind w:left="20"/>
              <w:spacing w:after="0"/>
              <w:rPr>
                <w:sz w:val="20"/>
                <w:szCs w:val="20"/>
                <w:color w:val="auto"/>
              </w:rPr>
            </w:pPr>
            <w:r>
              <w:rPr>
                <w:rFonts w:ascii="Arial" w:cs="Arial" w:eastAsia="Arial" w:hAnsi="Arial"/>
                <w:sz w:val="14"/>
                <w:szCs w:val="14"/>
                <w:color w:val="auto"/>
              </w:rPr>
              <w:t>unconsolidated entities</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Asset impairment charges</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6"/>
        </w:trPr>
        <w:tc>
          <w:tcPr>
            <w:tcW w:w="2220" w:type="dxa"/>
            <w:vAlign w:val="bottom"/>
          </w:tcPr>
          <w:p>
            <w:pPr>
              <w:ind w:left="20"/>
              <w:spacing w:after="0"/>
              <w:rPr>
                <w:sz w:val="20"/>
                <w:szCs w:val="20"/>
                <w:color w:val="auto"/>
              </w:rPr>
            </w:pPr>
            <w:r>
              <w:rPr>
                <w:rFonts w:ascii="Arial" w:cs="Arial" w:eastAsia="Arial" w:hAnsi="Arial"/>
                <w:sz w:val="14"/>
                <w:szCs w:val="14"/>
                <w:color w:val="auto"/>
              </w:rPr>
              <w:t>Less: Changes in fair value of</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1"/>
        </w:trPr>
        <w:tc>
          <w:tcPr>
            <w:tcW w:w="2220" w:type="dxa"/>
            <w:vAlign w:val="bottom"/>
          </w:tcPr>
          <w:p>
            <w:pPr>
              <w:ind w:left="20"/>
              <w:spacing w:after="0"/>
              <w:rPr>
                <w:sz w:val="20"/>
                <w:szCs w:val="20"/>
                <w:color w:val="auto"/>
              </w:rPr>
            </w:pPr>
            <w:r>
              <w:rPr>
                <w:rFonts w:ascii="Arial" w:cs="Arial" w:eastAsia="Arial" w:hAnsi="Arial"/>
                <w:sz w:val="14"/>
                <w:szCs w:val="14"/>
                <w:color w:val="auto"/>
              </w:rPr>
              <w:t>non-hedge derivative instruments</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Losses on the modification</w:t>
            </w: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or extinguishment of debt and</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(2,456)</w:t>
            </w:r>
          </w:p>
        </w:tc>
        <w:tc>
          <w:tcPr>
            <w:tcW w:w="0" w:type="dxa"/>
            <w:vAlign w:val="bottom"/>
          </w:tcPr>
          <w:p>
            <w:pPr>
              <w:spacing w:after="0"/>
              <w:rPr>
                <w:sz w:val="1"/>
                <w:szCs w:val="1"/>
                <w:color w:val="auto"/>
              </w:rPr>
            </w:pPr>
          </w:p>
        </w:tc>
      </w:tr>
      <w:tr>
        <w:trPr>
          <w:trHeight w:val="202"/>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lease obligations</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220" w:type="dxa"/>
            <w:vAlign w:val="bottom"/>
          </w:tcPr>
          <w:p>
            <w:pPr>
              <w:ind w:left="20"/>
              <w:spacing w:after="0"/>
              <w:rPr>
                <w:sz w:val="20"/>
                <w:szCs w:val="20"/>
                <w:color w:val="auto"/>
              </w:rPr>
            </w:pPr>
            <w:r>
              <w:rPr>
                <w:rFonts w:ascii="Arial" w:cs="Arial" w:eastAsia="Arial" w:hAnsi="Arial"/>
                <w:sz w:val="14"/>
                <w:szCs w:val="14"/>
                <w:color w:val="auto"/>
              </w:rPr>
              <w:t>Less: Acquisition and transaction</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(1,452)</w:t>
            </w:r>
          </w:p>
        </w:tc>
        <w:tc>
          <w:tcPr>
            <w:tcW w:w="0" w:type="dxa"/>
            <w:vAlign w:val="bottom"/>
          </w:tcPr>
          <w:p>
            <w:pPr>
              <w:spacing w:after="0"/>
              <w:rPr>
                <w:sz w:val="1"/>
                <w:szCs w:val="1"/>
                <w:color w:val="auto"/>
              </w:rPr>
            </w:pPr>
          </w:p>
        </w:tc>
      </w:tr>
      <w:tr>
        <w:trPr>
          <w:trHeight w:val="201"/>
        </w:trPr>
        <w:tc>
          <w:tcPr>
            <w:tcW w:w="2220" w:type="dxa"/>
            <w:vAlign w:val="bottom"/>
          </w:tcPr>
          <w:p>
            <w:pPr>
              <w:ind w:left="20"/>
              <w:spacing w:after="0"/>
              <w:rPr>
                <w:sz w:val="20"/>
                <w:szCs w:val="20"/>
                <w:color w:val="auto"/>
              </w:rPr>
            </w:pPr>
            <w:r>
              <w:rPr>
                <w:rFonts w:ascii="Arial" w:cs="Arial" w:eastAsia="Arial" w:hAnsi="Arial"/>
                <w:sz w:val="14"/>
                <w:szCs w:val="14"/>
                <w:color w:val="auto"/>
              </w:rPr>
              <w:t>expenses</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Equity-based compensation</w:t>
            </w: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(87)</w:t>
            </w:r>
          </w:p>
        </w:tc>
        <w:tc>
          <w:tcPr>
            <w:tcW w:w="0" w:type="dxa"/>
            <w:vAlign w:val="bottom"/>
          </w:tcPr>
          <w:p>
            <w:pPr>
              <w:spacing w:after="0"/>
              <w:rPr>
                <w:sz w:val="1"/>
                <w:szCs w:val="1"/>
                <w:color w:val="auto"/>
              </w:rPr>
            </w:pPr>
          </w:p>
        </w:tc>
      </w:tr>
      <w:tr>
        <w:trPr>
          <w:trHeight w:val="202"/>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2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Provision for income taxes</w:t>
            </w:r>
          </w:p>
        </w:tc>
        <w:tc>
          <w:tcPr>
            <w:tcW w:w="180" w:type="dxa"/>
            <w:vAlign w:val="bottom"/>
            <w:tcBorders>
              <w:bottom w:val="single" w:sz="8" w:color="CCEEFF"/>
            </w:tcBorders>
          </w:tcPr>
          <w:p>
            <w:pPr>
              <w:spacing w:after="0"/>
              <w:rPr>
                <w:sz w:val="23"/>
                <w:szCs w:val="23"/>
                <w:color w:val="auto"/>
              </w:rPr>
            </w:pPr>
          </w:p>
        </w:tc>
        <w:tc>
          <w:tcPr>
            <w:tcW w:w="8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88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96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8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8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86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8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(212)</w:t>
            </w:r>
          </w:p>
        </w:tc>
        <w:tc>
          <w:tcPr>
            <w:tcW w:w="0" w:type="dxa"/>
            <w:vAlign w:val="bottom"/>
          </w:tcPr>
          <w:p>
            <w:pPr>
              <w:spacing w:after="0"/>
              <w:rPr>
                <w:sz w:val="1"/>
                <w:szCs w:val="1"/>
                <w:color w:val="auto"/>
              </w:rPr>
            </w:pPr>
          </w:p>
        </w:tc>
      </w:tr>
      <w:tr>
        <w:trPr>
          <w:trHeight w:val="157"/>
        </w:trPr>
        <w:tc>
          <w:tcPr>
            <w:tcW w:w="222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Net loss attributable to</w:t>
            </w: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(4,414)</w:t>
            </w:r>
          </w:p>
        </w:tc>
        <w:tc>
          <w:tcPr>
            <w:tcW w:w="0" w:type="dxa"/>
            <w:vAlign w:val="bottom"/>
          </w:tcPr>
          <w:p>
            <w:pPr>
              <w:spacing w:after="0"/>
              <w:rPr>
                <w:sz w:val="1"/>
                <w:szCs w:val="1"/>
                <w:color w:val="auto"/>
              </w:rPr>
            </w:pPr>
          </w:p>
        </w:tc>
      </w:tr>
      <w:tr>
        <w:trPr>
          <w:trHeight w:val="189"/>
        </w:trPr>
        <w:tc>
          <w:tcPr>
            <w:tcW w:w="2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shareholders</w:t>
            </w: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vMerge w:val="continue"/>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Summary information with respect to the Company’s geographic sources of revenue, based on location of customer, is as follows:</w:t>
      </w:r>
    </w:p>
    <w:p>
      <w:pPr>
        <w:spacing w:after="0" w:line="386"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18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780" w:type="dxa"/>
            <w:vAlign w:val="bottom"/>
            <w:tcBorders>
              <w:bottom w:val="single" w:sz="8" w:color="auto"/>
            </w:tcBorders>
            <w:gridSpan w:val="8"/>
          </w:tcPr>
          <w:p>
            <w:pPr>
              <w:ind w:left="480"/>
              <w:spacing w:after="0"/>
              <w:rPr>
                <w:sz w:val="20"/>
                <w:szCs w:val="20"/>
                <w:color w:val="auto"/>
              </w:rPr>
            </w:pPr>
            <w:r>
              <w:rPr>
                <w:rFonts w:ascii="Arial" w:cs="Arial" w:eastAsia="Arial" w:hAnsi="Arial"/>
                <w:sz w:val="14"/>
                <w:szCs w:val="14"/>
                <w:b w:val="1"/>
                <w:bCs w:val="1"/>
                <w:color w:val="auto"/>
              </w:rPr>
              <w:t>Three months ended March 31, 2017</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264"/>
        </w:trPr>
        <w:tc>
          <w:tcPr>
            <w:tcW w:w="18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Equipment Leasing</w:t>
            </w: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Infrastructure</w:t>
            </w: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168"/>
        </w:trPr>
        <w:tc>
          <w:tcPr>
            <w:tcW w:w="1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Shipping</w:t>
            </w:r>
          </w:p>
        </w:tc>
        <w:tc>
          <w:tcPr>
            <w:tcW w:w="20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Jefferson</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Ports and</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3"/>
        </w:trPr>
        <w:tc>
          <w:tcPr>
            <w:tcW w:w="188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Aviation Leasing</w:t>
            </w:r>
          </w:p>
        </w:tc>
        <w:tc>
          <w:tcPr>
            <w:tcW w:w="120" w:type="dxa"/>
            <w:vAlign w:val="bottom"/>
          </w:tcPr>
          <w:p>
            <w:pPr>
              <w:spacing w:after="0"/>
              <w:rPr>
                <w:sz w:val="17"/>
                <w:szCs w:val="17"/>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Offshore Energy</w:t>
            </w:r>
          </w:p>
        </w:tc>
        <w:tc>
          <w:tcPr>
            <w:tcW w:w="16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Containers</w:t>
            </w:r>
          </w:p>
        </w:tc>
        <w:tc>
          <w:tcPr>
            <w:tcW w:w="20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Terminal</w:t>
            </w:r>
          </w:p>
        </w:tc>
        <w:tc>
          <w:tcPr>
            <w:tcW w:w="12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Railroad</w:t>
            </w:r>
          </w:p>
        </w:tc>
        <w:tc>
          <w:tcPr>
            <w:tcW w:w="200" w:type="dxa"/>
            <w:vAlign w:val="bottom"/>
          </w:tcPr>
          <w:p>
            <w:pPr>
              <w:spacing w:after="0"/>
              <w:rPr>
                <w:sz w:val="17"/>
                <w:szCs w:val="17"/>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Terminals</w:t>
            </w:r>
          </w:p>
        </w:tc>
        <w:tc>
          <w:tcPr>
            <w:tcW w:w="260" w:type="dxa"/>
            <w:vAlign w:val="bottom"/>
          </w:tcPr>
          <w:p>
            <w:pPr>
              <w:spacing w:after="0"/>
              <w:rPr>
                <w:sz w:val="17"/>
                <w:szCs w:val="17"/>
                <w:color w:val="auto"/>
              </w:rPr>
            </w:pPr>
          </w:p>
        </w:tc>
        <w:tc>
          <w:tcPr>
            <w:tcW w:w="940" w:type="dxa"/>
            <w:vAlign w:val="bottom"/>
          </w:tcPr>
          <w:p>
            <w:pPr>
              <w:jc w:val="right"/>
              <w:ind w:right="368"/>
              <w:spacing w:after="0"/>
              <w:rPr>
                <w:sz w:val="20"/>
                <w:szCs w:val="20"/>
                <w:color w:val="auto"/>
              </w:rPr>
            </w:pPr>
            <w:r>
              <w:rPr>
                <w:rFonts w:ascii="Arial" w:cs="Arial" w:eastAsia="Arial" w:hAnsi="Arial"/>
                <w:sz w:val="14"/>
                <w:szCs w:val="14"/>
                <w:b w:val="1"/>
                <w:bCs w:val="1"/>
                <w:color w:val="auto"/>
              </w:rPr>
              <w:t>Total</w:t>
            </w:r>
          </w:p>
        </w:tc>
      </w:tr>
      <w:tr>
        <w:trPr>
          <w:trHeight w:val="265"/>
        </w:trPr>
        <w:tc>
          <w:tcPr>
            <w:tcW w:w="1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40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r>
      <w:tr>
        <w:trPr>
          <w:trHeight w:val="269"/>
        </w:trPr>
        <w:tc>
          <w:tcPr>
            <w:tcW w:w="1880" w:type="dxa"/>
            <w:vAlign w:val="bottom"/>
          </w:tcPr>
          <w:p>
            <w:pPr>
              <w:ind w:left="20"/>
              <w:spacing w:after="0"/>
              <w:rPr>
                <w:sz w:val="20"/>
                <w:szCs w:val="20"/>
                <w:color w:val="auto"/>
              </w:rPr>
            </w:pPr>
            <w:r>
              <w:rPr>
                <w:rFonts w:ascii="Arial" w:cs="Arial" w:eastAsia="Arial" w:hAnsi="Arial"/>
                <w:sz w:val="14"/>
                <w:szCs w:val="14"/>
                <w:color w:val="auto"/>
              </w:rPr>
              <w:t>Africa</w:t>
            </w:r>
          </w:p>
        </w:tc>
        <w:tc>
          <w:tcPr>
            <w:tcW w:w="4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2,367</w:t>
            </w:r>
          </w:p>
        </w:tc>
        <w:tc>
          <w:tcPr>
            <w:tcW w:w="56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2,367</w:t>
            </w:r>
          </w:p>
        </w:tc>
      </w:tr>
      <w:tr>
        <w:trPr>
          <w:trHeight w:val="271"/>
        </w:trPr>
        <w:tc>
          <w:tcPr>
            <w:tcW w:w="1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14,769</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671</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15,465</w:t>
            </w:r>
          </w:p>
        </w:tc>
      </w:tr>
      <w:tr>
        <w:trPr>
          <w:trHeight w:val="269"/>
        </w:trPr>
        <w:tc>
          <w:tcPr>
            <w:tcW w:w="1880" w:type="dxa"/>
            <w:vAlign w:val="bottom"/>
          </w:tcPr>
          <w:p>
            <w:pPr>
              <w:ind w:left="20"/>
              <w:spacing w:after="0"/>
              <w:rPr>
                <w:sz w:val="20"/>
                <w:szCs w:val="20"/>
                <w:color w:val="auto"/>
              </w:rPr>
            </w:pPr>
            <w:r>
              <w:rPr>
                <w:rFonts w:ascii="Arial" w:cs="Arial" w:eastAsia="Arial" w:hAnsi="Arial"/>
                <w:sz w:val="14"/>
                <w:szCs w:val="14"/>
                <w:color w:val="auto"/>
              </w:rPr>
              <w:t>Europe</w:t>
            </w:r>
          </w:p>
        </w:tc>
        <w:tc>
          <w:tcPr>
            <w:tcW w:w="40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11,470</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11,470</w:t>
            </w:r>
          </w:p>
        </w:tc>
      </w:tr>
      <w:tr>
        <w:trPr>
          <w:trHeight w:val="271"/>
        </w:trPr>
        <w:tc>
          <w:tcPr>
            <w:tcW w:w="1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1,405</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386</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4,866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8,403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15,076</w:t>
            </w:r>
          </w:p>
        </w:tc>
      </w:tr>
      <w:tr>
        <w:trPr>
          <w:trHeight w:val="269"/>
        </w:trPr>
        <w:tc>
          <w:tcPr>
            <w:tcW w:w="1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South America</w:t>
            </w:r>
          </w:p>
        </w:tc>
        <w:tc>
          <w:tcPr>
            <w:tcW w:w="4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295</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295</w:t>
            </w:r>
          </w:p>
        </w:tc>
      </w:tr>
      <w:tr>
        <w:trPr>
          <w:trHeight w:val="238"/>
        </w:trPr>
        <w:tc>
          <w:tcPr>
            <w:tcW w:w="1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30,306</w:t>
            </w:r>
          </w:p>
        </w:tc>
        <w:tc>
          <w:tcPr>
            <w:tcW w:w="560" w:type="dxa"/>
            <w:vAlign w:val="bottom"/>
            <w:gridSpan w:val="2"/>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1,057</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4,866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8,403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44,673</w:t>
            </w: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17" w:right="239" w:bottom="1440" w:gutter="0" w:footer="0" w:header="0"/>
        </w:sectPr>
      </w:pPr>
    </w:p>
    <w:bookmarkStart w:id="32" w:name="page33"/>
    <w:bookmarkEnd w:id="32"/>
    <w:p>
      <w:pPr>
        <w:ind w:right="382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5"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00497F"/>
        </w:rPr>
        <w:t>II. For the Three Months Ended March 31, 2016</w:t>
      </w:r>
    </w:p>
    <w:p>
      <w:pPr>
        <w:spacing w:after="0" w:line="388"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23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gridSpan w:val="9"/>
          </w:tcPr>
          <w:p>
            <w:pPr>
              <w:jc w:val="right"/>
              <w:ind w:right="8"/>
              <w:spacing w:after="0"/>
              <w:rPr>
                <w:sz w:val="20"/>
                <w:szCs w:val="20"/>
                <w:color w:val="auto"/>
              </w:rPr>
            </w:pPr>
            <w:r>
              <w:rPr>
                <w:rFonts w:ascii="Arial" w:cs="Arial" w:eastAsia="Arial" w:hAnsi="Arial"/>
                <w:sz w:val="14"/>
                <w:szCs w:val="14"/>
                <w:b w:val="1"/>
                <w:bCs w:val="1"/>
                <w:color w:val="auto"/>
              </w:rPr>
              <w:t>Three Months Ended March 31, 2016</w:t>
            </w: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3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Infrastructure</w:t>
            </w: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b w:val="1"/>
                <w:bCs w:val="1"/>
                <w:color w:val="auto"/>
              </w:rPr>
              <w:t>Aviation</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Offshore</w:t>
            </w:r>
          </w:p>
        </w:tc>
        <w:tc>
          <w:tcPr>
            <w:tcW w:w="10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Shipping</w:t>
            </w:r>
          </w:p>
        </w:tc>
        <w:tc>
          <w:tcPr>
            <w:tcW w:w="14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Jefferson</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Ports and</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b w:val="1"/>
                <w:bCs w:val="1"/>
                <w:color w:val="auto"/>
              </w:rPr>
              <w:t>Leasing</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Energy</w:t>
            </w:r>
          </w:p>
        </w:tc>
        <w:tc>
          <w:tcPr>
            <w:tcW w:w="10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Containers</w:t>
            </w:r>
          </w:p>
        </w:tc>
        <w:tc>
          <w:tcPr>
            <w:tcW w:w="14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Terminal</w:t>
            </w:r>
          </w:p>
        </w:tc>
        <w:tc>
          <w:tcPr>
            <w:tcW w:w="140" w:type="dxa"/>
            <w:vAlign w:val="bottom"/>
          </w:tcPr>
          <w:p>
            <w:pPr>
              <w:spacing w:after="0"/>
              <w:rPr>
                <w:sz w:val="17"/>
                <w:szCs w:val="17"/>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Railroad</w:t>
            </w:r>
          </w:p>
        </w:tc>
        <w:tc>
          <w:tcPr>
            <w:tcW w:w="140" w:type="dxa"/>
            <w:vAlign w:val="bottom"/>
          </w:tcPr>
          <w:p>
            <w:pPr>
              <w:spacing w:after="0"/>
              <w:rPr>
                <w:sz w:val="17"/>
                <w:szCs w:val="17"/>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Terminals</w:t>
            </w:r>
          </w:p>
        </w:tc>
        <w:tc>
          <w:tcPr>
            <w:tcW w:w="120" w:type="dxa"/>
            <w:vAlign w:val="bottom"/>
          </w:tcPr>
          <w:p>
            <w:pPr>
              <w:spacing w:after="0"/>
              <w:rPr>
                <w:sz w:val="17"/>
                <w:szCs w:val="17"/>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Corporate</w:t>
            </w:r>
          </w:p>
        </w:tc>
        <w:tc>
          <w:tcPr>
            <w:tcW w:w="220" w:type="dxa"/>
            <w:vAlign w:val="bottom"/>
          </w:tcPr>
          <w:p>
            <w:pPr>
              <w:spacing w:after="0"/>
              <w:rPr>
                <w:sz w:val="17"/>
                <w:szCs w:val="17"/>
                <w:color w:val="auto"/>
              </w:rPr>
            </w:pPr>
          </w:p>
        </w:tc>
        <w:tc>
          <w:tcPr>
            <w:tcW w:w="760" w:type="dxa"/>
            <w:vAlign w:val="bottom"/>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5"/>
        </w:trPr>
        <w:tc>
          <w:tcPr>
            <w:tcW w:w="2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8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2320" w:type="dxa"/>
            <w:vAlign w:val="bottom"/>
          </w:tcPr>
          <w:p>
            <w:pPr>
              <w:ind w:left="20"/>
              <w:spacing w:after="0"/>
              <w:rPr>
                <w:sz w:val="20"/>
                <w:szCs w:val="20"/>
                <w:color w:val="auto"/>
              </w:rPr>
            </w:pPr>
            <w:r>
              <w:rPr>
                <w:rFonts w:ascii="Arial" w:cs="Arial" w:eastAsia="Arial" w:hAnsi="Arial"/>
                <w:sz w:val="14"/>
                <w:szCs w:val="14"/>
                <w:color w:val="auto"/>
              </w:rPr>
              <w:t>Equipment leasing revenues</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17,953</w:t>
            </w:r>
          </w:p>
        </w:tc>
        <w:tc>
          <w:tcPr>
            <w:tcW w:w="34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485</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1,137</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19,575</w:t>
            </w:r>
          </w:p>
        </w:tc>
        <w:tc>
          <w:tcPr>
            <w:tcW w:w="0" w:type="dxa"/>
            <w:vAlign w:val="bottom"/>
          </w:tcPr>
          <w:p>
            <w:pPr>
              <w:spacing w:after="0"/>
              <w:rPr>
                <w:sz w:val="1"/>
                <w:szCs w:val="1"/>
                <w:color w:val="auto"/>
              </w:rPr>
            </w:pPr>
          </w:p>
        </w:tc>
      </w:tr>
      <w:tr>
        <w:trPr>
          <w:trHeight w:val="270"/>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Infrastructure revenues</w:t>
            </w:r>
          </w:p>
        </w:tc>
        <w:tc>
          <w:tcPr>
            <w:tcW w:w="1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3,879</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7,999</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11,878</w:t>
            </w:r>
          </w:p>
        </w:tc>
        <w:tc>
          <w:tcPr>
            <w:tcW w:w="0" w:type="dxa"/>
            <w:vAlign w:val="bottom"/>
          </w:tcPr>
          <w:p>
            <w:pPr>
              <w:spacing w:after="0"/>
              <w:rPr>
                <w:sz w:val="1"/>
                <w:szCs w:val="1"/>
                <w:color w:val="auto"/>
              </w:rPr>
            </w:pPr>
          </w:p>
        </w:tc>
      </w:tr>
      <w:tr>
        <w:trPr>
          <w:trHeight w:val="250"/>
        </w:trPr>
        <w:tc>
          <w:tcPr>
            <w:tcW w:w="2320" w:type="dxa"/>
            <w:vAlign w:val="bottom"/>
          </w:tcPr>
          <w:p>
            <w:pPr>
              <w:ind w:left="20"/>
              <w:spacing w:after="0"/>
              <w:rPr>
                <w:sz w:val="20"/>
                <w:szCs w:val="20"/>
                <w:color w:val="auto"/>
              </w:rPr>
            </w:pPr>
            <w:r>
              <w:rPr>
                <w:rFonts w:ascii="Arial" w:cs="Arial" w:eastAsia="Arial" w:hAnsi="Arial"/>
                <w:sz w:val="14"/>
                <w:szCs w:val="14"/>
                <w:color w:val="auto"/>
              </w:rPr>
              <w:t>Total revenues</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17,953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485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1,137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3,879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7,999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31,453</w:t>
            </w:r>
          </w:p>
        </w:tc>
        <w:tc>
          <w:tcPr>
            <w:tcW w:w="0" w:type="dxa"/>
            <w:vAlign w:val="bottom"/>
          </w:tcPr>
          <w:p>
            <w:pPr>
              <w:spacing w:after="0"/>
              <w:rPr>
                <w:sz w:val="1"/>
                <w:szCs w:val="1"/>
                <w:color w:val="auto"/>
              </w:rPr>
            </w:pPr>
          </w:p>
        </w:tc>
      </w:tr>
      <w:tr>
        <w:trPr>
          <w:trHeight w:val="322"/>
        </w:trPr>
        <w:tc>
          <w:tcPr>
            <w:tcW w:w="232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800" w:type="dxa"/>
            <w:vAlign w:val="bottom"/>
            <w:tcBorders>
              <w:top w:val="single" w:sz="8" w:color="auto"/>
            </w:tcBorders>
            <w:shd w:val="clear" w:color="auto" w:fill="CCEEFF"/>
          </w:tcPr>
          <w:p>
            <w:pPr>
              <w:spacing w:after="0"/>
              <w:rPr>
                <w:sz w:val="24"/>
                <w:szCs w:val="24"/>
                <w:color w:val="auto"/>
              </w:rPr>
            </w:pPr>
          </w:p>
        </w:tc>
        <w:tc>
          <w:tcPr>
            <w:tcW w:w="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8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8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8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8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76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32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817</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3,601</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2,688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7,222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14,358</w:t>
            </w:r>
          </w:p>
        </w:tc>
        <w:tc>
          <w:tcPr>
            <w:tcW w:w="0" w:type="dxa"/>
            <w:vAlign w:val="bottom"/>
          </w:tcPr>
          <w:p>
            <w:pPr>
              <w:spacing w:after="0"/>
              <w:rPr>
                <w:sz w:val="1"/>
                <w:szCs w:val="1"/>
                <w:color w:val="auto"/>
              </w:rPr>
            </w:pPr>
          </w:p>
        </w:tc>
      </w:tr>
      <w:tr>
        <w:trPr>
          <w:trHeight w:val="266"/>
        </w:trPr>
        <w:tc>
          <w:tcPr>
            <w:tcW w:w="232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6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2,588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2,588</w:t>
            </w:r>
          </w:p>
        </w:tc>
        <w:tc>
          <w:tcPr>
            <w:tcW w:w="0" w:type="dxa"/>
            <w:vAlign w:val="bottom"/>
          </w:tcPr>
          <w:p>
            <w:pPr>
              <w:spacing w:after="0"/>
              <w:rPr>
                <w:sz w:val="1"/>
                <w:szCs w:val="1"/>
                <w:color w:val="auto"/>
              </w:rPr>
            </w:pPr>
          </w:p>
        </w:tc>
      </w:tr>
      <w:tr>
        <w:trPr>
          <w:trHeight w:val="180"/>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expenses</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1,059</w:t>
            </w:r>
          </w:p>
        </w:tc>
        <w:tc>
          <w:tcPr>
            <w:tcW w:w="0" w:type="dxa"/>
            <w:vAlign w:val="bottom"/>
          </w:tcPr>
          <w:p>
            <w:pPr>
              <w:spacing w:after="0"/>
              <w:rPr>
                <w:sz w:val="1"/>
                <w:szCs w:val="1"/>
                <w:color w:val="auto"/>
              </w:rPr>
            </w:pPr>
          </w:p>
        </w:tc>
      </w:tr>
      <w:tr>
        <w:trPr>
          <w:trHeight w:val="176"/>
        </w:trPr>
        <w:tc>
          <w:tcPr>
            <w:tcW w:w="2320" w:type="dxa"/>
            <w:vAlign w:val="bottom"/>
          </w:tcPr>
          <w:p>
            <w:pPr>
              <w:ind w:left="20"/>
              <w:spacing w:after="0"/>
              <w:rPr>
                <w:sz w:val="20"/>
                <w:szCs w:val="20"/>
                <w:color w:val="auto"/>
              </w:rPr>
            </w:pPr>
            <w:r>
              <w:rPr>
                <w:rFonts w:ascii="Arial" w:cs="Arial" w:eastAsia="Arial" w:hAnsi="Arial"/>
                <w:sz w:val="14"/>
                <w:szCs w:val="14"/>
                <w:color w:val="auto"/>
              </w:rPr>
              <w:t>Management fees and incentive</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320" w:type="dxa"/>
            <w:vAlign w:val="bottom"/>
          </w:tcPr>
          <w:p>
            <w:pPr>
              <w:ind w:left="20"/>
              <w:spacing w:after="0"/>
              <w:rPr>
                <w:sz w:val="20"/>
                <w:szCs w:val="20"/>
                <w:color w:val="auto"/>
              </w:rPr>
            </w:pPr>
            <w:r>
              <w:rPr>
                <w:rFonts w:ascii="Arial" w:cs="Arial" w:eastAsia="Arial" w:hAnsi="Arial"/>
                <w:sz w:val="14"/>
                <w:szCs w:val="14"/>
                <w:color w:val="auto"/>
              </w:rPr>
              <w:t>allocation to affiliate</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6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4,348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4,348</w:t>
            </w:r>
          </w:p>
        </w:tc>
        <w:tc>
          <w:tcPr>
            <w:tcW w:w="0" w:type="dxa"/>
            <w:vAlign w:val="bottom"/>
          </w:tcPr>
          <w:p>
            <w:pPr>
              <w:spacing w:after="0"/>
              <w:rPr>
                <w:sz w:val="1"/>
                <w:szCs w:val="1"/>
                <w:color w:val="auto"/>
              </w:rPr>
            </w:pPr>
          </w:p>
        </w:tc>
      </w:tr>
      <w:tr>
        <w:trPr>
          <w:trHeight w:val="274"/>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7,427</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1,588</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3,676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13,217</w:t>
            </w:r>
          </w:p>
        </w:tc>
        <w:tc>
          <w:tcPr>
            <w:tcW w:w="0" w:type="dxa"/>
            <w:vAlign w:val="bottom"/>
          </w:tcPr>
          <w:p>
            <w:pPr>
              <w:spacing w:after="0"/>
              <w:rPr>
                <w:sz w:val="1"/>
                <w:szCs w:val="1"/>
                <w:color w:val="auto"/>
              </w:rPr>
            </w:pPr>
          </w:p>
        </w:tc>
      </w:tr>
      <w:tr>
        <w:trPr>
          <w:trHeight w:val="266"/>
        </w:trPr>
        <w:tc>
          <w:tcPr>
            <w:tcW w:w="2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expense</w:t>
            </w:r>
          </w:p>
        </w:tc>
        <w:tc>
          <w:tcPr>
            <w:tcW w:w="1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935</w:t>
            </w:r>
          </w:p>
        </w:tc>
        <w:tc>
          <w:tcPr>
            <w:tcW w:w="12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410</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3,804</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154</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5,303</w:t>
            </w:r>
          </w:p>
        </w:tc>
        <w:tc>
          <w:tcPr>
            <w:tcW w:w="0" w:type="dxa"/>
            <w:vAlign w:val="bottom"/>
          </w:tcPr>
          <w:p>
            <w:pPr>
              <w:spacing w:after="0"/>
              <w:rPr>
                <w:sz w:val="1"/>
                <w:szCs w:val="1"/>
                <w:color w:val="auto"/>
              </w:rPr>
            </w:pPr>
          </w:p>
        </w:tc>
      </w:tr>
      <w:tr>
        <w:trPr>
          <w:trHeight w:val="250"/>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expenses</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8,244</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6,124</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10,168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7,902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7,995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40,873</w:t>
            </w:r>
          </w:p>
        </w:tc>
        <w:tc>
          <w:tcPr>
            <w:tcW w:w="0" w:type="dxa"/>
            <w:vAlign w:val="bottom"/>
          </w:tcPr>
          <w:p>
            <w:pPr>
              <w:spacing w:after="0"/>
              <w:rPr>
                <w:sz w:val="1"/>
                <w:szCs w:val="1"/>
                <w:color w:val="auto"/>
              </w:rPr>
            </w:pPr>
          </w:p>
        </w:tc>
      </w:tr>
      <w:tr>
        <w:trPr>
          <w:trHeight w:val="322"/>
        </w:trPr>
        <w:tc>
          <w:tcPr>
            <w:tcW w:w="23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2320" w:type="dxa"/>
            <w:vAlign w:val="bottom"/>
          </w:tcPr>
          <w:p>
            <w:pPr>
              <w:ind w:left="20"/>
              <w:spacing w:after="0"/>
              <w:rPr>
                <w:sz w:val="20"/>
                <w:szCs w:val="20"/>
                <w:color w:val="auto"/>
              </w:rPr>
            </w:pPr>
            <w:r>
              <w:rPr>
                <w:rFonts w:ascii="Arial" w:cs="Arial" w:eastAsia="Arial" w:hAnsi="Arial"/>
                <w:sz w:val="14"/>
                <w:szCs w:val="14"/>
                <w:color w:val="auto"/>
              </w:rPr>
              <w:t>Equity in earnings of</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320" w:type="dxa"/>
            <w:vAlign w:val="bottom"/>
          </w:tcPr>
          <w:p>
            <w:pPr>
              <w:ind w:left="20"/>
              <w:spacing w:after="0"/>
              <w:rPr>
                <w:sz w:val="20"/>
                <w:szCs w:val="20"/>
                <w:color w:val="auto"/>
              </w:rPr>
            </w:pPr>
            <w:r>
              <w:rPr>
                <w:rFonts w:ascii="Arial" w:cs="Arial" w:eastAsia="Arial" w:hAnsi="Arial"/>
                <w:sz w:val="14"/>
                <w:szCs w:val="14"/>
                <w:color w:val="auto"/>
              </w:rPr>
              <w:t>unconsolidated entities</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6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80"/>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(loss) on sale of equipment</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and finance leases, net</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1,208</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1,722</w:t>
            </w:r>
          </w:p>
        </w:tc>
        <w:tc>
          <w:tcPr>
            <w:tcW w:w="0" w:type="dxa"/>
            <w:vAlign w:val="bottom"/>
          </w:tcPr>
          <w:p>
            <w:pPr>
              <w:spacing w:after="0"/>
              <w:rPr>
                <w:sz w:val="1"/>
                <w:szCs w:val="1"/>
                <w:color w:val="auto"/>
              </w:rPr>
            </w:pPr>
          </w:p>
        </w:tc>
      </w:tr>
      <w:tr>
        <w:trPr>
          <w:trHeight w:val="266"/>
        </w:trPr>
        <w:tc>
          <w:tcPr>
            <w:tcW w:w="232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1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(1,579)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6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(1,579)</w:t>
            </w:r>
          </w:p>
        </w:tc>
        <w:tc>
          <w:tcPr>
            <w:tcW w:w="0" w:type="dxa"/>
            <w:vAlign w:val="bottom"/>
          </w:tcPr>
          <w:p>
            <w:pPr>
              <w:spacing w:after="0"/>
              <w:rPr>
                <w:sz w:val="1"/>
                <w:szCs w:val="1"/>
                <w:color w:val="auto"/>
              </w:rPr>
            </w:pPr>
          </w:p>
        </w:tc>
      </w:tr>
      <w:tr>
        <w:trPr>
          <w:trHeight w:val="274"/>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66"/>
        </w:trPr>
        <w:tc>
          <w:tcPr>
            <w:tcW w:w="2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(expense) income</w:t>
            </w:r>
          </w:p>
        </w:tc>
        <w:tc>
          <w:tcPr>
            <w:tcW w:w="1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54"/>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income (expense)</w:t>
            </w:r>
          </w:p>
        </w:tc>
        <w:tc>
          <w:tcPr>
            <w:tcW w:w="18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1,209</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277</w:t>
            </w:r>
          </w:p>
        </w:tc>
        <w:tc>
          <w:tcPr>
            <w:tcW w:w="0" w:type="dxa"/>
            <w:vAlign w:val="bottom"/>
          </w:tcPr>
          <w:p>
            <w:pPr>
              <w:spacing w:after="0"/>
              <w:rPr>
                <w:sz w:val="1"/>
                <w:szCs w:val="1"/>
                <w:color w:val="auto"/>
              </w:rPr>
            </w:pPr>
          </w:p>
        </w:tc>
      </w:tr>
      <w:tr>
        <w:trPr>
          <w:trHeight w:val="154"/>
        </w:trPr>
        <w:tc>
          <w:tcPr>
            <w:tcW w:w="2320" w:type="dxa"/>
            <w:vAlign w:val="bottom"/>
          </w:tcPr>
          <w:p>
            <w:pPr>
              <w:ind w:left="20"/>
              <w:spacing w:after="0" w:line="154" w:lineRule="exact"/>
              <w:rPr>
                <w:sz w:val="20"/>
                <w:szCs w:val="20"/>
                <w:color w:val="auto"/>
              </w:rPr>
            </w:pPr>
            <w:r>
              <w:rPr>
                <w:rFonts w:ascii="Arial" w:cs="Arial" w:eastAsia="Arial" w:hAnsi="Arial"/>
                <w:sz w:val="14"/>
                <w:szCs w:val="14"/>
                <w:b w:val="1"/>
                <w:bCs w:val="1"/>
                <w:color w:val="auto"/>
              </w:rPr>
              <w:t>Income (loss) before income</w:t>
            </w:r>
          </w:p>
        </w:tc>
        <w:tc>
          <w:tcPr>
            <w:tcW w:w="1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320" w:type="dxa"/>
            <w:vAlign w:val="bottom"/>
          </w:tcPr>
          <w:p>
            <w:pPr>
              <w:ind w:left="20"/>
              <w:spacing w:after="0"/>
              <w:rPr>
                <w:sz w:val="20"/>
                <w:szCs w:val="20"/>
                <w:color w:val="auto"/>
              </w:rPr>
            </w:pPr>
            <w:r>
              <w:rPr>
                <w:rFonts w:ascii="Arial" w:cs="Arial" w:eastAsia="Arial" w:hAnsi="Arial"/>
                <w:sz w:val="14"/>
                <w:szCs w:val="14"/>
                <w:b w:val="1"/>
                <w:bCs w:val="1"/>
                <w:color w:val="auto"/>
              </w:rPr>
              <w:t>taxes</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10,918</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(5,637)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1,084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(7,820)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307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(7,995)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(9,143)</w:t>
            </w:r>
          </w:p>
        </w:tc>
        <w:tc>
          <w:tcPr>
            <w:tcW w:w="0" w:type="dxa"/>
            <w:vAlign w:val="bottom"/>
          </w:tcPr>
          <w:p>
            <w:pPr>
              <w:spacing w:after="0"/>
              <w:rPr>
                <w:sz w:val="1"/>
                <w:szCs w:val="1"/>
                <w:color w:val="auto"/>
              </w:rPr>
            </w:pPr>
          </w:p>
        </w:tc>
      </w:tr>
      <w:tr>
        <w:trPr>
          <w:trHeight w:val="177"/>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(benefit from) for income</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taxes</w:t>
            </w: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6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49"/>
        </w:trPr>
        <w:tc>
          <w:tcPr>
            <w:tcW w:w="2320" w:type="dxa"/>
            <w:vAlign w:val="bottom"/>
          </w:tcPr>
          <w:p>
            <w:pPr>
              <w:ind w:left="20"/>
              <w:spacing w:after="0"/>
              <w:rPr>
                <w:sz w:val="20"/>
                <w:szCs w:val="20"/>
                <w:color w:val="auto"/>
              </w:rPr>
            </w:pPr>
            <w:r>
              <w:rPr>
                <w:rFonts w:ascii="Arial" w:cs="Arial" w:eastAsia="Arial" w:hAnsi="Arial"/>
                <w:sz w:val="14"/>
                <w:szCs w:val="14"/>
                <w:b w:val="1"/>
                <w:bCs w:val="1"/>
                <w:color w:val="auto"/>
              </w:rPr>
              <w:t>Net income (loss)</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11,015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(5,637)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1,088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(7,855)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(7,995)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(9,077)</w:t>
            </w:r>
          </w:p>
        </w:tc>
        <w:tc>
          <w:tcPr>
            <w:tcW w:w="0" w:type="dxa"/>
            <w:vAlign w:val="bottom"/>
          </w:tcPr>
          <w:p>
            <w:pPr>
              <w:spacing w:after="0"/>
              <w:rPr>
                <w:sz w:val="1"/>
                <w:szCs w:val="1"/>
                <w:color w:val="auto"/>
              </w:rPr>
            </w:pPr>
          </w:p>
        </w:tc>
      </w:tr>
      <w:tr>
        <w:trPr>
          <w:trHeight w:val="157"/>
        </w:trPr>
        <w:tc>
          <w:tcPr>
            <w:tcW w:w="2320" w:type="dxa"/>
            <w:vAlign w:val="bottom"/>
            <w:tcBorders>
              <w:top w:val="single" w:sz="8" w:color="CCEEFF"/>
            </w:tcBorders>
            <w:shd w:val="clear" w:color="auto" w:fill="CCEEFF"/>
          </w:tcPr>
          <w:p>
            <w:pPr>
              <w:ind w:left="20"/>
              <w:spacing w:after="0" w:line="157" w:lineRule="exact"/>
              <w:rPr>
                <w:sz w:val="20"/>
                <w:szCs w:val="20"/>
                <w:color w:val="auto"/>
              </w:rPr>
            </w:pPr>
            <w:r>
              <w:rPr>
                <w:rFonts w:ascii="Arial" w:cs="Arial" w:eastAsia="Arial" w:hAnsi="Arial"/>
                <w:sz w:val="14"/>
                <w:szCs w:val="14"/>
                <w:color w:val="auto"/>
              </w:rPr>
              <w:t>Less: Net income (loss) attributable</w:t>
            </w:r>
          </w:p>
        </w:tc>
        <w:tc>
          <w:tcPr>
            <w:tcW w:w="1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 non-controlling interests in</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consolidated subsidiaries</w:t>
            </w: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6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(247)</w:t>
            </w:r>
          </w:p>
        </w:tc>
        <w:tc>
          <w:tcPr>
            <w:tcW w:w="12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(3,156)</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(3,295)</w:t>
            </w:r>
          </w:p>
        </w:tc>
        <w:tc>
          <w:tcPr>
            <w:tcW w:w="0" w:type="dxa"/>
            <w:vAlign w:val="bottom"/>
          </w:tcPr>
          <w:p>
            <w:pPr>
              <w:spacing w:after="0"/>
              <w:rPr>
                <w:sz w:val="1"/>
                <w:szCs w:val="1"/>
                <w:color w:val="auto"/>
              </w:rPr>
            </w:pPr>
          </w:p>
        </w:tc>
      </w:tr>
      <w:tr>
        <w:trPr>
          <w:trHeight w:val="154"/>
        </w:trPr>
        <w:tc>
          <w:tcPr>
            <w:tcW w:w="2320" w:type="dxa"/>
            <w:vAlign w:val="bottom"/>
          </w:tcPr>
          <w:p>
            <w:pPr>
              <w:ind w:left="20"/>
              <w:spacing w:after="0" w:line="154" w:lineRule="exact"/>
              <w:rPr>
                <w:sz w:val="20"/>
                <w:szCs w:val="20"/>
                <w:color w:val="auto"/>
              </w:rPr>
            </w:pPr>
            <w:r>
              <w:rPr>
                <w:rFonts w:ascii="Arial" w:cs="Arial" w:eastAsia="Arial" w:hAnsi="Arial"/>
                <w:sz w:val="14"/>
                <w:szCs w:val="14"/>
                <w:b w:val="1"/>
                <w:bCs w:val="1"/>
                <w:color w:val="auto"/>
              </w:rPr>
              <w:t>Net income (loss) attributable to</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10,918</w:t>
            </w:r>
          </w:p>
        </w:tc>
        <w:tc>
          <w:tcPr>
            <w:tcW w:w="34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color w:val="auto"/>
              </w:rPr>
              <w:t>(5,390)</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1,088</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(4,699)</w:t>
            </w:r>
          </w:p>
        </w:tc>
        <w:tc>
          <w:tcPr>
            <w:tcW w:w="120" w:type="dxa"/>
            <w:vAlign w:val="bottom"/>
          </w:tcPr>
          <w:p>
            <w:pPr>
              <w:spacing w:after="0"/>
              <w:rPr>
                <w:sz w:val="13"/>
                <w:szCs w:val="13"/>
                <w:color w:val="auto"/>
              </w:rPr>
            </w:pP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294</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(7,993)</w:t>
            </w:r>
          </w:p>
        </w:tc>
        <w:tc>
          <w:tcPr>
            <w:tcW w:w="120" w:type="dxa"/>
            <w:vAlign w:val="bottom"/>
          </w:tcPr>
          <w:p>
            <w:pPr>
              <w:spacing w:after="0"/>
              <w:rPr>
                <w:sz w:val="13"/>
                <w:szCs w:val="13"/>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(5,782)</w:t>
            </w:r>
          </w:p>
        </w:tc>
        <w:tc>
          <w:tcPr>
            <w:tcW w:w="0" w:type="dxa"/>
            <w:vAlign w:val="bottom"/>
          </w:tcPr>
          <w:p>
            <w:pPr>
              <w:spacing w:after="0"/>
              <w:rPr>
                <w:sz w:val="1"/>
                <w:szCs w:val="1"/>
                <w:color w:val="auto"/>
              </w:rPr>
            </w:pPr>
          </w:p>
        </w:tc>
      </w:tr>
      <w:tr>
        <w:trPr>
          <w:trHeight w:val="191"/>
        </w:trPr>
        <w:tc>
          <w:tcPr>
            <w:tcW w:w="2320" w:type="dxa"/>
            <w:vAlign w:val="bottom"/>
          </w:tcPr>
          <w:p>
            <w:pPr>
              <w:ind w:left="20"/>
              <w:spacing w:after="0"/>
              <w:rPr>
                <w:sz w:val="20"/>
                <w:szCs w:val="20"/>
                <w:color w:val="auto"/>
              </w:rPr>
            </w:pPr>
            <w:r>
              <w:rPr>
                <w:rFonts w:ascii="Arial" w:cs="Arial" w:eastAsia="Arial" w:hAnsi="Arial"/>
                <w:sz w:val="14"/>
                <w:szCs w:val="14"/>
                <w:b w:val="1"/>
                <w:bCs w:val="1"/>
                <w:color w:val="auto"/>
              </w:rPr>
              <w:t>shareholders</w:t>
            </w:r>
          </w:p>
        </w:tc>
        <w:tc>
          <w:tcPr>
            <w:tcW w:w="18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340" w:type="dxa"/>
            <w:vAlign w:val="bottom"/>
            <w:gridSpan w:val="3"/>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2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ind w:right="88"/>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33" w:name="page34"/>
    <w:bookmarkEnd w:id="33"/>
    <w:p>
      <w:pPr>
        <w:ind w:right="382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a reconciliation of Adjusted Net Income (Loss) to net loss attributable to shareholders:</w:t>
      </w:r>
    </w:p>
    <w:p>
      <w:pPr>
        <w:spacing w:after="0" w:line="386"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23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gridSpan w:val="9"/>
          </w:tcPr>
          <w:p>
            <w:pPr>
              <w:jc w:val="right"/>
              <w:ind w:right="8"/>
              <w:spacing w:after="0"/>
              <w:rPr>
                <w:sz w:val="20"/>
                <w:szCs w:val="20"/>
                <w:color w:val="auto"/>
              </w:rPr>
            </w:pPr>
            <w:r>
              <w:rPr>
                <w:rFonts w:ascii="Arial" w:cs="Arial" w:eastAsia="Arial" w:hAnsi="Arial"/>
                <w:sz w:val="14"/>
                <w:szCs w:val="14"/>
                <w:b w:val="1"/>
                <w:bCs w:val="1"/>
                <w:color w:val="auto"/>
              </w:rPr>
              <w:t>Three Months Ended March 31, 2016</w:t>
            </w: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3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Infrastructure</w:t>
            </w: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4"/>
                <w:szCs w:val="14"/>
                <w:b w:val="1"/>
                <w:bCs w:val="1"/>
                <w:color w:val="auto"/>
              </w:rPr>
              <w:t>Aviation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Offshore</w:t>
            </w:r>
          </w:p>
        </w:tc>
        <w:tc>
          <w:tcPr>
            <w:tcW w:w="10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Shipping</w:t>
            </w:r>
          </w:p>
        </w:tc>
        <w:tc>
          <w:tcPr>
            <w:tcW w:w="14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Jefferson</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Ports and</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3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Leasing</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Energy</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Containers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9"/>
              </w:rPr>
              <w:t>Terminal</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Railroad</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Terminals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Corporate</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1"/>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Net Income (Loss)</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10,475</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(5,390)</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(6,532)</w:t>
            </w:r>
          </w:p>
        </w:tc>
        <w:tc>
          <w:tcPr>
            <w:tcW w:w="0" w:type="dxa"/>
            <w:vAlign w:val="bottom"/>
          </w:tcPr>
          <w:p>
            <w:pPr>
              <w:spacing w:after="0"/>
              <w:rPr>
                <w:sz w:val="1"/>
                <w:szCs w:val="1"/>
                <w:color w:val="auto"/>
              </w:rPr>
            </w:pPr>
          </w:p>
        </w:tc>
      </w:tr>
      <w:tr>
        <w:trPr>
          <w:trHeight w:val="156"/>
        </w:trPr>
        <w:tc>
          <w:tcPr>
            <w:tcW w:w="2320" w:type="dxa"/>
            <w:vAlign w:val="bottom"/>
          </w:tcPr>
          <w:p>
            <w:pPr>
              <w:ind w:left="20"/>
              <w:spacing w:after="0" w:line="156" w:lineRule="exact"/>
              <w:rPr>
                <w:sz w:val="20"/>
                <w:szCs w:val="20"/>
                <w:color w:val="auto"/>
              </w:rPr>
            </w:pPr>
            <w:r>
              <w:rPr>
                <w:rFonts w:ascii="Arial" w:cs="Arial" w:eastAsia="Arial" w:hAnsi="Arial"/>
                <w:sz w:val="14"/>
                <w:szCs w:val="14"/>
                <w:color w:val="auto"/>
              </w:rPr>
              <w:t>Add: Non-controlling share of</w:t>
            </w: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320" w:type="dxa"/>
            <w:vAlign w:val="bottom"/>
          </w:tcPr>
          <w:p>
            <w:pPr>
              <w:ind w:left="20"/>
              <w:spacing w:after="0"/>
              <w:rPr>
                <w:sz w:val="20"/>
                <w:szCs w:val="20"/>
                <w:color w:val="auto"/>
              </w:rPr>
            </w:pPr>
            <w:r>
              <w:rPr>
                <w:rFonts w:ascii="Arial" w:cs="Arial" w:eastAsia="Arial" w:hAnsi="Arial"/>
                <w:sz w:val="14"/>
                <w:szCs w:val="14"/>
                <w:color w:val="auto"/>
              </w:rPr>
              <w:t>adjustments to Adjusted Net</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320" w:type="dxa"/>
            <w:vAlign w:val="bottom"/>
          </w:tcPr>
          <w:p>
            <w:pPr>
              <w:ind w:left="20"/>
              <w:spacing w:after="0"/>
              <w:rPr>
                <w:sz w:val="20"/>
                <w:szCs w:val="20"/>
                <w:color w:val="auto"/>
              </w:rPr>
            </w:pPr>
            <w:r>
              <w:rPr>
                <w:rFonts w:ascii="Arial" w:cs="Arial" w:eastAsia="Arial" w:hAnsi="Arial"/>
                <w:sz w:val="14"/>
                <w:szCs w:val="14"/>
                <w:color w:val="auto"/>
              </w:rPr>
              <w:t>Income</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(989)</w:t>
            </w:r>
          </w:p>
        </w:tc>
        <w:tc>
          <w:tcPr>
            <w:tcW w:w="0" w:type="dxa"/>
            <w:vAlign w:val="bottom"/>
          </w:tcPr>
          <w:p>
            <w:pPr>
              <w:spacing w:after="0"/>
              <w:rPr>
                <w:sz w:val="1"/>
                <w:szCs w:val="1"/>
                <w:color w:val="auto"/>
              </w:rPr>
            </w:pPr>
          </w:p>
        </w:tc>
      </w:tr>
      <w:tr>
        <w:trPr>
          <w:trHeight w:val="180"/>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 in losses of</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unconsolidated entities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76"/>
        </w:trPr>
        <w:tc>
          <w:tcPr>
            <w:tcW w:w="2320" w:type="dxa"/>
            <w:vAlign w:val="bottom"/>
          </w:tcPr>
          <w:p>
            <w:pPr>
              <w:ind w:left="20"/>
              <w:spacing w:after="0"/>
              <w:rPr>
                <w:sz w:val="20"/>
                <w:szCs w:val="20"/>
                <w:color w:val="auto"/>
              </w:rPr>
            </w:pPr>
            <w:r>
              <w:rPr>
                <w:rFonts w:ascii="Arial" w:cs="Arial" w:eastAsia="Arial" w:hAnsi="Arial"/>
                <w:sz w:val="14"/>
                <w:szCs w:val="14"/>
                <w:color w:val="auto"/>
              </w:rPr>
              <w:t>Add: Cash payments for income</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320" w:type="dxa"/>
            <w:vAlign w:val="bottom"/>
          </w:tcPr>
          <w:p>
            <w:pPr>
              <w:ind w:left="20"/>
              <w:spacing w:after="0"/>
              <w:rPr>
                <w:sz w:val="20"/>
                <w:szCs w:val="20"/>
                <w:color w:val="auto"/>
              </w:rPr>
            </w:pPr>
            <w:r>
              <w:rPr>
                <w:rFonts w:ascii="Arial" w:cs="Arial" w:eastAsia="Arial" w:hAnsi="Arial"/>
                <w:sz w:val="14"/>
                <w:szCs w:val="14"/>
                <w:color w:val="auto"/>
              </w:rPr>
              <w:t>taxes</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351</w:t>
            </w:r>
          </w:p>
        </w:tc>
        <w:tc>
          <w:tcPr>
            <w:tcW w:w="0" w:type="dxa"/>
            <w:vAlign w:val="bottom"/>
          </w:tcPr>
          <w:p>
            <w:pPr>
              <w:spacing w:after="0"/>
              <w:rPr>
                <w:sz w:val="1"/>
                <w:szCs w:val="1"/>
                <w:color w:val="auto"/>
              </w:rPr>
            </w:pPr>
          </w:p>
        </w:tc>
      </w:tr>
      <w:tr>
        <w:trPr>
          <w:trHeight w:val="274"/>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Incentive allocations</w:t>
            </w:r>
          </w:p>
        </w:tc>
        <w:tc>
          <w:tcPr>
            <w:tcW w:w="1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320" w:type="dxa"/>
            <w:vAlign w:val="bottom"/>
          </w:tcPr>
          <w:p>
            <w:pPr>
              <w:ind w:left="20"/>
              <w:spacing w:after="0"/>
              <w:rPr>
                <w:sz w:val="20"/>
                <w:szCs w:val="20"/>
                <w:color w:val="auto"/>
              </w:rPr>
            </w:pPr>
            <w:r>
              <w:rPr>
                <w:rFonts w:ascii="Arial" w:cs="Arial" w:eastAsia="Arial" w:hAnsi="Arial"/>
                <w:sz w:val="14"/>
                <w:szCs w:val="14"/>
                <w:color w:val="auto"/>
              </w:rPr>
              <w:t>Less: Pro-rata share of Adjusted</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320" w:type="dxa"/>
            <w:vAlign w:val="bottom"/>
          </w:tcPr>
          <w:p>
            <w:pPr>
              <w:ind w:left="20"/>
              <w:spacing w:after="0"/>
              <w:rPr>
                <w:sz w:val="20"/>
                <w:szCs w:val="20"/>
                <w:color w:val="auto"/>
              </w:rPr>
            </w:pPr>
            <w:r>
              <w:rPr>
                <w:rFonts w:ascii="Arial" w:cs="Arial" w:eastAsia="Arial" w:hAnsi="Arial"/>
                <w:sz w:val="14"/>
                <w:szCs w:val="14"/>
                <w:color w:val="auto"/>
              </w:rPr>
              <w:t>Net Income from investments in</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320" w:type="dxa"/>
            <w:vAlign w:val="bottom"/>
          </w:tcPr>
          <w:p>
            <w:pPr>
              <w:ind w:left="20"/>
              <w:spacing w:after="0"/>
              <w:rPr>
                <w:sz w:val="20"/>
                <w:szCs w:val="20"/>
                <w:color w:val="auto"/>
              </w:rPr>
            </w:pPr>
            <w:r>
              <w:rPr>
                <w:rFonts w:ascii="Arial" w:cs="Arial" w:eastAsia="Arial" w:hAnsi="Arial"/>
                <w:sz w:val="14"/>
                <w:szCs w:val="14"/>
                <w:color w:val="auto"/>
              </w:rPr>
              <w:t>unconsolidated entities</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74"/>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Asset impairment charges</w:t>
            </w:r>
          </w:p>
        </w:tc>
        <w:tc>
          <w:tcPr>
            <w:tcW w:w="1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320" w:type="dxa"/>
            <w:vAlign w:val="bottom"/>
          </w:tcPr>
          <w:p>
            <w:pPr>
              <w:ind w:left="20"/>
              <w:spacing w:after="0"/>
              <w:rPr>
                <w:sz w:val="20"/>
                <w:szCs w:val="20"/>
                <w:color w:val="auto"/>
              </w:rPr>
            </w:pPr>
            <w:r>
              <w:rPr>
                <w:rFonts w:ascii="Arial" w:cs="Arial" w:eastAsia="Arial" w:hAnsi="Arial"/>
                <w:sz w:val="14"/>
                <w:szCs w:val="14"/>
                <w:color w:val="auto"/>
              </w:rPr>
              <w:t>Less: Changes in fair value of non-</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320" w:type="dxa"/>
            <w:vAlign w:val="bottom"/>
          </w:tcPr>
          <w:p>
            <w:pPr>
              <w:ind w:left="20"/>
              <w:spacing w:after="0"/>
              <w:rPr>
                <w:sz w:val="20"/>
                <w:szCs w:val="20"/>
                <w:color w:val="auto"/>
              </w:rPr>
            </w:pPr>
            <w:r>
              <w:rPr>
                <w:rFonts w:ascii="Arial" w:cs="Arial" w:eastAsia="Arial" w:hAnsi="Arial"/>
                <w:sz w:val="14"/>
                <w:szCs w:val="14"/>
                <w:color w:val="auto"/>
              </w:rPr>
              <w:t>hedge derivative instruments</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0"/>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Losses on the modification or</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extinguishment of debt and capital</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obligations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(1,579)</w:t>
            </w:r>
          </w:p>
        </w:tc>
        <w:tc>
          <w:tcPr>
            <w:tcW w:w="0" w:type="dxa"/>
            <w:vAlign w:val="bottom"/>
          </w:tcPr>
          <w:p>
            <w:pPr>
              <w:spacing w:after="0"/>
              <w:rPr>
                <w:sz w:val="1"/>
                <w:szCs w:val="1"/>
                <w:color w:val="auto"/>
              </w:rPr>
            </w:pPr>
          </w:p>
        </w:tc>
      </w:tr>
      <w:tr>
        <w:trPr>
          <w:trHeight w:val="176"/>
        </w:trPr>
        <w:tc>
          <w:tcPr>
            <w:tcW w:w="2320" w:type="dxa"/>
            <w:vAlign w:val="bottom"/>
          </w:tcPr>
          <w:p>
            <w:pPr>
              <w:ind w:left="20"/>
              <w:spacing w:after="0"/>
              <w:rPr>
                <w:sz w:val="20"/>
                <w:szCs w:val="20"/>
                <w:color w:val="auto"/>
              </w:rPr>
            </w:pPr>
            <w:r>
              <w:rPr>
                <w:rFonts w:ascii="Arial" w:cs="Arial" w:eastAsia="Arial" w:hAnsi="Arial"/>
                <w:sz w:val="14"/>
                <w:szCs w:val="14"/>
                <w:color w:val="auto"/>
              </w:rPr>
              <w:t>Less: Acquisition and transaction</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320" w:type="dxa"/>
            <w:vAlign w:val="bottom"/>
          </w:tcPr>
          <w:p>
            <w:pPr>
              <w:ind w:left="20"/>
              <w:spacing w:after="0"/>
              <w:rPr>
                <w:sz w:val="20"/>
                <w:szCs w:val="20"/>
                <w:color w:val="auto"/>
              </w:rPr>
            </w:pPr>
            <w:r>
              <w:rPr>
                <w:rFonts w:ascii="Arial" w:cs="Arial" w:eastAsia="Arial" w:hAnsi="Arial"/>
                <w:sz w:val="14"/>
                <w:szCs w:val="14"/>
                <w:color w:val="auto"/>
              </w:rPr>
              <w:t>expenses</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(1,059)</w:t>
            </w:r>
          </w:p>
        </w:tc>
        <w:tc>
          <w:tcPr>
            <w:tcW w:w="0" w:type="dxa"/>
            <w:vAlign w:val="bottom"/>
          </w:tcPr>
          <w:p>
            <w:pPr>
              <w:spacing w:after="0"/>
              <w:rPr>
                <w:sz w:val="1"/>
                <w:szCs w:val="1"/>
                <w:color w:val="auto"/>
              </w:rPr>
            </w:pPr>
          </w:p>
        </w:tc>
      </w:tr>
      <w:tr>
        <w:trPr>
          <w:trHeight w:val="180"/>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Equity-based compensation</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expense</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3,963</w:t>
            </w:r>
          </w:p>
        </w:tc>
        <w:tc>
          <w:tcPr>
            <w:tcW w:w="0" w:type="dxa"/>
            <w:vAlign w:val="bottom"/>
          </w:tcPr>
          <w:p>
            <w:pPr>
              <w:spacing w:after="0"/>
              <w:rPr>
                <w:sz w:val="1"/>
                <w:szCs w:val="1"/>
                <w:color w:val="auto"/>
              </w:rPr>
            </w:pPr>
          </w:p>
        </w:tc>
      </w:tr>
      <w:tr>
        <w:trPr>
          <w:trHeight w:val="266"/>
        </w:trPr>
        <w:tc>
          <w:tcPr>
            <w:tcW w:w="2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Benefit from income taxes</w:t>
            </w:r>
          </w:p>
        </w:tc>
        <w:tc>
          <w:tcPr>
            <w:tcW w:w="180" w:type="dxa"/>
            <w:vAlign w:val="bottom"/>
            <w:tcBorders>
              <w:bottom w:val="single" w:sz="8" w:color="CCEEFF"/>
            </w:tcBorders>
          </w:tcPr>
          <w:p>
            <w:pPr>
              <w:spacing w:after="0"/>
              <w:rPr>
                <w:sz w:val="23"/>
                <w:szCs w:val="23"/>
                <w:color w:val="auto"/>
              </w:rPr>
            </w:pPr>
          </w:p>
        </w:tc>
        <w:tc>
          <w:tcPr>
            <w:tcW w:w="78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8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8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8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8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86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8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60"/>
        </w:trPr>
        <w:tc>
          <w:tcPr>
            <w:tcW w:w="2320" w:type="dxa"/>
            <w:vAlign w:val="bottom"/>
            <w:shd w:val="clear" w:color="auto" w:fill="CCEEFF"/>
          </w:tcPr>
          <w:p>
            <w:pPr>
              <w:ind w:left="20"/>
              <w:spacing w:after="0" w:line="160" w:lineRule="exact"/>
              <w:rPr>
                <w:sz w:val="20"/>
                <w:szCs w:val="20"/>
                <w:color w:val="auto"/>
              </w:rPr>
            </w:pPr>
            <w:r>
              <w:rPr>
                <w:rFonts w:ascii="Arial" w:cs="Arial" w:eastAsia="Arial" w:hAnsi="Arial"/>
                <w:sz w:val="14"/>
                <w:szCs w:val="14"/>
                <w:color w:val="auto"/>
              </w:rPr>
              <w:t>Net loss attributable to</w:t>
            </w: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(5,782)</w:t>
            </w:r>
          </w:p>
        </w:tc>
        <w:tc>
          <w:tcPr>
            <w:tcW w:w="0" w:type="dxa"/>
            <w:vAlign w:val="bottom"/>
          </w:tcPr>
          <w:p>
            <w:pPr>
              <w:spacing w:after="0"/>
              <w:rPr>
                <w:sz w:val="1"/>
                <w:szCs w:val="1"/>
                <w:color w:val="auto"/>
              </w:rPr>
            </w:pPr>
          </w:p>
        </w:tc>
      </w:tr>
      <w:tr>
        <w:trPr>
          <w:trHeight w:val="189"/>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shareholders</w:t>
            </w:r>
          </w:p>
        </w:tc>
        <w:tc>
          <w:tcPr>
            <w:tcW w:w="1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vMerge w:val="continue"/>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Summary information with respect to the Company’s geographic sources of revenue, based on location of customer, is as follows:</w:t>
      </w:r>
    </w:p>
    <w:p>
      <w:pPr>
        <w:spacing w:after="0" w:line="386"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18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760" w:type="dxa"/>
            <w:vAlign w:val="bottom"/>
            <w:tcBorders>
              <w:bottom w:val="single" w:sz="8" w:color="auto"/>
            </w:tcBorders>
            <w:gridSpan w:val="8"/>
          </w:tcPr>
          <w:p>
            <w:pPr>
              <w:ind w:left="460"/>
              <w:spacing w:after="0"/>
              <w:rPr>
                <w:sz w:val="20"/>
                <w:szCs w:val="20"/>
                <w:color w:val="auto"/>
              </w:rPr>
            </w:pPr>
            <w:r>
              <w:rPr>
                <w:rFonts w:ascii="Arial" w:cs="Arial" w:eastAsia="Arial" w:hAnsi="Arial"/>
                <w:sz w:val="14"/>
                <w:szCs w:val="14"/>
                <w:b w:val="1"/>
                <w:bCs w:val="1"/>
                <w:color w:val="auto"/>
              </w:rPr>
              <w:t>Three Months Ended March 31, 2016</w:t>
            </w: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264"/>
        </w:trPr>
        <w:tc>
          <w:tcPr>
            <w:tcW w:w="18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rPr>
              <w:t>Equipment Leasing</w:t>
            </w: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Infrastructure</w:t>
            </w: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168"/>
        </w:trPr>
        <w:tc>
          <w:tcPr>
            <w:tcW w:w="1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Shipping</w:t>
            </w:r>
          </w:p>
        </w:tc>
        <w:tc>
          <w:tcPr>
            <w:tcW w:w="20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Jefferson</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Ports and</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3"/>
        </w:trPr>
        <w:tc>
          <w:tcPr>
            <w:tcW w:w="188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Aviation Leasing</w:t>
            </w:r>
          </w:p>
        </w:tc>
        <w:tc>
          <w:tcPr>
            <w:tcW w:w="120" w:type="dxa"/>
            <w:vAlign w:val="bottom"/>
          </w:tcPr>
          <w:p>
            <w:pPr>
              <w:spacing w:after="0"/>
              <w:rPr>
                <w:sz w:val="17"/>
                <w:szCs w:val="17"/>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Offshore Energy</w:t>
            </w:r>
          </w:p>
        </w:tc>
        <w:tc>
          <w:tcPr>
            <w:tcW w:w="16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Containers</w:t>
            </w:r>
          </w:p>
        </w:tc>
        <w:tc>
          <w:tcPr>
            <w:tcW w:w="200" w:type="dxa"/>
            <w:vAlign w:val="bottom"/>
          </w:tcPr>
          <w:p>
            <w:pPr>
              <w:spacing w:after="0"/>
              <w:rPr>
                <w:sz w:val="17"/>
                <w:szCs w:val="17"/>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Terminal</w:t>
            </w:r>
          </w:p>
        </w:tc>
        <w:tc>
          <w:tcPr>
            <w:tcW w:w="12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Railroad</w:t>
            </w:r>
          </w:p>
        </w:tc>
        <w:tc>
          <w:tcPr>
            <w:tcW w:w="180" w:type="dxa"/>
            <w:vAlign w:val="bottom"/>
          </w:tcPr>
          <w:p>
            <w:pPr>
              <w:spacing w:after="0"/>
              <w:rPr>
                <w:sz w:val="17"/>
                <w:szCs w:val="17"/>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Terminals</w:t>
            </w:r>
          </w:p>
        </w:tc>
        <w:tc>
          <w:tcPr>
            <w:tcW w:w="260" w:type="dxa"/>
            <w:vAlign w:val="bottom"/>
          </w:tcPr>
          <w:p>
            <w:pPr>
              <w:spacing w:after="0"/>
              <w:rPr>
                <w:sz w:val="17"/>
                <w:szCs w:val="17"/>
                <w:color w:val="auto"/>
              </w:rPr>
            </w:pPr>
          </w:p>
        </w:tc>
        <w:tc>
          <w:tcPr>
            <w:tcW w:w="940" w:type="dxa"/>
            <w:vAlign w:val="bottom"/>
          </w:tcPr>
          <w:p>
            <w:pPr>
              <w:jc w:val="right"/>
              <w:ind w:right="368"/>
              <w:spacing w:after="0"/>
              <w:rPr>
                <w:sz w:val="20"/>
                <w:szCs w:val="20"/>
                <w:color w:val="auto"/>
              </w:rPr>
            </w:pPr>
            <w:r>
              <w:rPr>
                <w:rFonts w:ascii="Arial" w:cs="Arial" w:eastAsia="Arial" w:hAnsi="Arial"/>
                <w:sz w:val="14"/>
                <w:szCs w:val="14"/>
                <w:b w:val="1"/>
                <w:bCs w:val="1"/>
                <w:color w:val="auto"/>
              </w:rPr>
              <w:t>Total</w:t>
            </w:r>
          </w:p>
        </w:tc>
      </w:tr>
      <w:tr>
        <w:trPr>
          <w:trHeight w:val="265"/>
        </w:trPr>
        <w:tc>
          <w:tcPr>
            <w:tcW w:w="1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40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50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r>
      <w:tr>
        <w:trPr>
          <w:trHeight w:val="266"/>
        </w:trPr>
        <w:tc>
          <w:tcPr>
            <w:tcW w:w="1880" w:type="dxa"/>
            <w:vAlign w:val="bottom"/>
          </w:tcPr>
          <w:p>
            <w:pPr>
              <w:ind w:left="20"/>
              <w:spacing w:after="0"/>
              <w:rPr>
                <w:sz w:val="20"/>
                <w:szCs w:val="20"/>
                <w:color w:val="auto"/>
              </w:rPr>
            </w:pPr>
            <w:r>
              <w:rPr>
                <w:rFonts w:ascii="Arial" w:cs="Arial" w:eastAsia="Arial" w:hAnsi="Arial"/>
                <w:sz w:val="14"/>
                <w:szCs w:val="14"/>
                <w:color w:val="auto"/>
              </w:rPr>
              <w:t>Africa</w:t>
            </w:r>
          </w:p>
        </w:tc>
        <w:tc>
          <w:tcPr>
            <w:tcW w:w="400" w:type="dxa"/>
            <w:vAlign w:val="bottom"/>
          </w:tcPr>
          <w:p>
            <w:pPr>
              <w:ind w:left="4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2,779</w:t>
            </w:r>
          </w:p>
        </w:tc>
        <w:tc>
          <w:tcPr>
            <w:tcW w:w="620" w:type="dxa"/>
            <w:vAlign w:val="bottom"/>
            <w:gridSpan w:val="2"/>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2,779</w:t>
            </w:r>
          </w:p>
        </w:tc>
      </w:tr>
      <w:tr>
        <w:trPr>
          <w:trHeight w:val="274"/>
        </w:trPr>
        <w:tc>
          <w:tcPr>
            <w:tcW w:w="1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9,383</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10,192</w:t>
            </w:r>
          </w:p>
        </w:tc>
      </w:tr>
      <w:tr>
        <w:trPr>
          <w:trHeight w:val="266"/>
        </w:trPr>
        <w:tc>
          <w:tcPr>
            <w:tcW w:w="1880" w:type="dxa"/>
            <w:vAlign w:val="bottom"/>
          </w:tcPr>
          <w:p>
            <w:pPr>
              <w:ind w:left="20"/>
              <w:spacing w:after="0"/>
              <w:rPr>
                <w:sz w:val="20"/>
                <w:szCs w:val="20"/>
                <w:color w:val="auto"/>
              </w:rPr>
            </w:pPr>
            <w:r>
              <w:rPr>
                <w:rFonts w:ascii="Arial" w:cs="Arial" w:eastAsia="Arial" w:hAnsi="Arial"/>
                <w:sz w:val="14"/>
                <w:szCs w:val="14"/>
                <w:color w:val="auto"/>
              </w:rPr>
              <w:t>Europe</w:t>
            </w:r>
          </w:p>
        </w:tc>
        <w:tc>
          <w:tcPr>
            <w:tcW w:w="40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4,966</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75</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4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5,041</w:t>
            </w:r>
          </w:p>
        </w:tc>
      </w:tr>
      <w:tr>
        <w:trPr>
          <w:trHeight w:val="274"/>
        </w:trPr>
        <w:tc>
          <w:tcPr>
            <w:tcW w:w="1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460</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410</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3,879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7,999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13,076</w:t>
            </w:r>
          </w:p>
        </w:tc>
      </w:tr>
      <w:tr>
        <w:trPr>
          <w:trHeight w:val="266"/>
        </w:trPr>
        <w:tc>
          <w:tcPr>
            <w:tcW w:w="1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South America</w:t>
            </w:r>
          </w:p>
        </w:tc>
        <w:tc>
          <w:tcPr>
            <w:tcW w:w="4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365</w:t>
            </w:r>
          </w:p>
        </w:tc>
        <w:tc>
          <w:tcPr>
            <w:tcW w:w="12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ind w:left="7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365</w:t>
            </w:r>
          </w:p>
        </w:tc>
      </w:tr>
      <w:tr>
        <w:trPr>
          <w:trHeight w:val="241"/>
        </w:trPr>
        <w:tc>
          <w:tcPr>
            <w:tcW w:w="1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17,953</w:t>
            </w:r>
          </w:p>
        </w:tc>
        <w:tc>
          <w:tcPr>
            <w:tcW w:w="620" w:type="dxa"/>
            <w:vAlign w:val="bottom"/>
            <w:gridSpan w:val="2"/>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485</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3,879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7,999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31,453</w:t>
            </w: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17" w:right="239" w:bottom="1440" w:gutter="0" w:footer="0" w:header="0"/>
        </w:sectPr>
      </w:pPr>
    </w:p>
    <w:bookmarkStart w:id="34" w:name="page35"/>
    <w:bookmarkEnd w:id="34"/>
    <w:p>
      <w:pPr>
        <w:ind w:right="382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5"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00497F"/>
        </w:rPr>
        <w:t>III. Balance Sheet and location of long-lived assets</w:t>
      </w:r>
    </w:p>
    <w:p>
      <w:pPr>
        <w:spacing w:after="0" w:line="169" w:lineRule="exact"/>
        <w:rPr>
          <w:sz w:val="20"/>
          <w:szCs w:val="20"/>
          <w:color w:val="auto"/>
        </w:rPr>
      </w:pPr>
    </w:p>
    <w:p>
      <w:pPr>
        <w:ind w:left="340" w:right="840"/>
        <w:spacing w:after="0" w:line="291" w:lineRule="auto"/>
        <w:rPr>
          <w:sz w:val="20"/>
          <w:szCs w:val="20"/>
          <w:color w:val="auto"/>
        </w:rPr>
      </w:pPr>
      <w:r>
        <w:rPr>
          <w:rFonts w:ascii="Arial" w:cs="Arial" w:eastAsia="Arial" w:hAnsi="Arial"/>
          <w:sz w:val="16"/>
          <w:szCs w:val="16"/>
          <w:color w:val="auto"/>
        </w:rPr>
        <w:t>The following tables sets forth summarized balance sheet information and the geographic location of property, plant and equipment and leasing equipment, net as of March 31, 2017 and December 31, 2016:</w:t>
      </w:r>
    </w:p>
    <w:p>
      <w:pPr>
        <w:spacing w:after="0" w:line="259"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March 31, 2017</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8"/>
          </w:tcPr>
          <w:p>
            <w:pPr>
              <w:jc w:val="center"/>
              <w:ind w:left="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Infrastructure</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Aviation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Offshore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Shipping</w:t>
            </w:r>
          </w:p>
        </w:tc>
        <w:tc>
          <w:tcPr>
            <w:tcW w:w="14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Jefferson</w:t>
            </w: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Ports and</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2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Leasing</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Energy</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Containers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9"/>
              </w:rPr>
              <w:t>Terminal</w:t>
            </w:r>
          </w:p>
        </w:tc>
        <w:tc>
          <w:tcPr>
            <w:tcW w:w="1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gridSpan w:val="2"/>
          </w:tcPr>
          <w:p>
            <w:pPr>
              <w:jc w:val="right"/>
              <w:ind w:right="128"/>
              <w:spacing w:after="0"/>
              <w:rPr>
                <w:sz w:val="20"/>
                <w:szCs w:val="20"/>
                <w:color w:val="auto"/>
              </w:rPr>
            </w:pPr>
            <w:r>
              <w:rPr>
                <w:rFonts w:ascii="Arial" w:cs="Arial" w:eastAsia="Arial" w:hAnsi="Arial"/>
                <w:sz w:val="14"/>
                <w:szCs w:val="14"/>
                <w:b w:val="1"/>
                <w:bCs w:val="1"/>
                <w:color w:val="auto"/>
              </w:rPr>
              <w:t>Railroad</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Terminals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Corporate</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8"/>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670,035</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232,693</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3,892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530,660</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40,014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74,184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207,620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1,759,098</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Debt, net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61,149</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185,119</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13,233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235,981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495,482</w:t>
            </w:r>
          </w:p>
        </w:tc>
        <w:tc>
          <w:tcPr>
            <w:tcW w:w="0" w:type="dxa"/>
            <w:vAlign w:val="bottom"/>
          </w:tcPr>
          <w:p>
            <w:pPr>
              <w:spacing w:after="0"/>
              <w:rPr>
                <w:sz w:val="1"/>
                <w:szCs w:val="1"/>
                <w:color w:val="auto"/>
              </w:rPr>
            </w:pPr>
          </w:p>
        </w:tc>
      </w:tr>
      <w:tr>
        <w:trPr>
          <w:trHeight w:val="319"/>
        </w:trPr>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85,016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65,383</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199,526</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24,409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6,693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241,510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622,537</w:t>
            </w:r>
          </w:p>
        </w:tc>
        <w:tc>
          <w:tcPr>
            <w:tcW w:w="0" w:type="dxa"/>
            <w:vAlign w:val="bottom"/>
          </w:tcPr>
          <w:p>
            <w:pPr>
              <w:spacing w:after="0"/>
              <w:rPr>
                <w:sz w:val="1"/>
                <w:szCs w:val="1"/>
                <w:color w:val="auto"/>
              </w:rPr>
            </w:pPr>
          </w:p>
        </w:tc>
      </w:tr>
      <w:tr>
        <w:trPr>
          <w:trHeight w:val="319"/>
        </w:trPr>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interests in equity</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1,252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3,076</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99,789</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2,146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370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524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107,157</w:t>
            </w:r>
          </w:p>
        </w:tc>
        <w:tc>
          <w:tcPr>
            <w:tcW w:w="0" w:type="dxa"/>
            <w:vAlign w:val="bottom"/>
          </w:tcPr>
          <w:p>
            <w:pPr>
              <w:spacing w:after="0"/>
              <w:rPr>
                <w:sz w:val="1"/>
                <w:szCs w:val="1"/>
                <w:color w:val="auto"/>
              </w:rPr>
            </w:pPr>
          </w:p>
        </w:tc>
      </w:tr>
      <w:tr>
        <w:trPr>
          <w:trHeight w:val="189"/>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 consolidated subsidiaries</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equity</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585,019</w:t>
            </w: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167,310</w:t>
            </w:r>
          </w:p>
        </w:tc>
        <w:tc>
          <w:tcPr>
            <w:tcW w:w="100" w:type="dxa"/>
            <w:vAlign w:val="bottom"/>
            <w:tcBorders>
              <w:bottom w:val="single" w:sz="8" w:color="auto"/>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3,892</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331,134</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15,605</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67,491</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(33,890)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1,136,561</w:t>
            </w:r>
          </w:p>
        </w:tc>
        <w:tc>
          <w:tcPr>
            <w:tcW w:w="0" w:type="dxa"/>
            <w:vAlign w:val="bottom"/>
          </w:tcPr>
          <w:p>
            <w:pPr>
              <w:spacing w:after="0"/>
              <w:rPr>
                <w:sz w:val="1"/>
                <w:szCs w:val="1"/>
                <w:color w:val="auto"/>
              </w:rPr>
            </w:pPr>
          </w:p>
        </w:tc>
      </w:tr>
      <w:tr>
        <w:trPr>
          <w:trHeight w:val="292"/>
        </w:trPr>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and equity</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670,035</w:t>
            </w: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232,693</w:t>
            </w:r>
          </w:p>
        </w:tc>
        <w:tc>
          <w:tcPr>
            <w:tcW w:w="10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3,892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530,660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40,014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74,184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207,620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1,759,098</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2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March 31, 2017</w:t>
            </w: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2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Infrastructure</w:t>
            </w: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148"/>
              <w:spacing w:after="0"/>
              <w:rPr>
                <w:sz w:val="20"/>
                <w:szCs w:val="20"/>
                <w:color w:val="auto"/>
              </w:rPr>
            </w:pPr>
            <w:r>
              <w:rPr>
                <w:rFonts w:ascii="Arial" w:cs="Arial" w:eastAsia="Arial" w:hAnsi="Arial"/>
                <w:sz w:val="14"/>
                <w:szCs w:val="14"/>
                <w:b w:val="1"/>
                <w:bCs w:val="1"/>
                <w:color w:val="auto"/>
              </w:rPr>
              <w:t>Aviation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Offshore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Shipping</w:t>
            </w:r>
          </w:p>
        </w:tc>
        <w:tc>
          <w:tcPr>
            <w:tcW w:w="14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Jefferson</w:t>
            </w: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Ports and</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b w:val="1"/>
                <w:bCs w:val="1"/>
                <w:color w:val="auto"/>
              </w:rPr>
              <w:t>Leasing</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Energy</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gridSpan w:val="3"/>
          </w:tcPr>
          <w:p>
            <w:pPr>
              <w:ind w:left="40"/>
              <w:spacing w:after="0"/>
              <w:rPr>
                <w:sz w:val="20"/>
                <w:szCs w:val="20"/>
                <w:color w:val="auto"/>
              </w:rPr>
            </w:pPr>
            <w:r>
              <w:rPr>
                <w:rFonts w:ascii="Arial" w:cs="Arial" w:eastAsia="Arial" w:hAnsi="Arial"/>
                <w:sz w:val="14"/>
                <w:szCs w:val="14"/>
                <w:b w:val="1"/>
                <w:bCs w:val="1"/>
                <w:color w:val="auto"/>
              </w:rPr>
              <w:t>Containers</w:t>
            </w:r>
          </w:p>
        </w:tc>
        <w:tc>
          <w:tcPr>
            <w:tcW w:w="14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Terminal</w:t>
            </w:r>
          </w:p>
        </w:tc>
        <w:tc>
          <w:tcPr>
            <w:tcW w:w="10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Railroad</w:t>
            </w:r>
          </w:p>
        </w:tc>
        <w:tc>
          <w:tcPr>
            <w:tcW w:w="140" w:type="dxa"/>
            <w:vAlign w:val="bottom"/>
          </w:tcPr>
          <w:p>
            <w:pPr>
              <w:spacing w:after="0"/>
              <w:rPr>
                <w:sz w:val="17"/>
                <w:szCs w:val="17"/>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Terminals</w:t>
            </w:r>
          </w:p>
        </w:tc>
        <w:tc>
          <w:tcPr>
            <w:tcW w:w="12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Corporate</w:t>
            </w:r>
          </w:p>
        </w:tc>
        <w:tc>
          <w:tcPr>
            <w:tcW w:w="160" w:type="dxa"/>
            <w:vAlign w:val="bottom"/>
          </w:tcPr>
          <w:p>
            <w:pPr>
              <w:spacing w:after="0"/>
              <w:rPr>
                <w:sz w:val="17"/>
                <w:szCs w:val="17"/>
                <w:color w:val="auto"/>
              </w:rPr>
            </w:pPr>
          </w:p>
        </w:tc>
        <w:tc>
          <w:tcPr>
            <w:tcW w:w="820" w:type="dxa"/>
            <w:vAlign w:val="bottom"/>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5"/>
        </w:trPr>
        <w:tc>
          <w:tcPr>
            <w:tcW w:w="222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Property, plant and equipment</w:t>
            </w:r>
          </w:p>
        </w:tc>
        <w:tc>
          <w:tcPr>
            <w:tcW w:w="1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and leasing equipment, net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2220" w:type="dxa"/>
            <w:vAlign w:val="bottom"/>
          </w:tcPr>
          <w:p>
            <w:pPr>
              <w:ind w:left="20"/>
              <w:spacing w:after="0"/>
              <w:rPr>
                <w:sz w:val="20"/>
                <w:szCs w:val="20"/>
                <w:color w:val="auto"/>
              </w:rPr>
            </w:pPr>
            <w:r>
              <w:rPr>
                <w:rFonts w:ascii="Arial" w:cs="Arial" w:eastAsia="Arial" w:hAnsi="Arial"/>
                <w:sz w:val="14"/>
                <w:szCs w:val="14"/>
                <w:color w:val="auto"/>
              </w:rPr>
              <w:t>Africa</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40,775</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40,775</w:t>
            </w:r>
          </w:p>
        </w:tc>
        <w:tc>
          <w:tcPr>
            <w:tcW w:w="0" w:type="dxa"/>
            <w:vAlign w:val="bottom"/>
          </w:tcPr>
          <w:p>
            <w:pPr>
              <w:spacing w:after="0"/>
              <w:rPr>
                <w:sz w:val="1"/>
                <w:szCs w:val="1"/>
                <w:color w:val="auto"/>
              </w:rPr>
            </w:pPr>
          </w:p>
        </w:tc>
      </w:tr>
      <w:tr>
        <w:trPr>
          <w:trHeight w:val="271"/>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261,872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167,892</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429,764</w:t>
            </w:r>
          </w:p>
        </w:tc>
        <w:tc>
          <w:tcPr>
            <w:tcW w:w="0" w:type="dxa"/>
            <w:vAlign w:val="bottom"/>
          </w:tcPr>
          <w:p>
            <w:pPr>
              <w:spacing w:after="0"/>
              <w:rPr>
                <w:sz w:val="1"/>
                <w:szCs w:val="1"/>
                <w:color w:val="auto"/>
              </w:rPr>
            </w:pPr>
          </w:p>
        </w:tc>
      </w:tr>
      <w:tr>
        <w:trPr>
          <w:trHeight w:val="269"/>
        </w:trPr>
        <w:tc>
          <w:tcPr>
            <w:tcW w:w="2220" w:type="dxa"/>
            <w:vAlign w:val="bottom"/>
          </w:tcPr>
          <w:p>
            <w:pPr>
              <w:ind w:left="20"/>
              <w:spacing w:after="0"/>
              <w:rPr>
                <w:sz w:val="20"/>
                <w:szCs w:val="20"/>
                <w:color w:val="auto"/>
              </w:rPr>
            </w:pPr>
            <w:r>
              <w:rPr>
                <w:rFonts w:ascii="Arial" w:cs="Arial" w:eastAsia="Arial" w:hAnsi="Arial"/>
                <w:sz w:val="14"/>
                <w:szCs w:val="14"/>
                <w:color w:val="auto"/>
              </w:rPr>
              <w:t>Europe</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237,624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237,624</w:t>
            </w:r>
          </w:p>
        </w:tc>
        <w:tc>
          <w:tcPr>
            <w:tcW w:w="0" w:type="dxa"/>
            <w:vAlign w:val="bottom"/>
          </w:tcPr>
          <w:p>
            <w:pPr>
              <w:spacing w:after="0"/>
              <w:rPr>
                <w:sz w:val="1"/>
                <w:szCs w:val="1"/>
                <w:color w:val="auto"/>
              </w:rPr>
            </w:pPr>
          </w:p>
        </w:tc>
      </w:tr>
      <w:tr>
        <w:trPr>
          <w:trHeight w:val="271"/>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71,590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323,733</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30,235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51,204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476,762</w:t>
            </w:r>
          </w:p>
        </w:tc>
        <w:tc>
          <w:tcPr>
            <w:tcW w:w="0" w:type="dxa"/>
            <w:vAlign w:val="bottom"/>
          </w:tcPr>
          <w:p>
            <w:pPr>
              <w:spacing w:after="0"/>
              <w:rPr>
                <w:sz w:val="1"/>
                <w:szCs w:val="1"/>
                <w:color w:val="auto"/>
              </w:rPr>
            </w:pPr>
          </w:p>
        </w:tc>
      </w:tr>
      <w:tr>
        <w:trPr>
          <w:trHeight w:val="269"/>
        </w:trPr>
        <w:tc>
          <w:tcPr>
            <w:tcW w:w="2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South America</w:t>
            </w: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8,125</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8,125</w:t>
            </w:r>
          </w:p>
        </w:tc>
        <w:tc>
          <w:tcPr>
            <w:tcW w:w="0" w:type="dxa"/>
            <w:vAlign w:val="bottom"/>
          </w:tcPr>
          <w:p>
            <w:pPr>
              <w:spacing w:after="0"/>
              <w:rPr>
                <w:sz w:val="1"/>
                <w:szCs w:val="1"/>
                <w:color w:val="auto"/>
              </w:rPr>
            </w:pPr>
          </w:p>
        </w:tc>
      </w:tr>
      <w:tr>
        <w:trPr>
          <w:trHeight w:val="238"/>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619,986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167,892</w:t>
            </w:r>
          </w:p>
        </w:tc>
        <w:tc>
          <w:tcPr>
            <w:tcW w:w="10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323,733</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30,235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51,204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1,193,050</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17" w:right="239" w:bottom="1440" w:gutter="0" w:footer="0" w:header="0"/>
        </w:sectPr>
      </w:pPr>
    </w:p>
    <w:bookmarkStart w:id="35" w:name="page36"/>
    <w:bookmarkEnd w:id="35"/>
    <w:p>
      <w:pPr>
        <w:ind w:right="382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2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December 31, 2016</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3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Equipment Leasing</w:t>
            </w: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Infrastructure</w:t>
            </w: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4"/>
                <w:szCs w:val="14"/>
                <w:b w:val="1"/>
                <w:bCs w:val="1"/>
                <w:color w:val="auto"/>
              </w:rPr>
              <w:t>Aviation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Offshore</w:t>
            </w:r>
          </w:p>
        </w:tc>
        <w:tc>
          <w:tcPr>
            <w:tcW w:w="10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Shipping</w:t>
            </w:r>
          </w:p>
        </w:tc>
        <w:tc>
          <w:tcPr>
            <w:tcW w:w="12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Ports and</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3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Leasing</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Energy</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Containers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Terminal</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Railroad</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9"/>
              </w:rPr>
              <w:t>Terminals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Corporate</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8"/>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625,680</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220,544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4,333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534,638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40,428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63,331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58,358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1,547,312</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Debt, net</w:t>
            </w: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62,655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184,702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12,155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259,512</w:t>
            </w:r>
          </w:p>
        </w:tc>
        <w:tc>
          <w:tcPr>
            <w:tcW w:w="0" w:type="dxa"/>
            <w:vAlign w:val="bottom"/>
          </w:tcPr>
          <w:p>
            <w:pPr>
              <w:spacing w:after="0"/>
              <w:rPr>
                <w:sz w:val="1"/>
                <w:szCs w:val="1"/>
                <w:color w:val="auto"/>
              </w:rPr>
            </w:pPr>
          </w:p>
        </w:tc>
      </w:tr>
      <w:tr>
        <w:trPr>
          <w:trHeight w:val="322"/>
        </w:trPr>
        <w:tc>
          <w:tcPr>
            <w:tcW w:w="23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74,989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66,002</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205,536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24,971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6,287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3,847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381,632</w:t>
            </w:r>
          </w:p>
        </w:tc>
        <w:tc>
          <w:tcPr>
            <w:tcW w:w="0" w:type="dxa"/>
            <w:vAlign w:val="bottom"/>
          </w:tcPr>
          <w:p>
            <w:pPr>
              <w:spacing w:after="0"/>
              <w:rPr>
                <w:sz w:val="1"/>
                <w:szCs w:val="1"/>
                <w:color w:val="auto"/>
              </w:rPr>
            </w:pPr>
          </w:p>
        </w:tc>
      </w:tr>
      <w:tr>
        <w:trPr>
          <w:trHeight w:val="319"/>
        </w:trPr>
        <w:tc>
          <w:tcPr>
            <w:tcW w:w="23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interests in equity</w:t>
            </w:r>
          </w:p>
        </w:tc>
        <w:tc>
          <w:tcPr>
            <w:tcW w:w="16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1,334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3,325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104,087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2,114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483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525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111,868</w:t>
            </w:r>
          </w:p>
        </w:tc>
        <w:tc>
          <w:tcPr>
            <w:tcW w:w="0" w:type="dxa"/>
            <w:vAlign w:val="bottom"/>
          </w:tcPr>
          <w:p>
            <w:pPr>
              <w:spacing w:after="0"/>
              <w:rPr>
                <w:sz w:val="1"/>
                <w:szCs w:val="1"/>
                <w:color w:val="auto"/>
              </w:rPr>
            </w:pPr>
          </w:p>
        </w:tc>
      </w:tr>
      <w:tr>
        <w:trPr>
          <w:trHeight w:val="189"/>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 consolidated subsidiaries</w:t>
            </w:r>
          </w:p>
        </w:tc>
        <w:tc>
          <w:tcPr>
            <w:tcW w:w="16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equity</w:t>
            </w: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550,691</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154,542</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4,333</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329,102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15,457</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57,044</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54,511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1,165,680</w:t>
            </w:r>
          </w:p>
        </w:tc>
        <w:tc>
          <w:tcPr>
            <w:tcW w:w="0" w:type="dxa"/>
            <w:vAlign w:val="bottom"/>
          </w:tcPr>
          <w:p>
            <w:pPr>
              <w:spacing w:after="0"/>
              <w:rPr>
                <w:sz w:val="1"/>
                <w:szCs w:val="1"/>
                <w:color w:val="auto"/>
              </w:rPr>
            </w:pPr>
          </w:p>
        </w:tc>
      </w:tr>
      <w:tr>
        <w:trPr>
          <w:trHeight w:val="292"/>
        </w:trPr>
        <w:tc>
          <w:tcPr>
            <w:tcW w:w="2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625,680</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220,544</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4,333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534,638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40,428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63,331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58,358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1,547,312</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2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December 31, 2016</w:t>
            </w: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3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Equipment Leasing</w:t>
            </w: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Infrastructure</w:t>
            </w: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4"/>
                <w:szCs w:val="14"/>
                <w:b w:val="1"/>
                <w:bCs w:val="1"/>
                <w:color w:val="auto"/>
              </w:rPr>
              <w:t>Aviation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Offshore</w:t>
            </w:r>
          </w:p>
        </w:tc>
        <w:tc>
          <w:tcPr>
            <w:tcW w:w="10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Shipping</w:t>
            </w:r>
          </w:p>
        </w:tc>
        <w:tc>
          <w:tcPr>
            <w:tcW w:w="12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Ports and</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ind w:left="80"/>
              <w:spacing w:after="0"/>
              <w:rPr>
                <w:sz w:val="20"/>
                <w:szCs w:val="20"/>
                <w:color w:val="auto"/>
              </w:rPr>
            </w:pPr>
            <w:r>
              <w:rPr>
                <w:rFonts w:ascii="Arial" w:cs="Arial" w:eastAsia="Arial" w:hAnsi="Arial"/>
                <w:sz w:val="14"/>
                <w:szCs w:val="14"/>
                <w:b w:val="1"/>
                <w:bCs w:val="1"/>
                <w:color w:val="auto"/>
              </w:rPr>
              <w:t>Leasing</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Energy</w:t>
            </w:r>
          </w:p>
        </w:tc>
        <w:tc>
          <w:tcPr>
            <w:tcW w:w="10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Containers</w:t>
            </w:r>
          </w:p>
        </w:tc>
        <w:tc>
          <w:tcPr>
            <w:tcW w:w="12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Terminal</w:t>
            </w:r>
          </w:p>
        </w:tc>
        <w:tc>
          <w:tcPr>
            <w:tcW w:w="160" w:type="dxa"/>
            <w:vAlign w:val="bottom"/>
          </w:tcPr>
          <w:p>
            <w:pPr>
              <w:spacing w:after="0"/>
              <w:rPr>
                <w:sz w:val="17"/>
                <w:szCs w:val="17"/>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Railroad</w:t>
            </w:r>
          </w:p>
        </w:tc>
        <w:tc>
          <w:tcPr>
            <w:tcW w:w="14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9"/>
              </w:rPr>
              <w:t>Terminals</w:t>
            </w:r>
          </w:p>
        </w:tc>
        <w:tc>
          <w:tcPr>
            <w:tcW w:w="120" w:type="dxa"/>
            <w:vAlign w:val="bottom"/>
          </w:tcPr>
          <w:p>
            <w:pPr>
              <w:spacing w:after="0"/>
              <w:rPr>
                <w:sz w:val="17"/>
                <w:szCs w:val="17"/>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Corporate</w:t>
            </w:r>
          </w:p>
        </w:tc>
        <w:tc>
          <w:tcPr>
            <w:tcW w:w="180" w:type="dxa"/>
            <w:vAlign w:val="bottom"/>
          </w:tcPr>
          <w:p>
            <w:pPr>
              <w:spacing w:after="0"/>
              <w:rPr>
                <w:sz w:val="17"/>
                <w:szCs w:val="17"/>
                <w:color w:val="auto"/>
              </w:rPr>
            </w:pPr>
          </w:p>
        </w:tc>
        <w:tc>
          <w:tcPr>
            <w:tcW w:w="820" w:type="dxa"/>
            <w:vAlign w:val="bottom"/>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5"/>
        </w:trPr>
        <w:tc>
          <w:tcPr>
            <w:tcW w:w="232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Property, plant and equipment</w:t>
            </w:r>
          </w:p>
        </w:tc>
        <w:tc>
          <w:tcPr>
            <w:tcW w:w="16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and leasing equipment, net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2320" w:type="dxa"/>
            <w:vAlign w:val="bottom"/>
          </w:tcPr>
          <w:p>
            <w:pPr>
              <w:ind w:left="20"/>
              <w:spacing w:after="0"/>
              <w:rPr>
                <w:sz w:val="20"/>
                <w:szCs w:val="20"/>
                <w:color w:val="auto"/>
              </w:rPr>
            </w:pPr>
            <w:r>
              <w:rPr>
                <w:rFonts w:ascii="Arial" w:cs="Arial" w:eastAsia="Arial" w:hAnsi="Arial"/>
                <w:sz w:val="14"/>
                <w:szCs w:val="14"/>
                <w:color w:val="auto"/>
              </w:rPr>
              <w:t>Africa</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51,136</w:t>
            </w:r>
          </w:p>
        </w:tc>
        <w:tc>
          <w:tcPr>
            <w:tcW w:w="3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ind w:left="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51,136</w:t>
            </w:r>
          </w:p>
        </w:tc>
        <w:tc>
          <w:tcPr>
            <w:tcW w:w="0" w:type="dxa"/>
            <w:vAlign w:val="bottom"/>
          </w:tcPr>
          <w:p>
            <w:pPr>
              <w:spacing w:after="0"/>
              <w:rPr>
                <w:sz w:val="1"/>
                <w:szCs w:val="1"/>
                <w:color w:val="auto"/>
              </w:rPr>
            </w:pPr>
          </w:p>
        </w:tc>
      </w:tr>
      <w:tr>
        <w:trPr>
          <w:trHeight w:val="274"/>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212,635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169,499</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382,134</w:t>
            </w:r>
          </w:p>
        </w:tc>
        <w:tc>
          <w:tcPr>
            <w:tcW w:w="0" w:type="dxa"/>
            <w:vAlign w:val="bottom"/>
          </w:tcPr>
          <w:p>
            <w:pPr>
              <w:spacing w:after="0"/>
              <w:rPr>
                <w:sz w:val="1"/>
                <w:szCs w:val="1"/>
                <w:color w:val="auto"/>
              </w:rPr>
            </w:pPr>
          </w:p>
        </w:tc>
      </w:tr>
      <w:tr>
        <w:trPr>
          <w:trHeight w:val="266"/>
        </w:trPr>
        <w:tc>
          <w:tcPr>
            <w:tcW w:w="2320" w:type="dxa"/>
            <w:vAlign w:val="bottom"/>
          </w:tcPr>
          <w:p>
            <w:pPr>
              <w:ind w:left="20"/>
              <w:spacing w:after="0"/>
              <w:rPr>
                <w:sz w:val="20"/>
                <w:szCs w:val="20"/>
                <w:color w:val="auto"/>
              </w:rPr>
            </w:pPr>
            <w:r>
              <w:rPr>
                <w:rFonts w:ascii="Arial" w:cs="Arial" w:eastAsia="Arial" w:hAnsi="Arial"/>
                <w:sz w:val="14"/>
                <w:szCs w:val="14"/>
                <w:color w:val="auto"/>
              </w:rPr>
              <w:t>Europe</w:t>
            </w: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225,934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225,934</w:t>
            </w:r>
          </w:p>
        </w:tc>
        <w:tc>
          <w:tcPr>
            <w:tcW w:w="0" w:type="dxa"/>
            <w:vAlign w:val="bottom"/>
          </w:tcPr>
          <w:p>
            <w:pPr>
              <w:spacing w:after="0"/>
              <w:rPr>
                <w:sz w:val="1"/>
                <w:szCs w:val="1"/>
                <w:color w:val="auto"/>
              </w:rPr>
            </w:pPr>
          </w:p>
        </w:tc>
      </w:tr>
      <w:tr>
        <w:trPr>
          <w:trHeight w:val="274"/>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56,456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319,503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29,866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44,486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450,311</w:t>
            </w:r>
          </w:p>
        </w:tc>
        <w:tc>
          <w:tcPr>
            <w:tcW w:w="0" w:type="dxa"/>
            <w:vAlign w:val="bottom"/>
          </w:tcPr>
          <w:p>
            <w:pPr>
              <w:spacing w:after="0"/>
              <w:rPr>
                <w:sz w:val="1"/>
                <w:szCs w:val="1"/>
                <w:color w:val="auto"/>
              </w:rPr>
            </w:pPr>
          </w:p>
        </w:tc>
      </w:tr>
      <w:tr>
        <w:trPr>
          <w:trHeight w:val="266"/>
        </w:trPr>
        <w:tc>
          <w:tcPr>
            <w:tcW w:w="2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South America</w:t>
            </w:r>
          </w:p>
        </w:tc>
        <w:tc>
          <w:tcPr>
            <w:tcW w:w="1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8,121</w:t>
            </w: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8,121</w:t>
            </w:r>
          </w:p>
        </w:tc>
        <w:tc>
          <w:tcPr>
            <w:tcW w:w="0" w:type="dxa"/>
            <w:vAlign w:val="bottom"/>
          </w:tcPr>
          <w:p>
            <w:pPr>
              <w:spacing w:after="0"/>
              <w:rPr>
                <w:sz w:val="1"/>
                <w:szCs w:val="1"/>
                <w:color w:val="auto"/>
              </w:rPr>
            </w:pPr>
          </w:p>
        </w:tc>
      </w:tr>
      <w:tr>
        <w:trPr>
          <w:trHeight w:val="241"/>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554,282</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169,499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319,503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29,866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44,486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1,117,636</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15. EARNINGS PER SHARE</w:t>
      </w:r>
    </w:p>
    <w:p>
      <w:pPr>
        <w:spacing w:after="0" w:line="171" w:lineRule="exact"/>
        <w:rPr>
          <w:sz w:val="20"/>
          <w:szCs w:val="20"/>
          <w:color w:val="auto"/>
        </w:rPr>
      </w:pPr>
    </w:p>
    <w:p>
      <w:pPr>
        <w:jc w:val="both"/>
        <w:ind w:left="340"/>
        <w:spacing w:after="0" w:line="269" w:lineRule="auto"/>
        <w:rPr>
          <w:sz w:val="20"/>
          <w:szCs w:val="20"/>
          <w:color w:val="auto"/>
        </w:rPr>
      </w:pPr>
      <w:r>
        <w:rPr>
          <w:rFonts w:ascii="Arial" w:cs="Arial" w:eastAsia="Arial" w:hAnsi="Arial"/>
          <w:sz w:val="16"/>
          <w:szCs w:val="16"/>
          <w:color w:val="auto"/>
        </w:rPr>
        <w:t>Basic earnings (loss) per share (“EPS”) is calculated by dividing net income (loss) attributable to the Company by the weighted average number of shares of common stock outstanding. Diluted EPS is calculated by dividing net income (loss) attributable to the Company by the weighted average number of shares of common stock outstanding, plus potentially dilutive securities. Potentially dilutive securities are calculated using the treasury stock method.</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calculation of basic and diluted EPS is presented below.</w:t>
      </w:r>
    </w:p>
    <w:p>
      <w:pPr>
        <w:spacing w:after="0" w:line="359" w:lineRule="exact"/>
        <w:rPr>
          <w:sz w:val="20"/>
          <w:szCs w:val="20"/>
          <w:color w:val="auto"/>
        </w:rPr>
      </w:pPr>
    </w:p>
    <w:tbl>
      <w:tblPr>
        <w:tblLayout w:type="fixed"/>
        <w:tblInd w:w="340" w:type="dxa"/>
        <w:tblCellMar>
          <w:top w:w="0" w:type="dxa"/>
          <w:left w:w="0" w:type="dxa"/>
          <w:bottom w:w="0" w:type="dxa"/>
          <w:right w:w="0" w:type="dxa"/>
        </w:tblCellMar>
      </w:tblPr>
      <w:tr>
        <w:trPr>
          <w:trHeight w:val="202"/>
        </w:trPr>
        <w:tc>
          <w:tcPr>
            <w:tcW w:w="6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540" w:type="dxa"/>
            <w:vAlign w:val="bottom"/>
            <w:gridSpan w:val="4"/>
          </w:tcPr>
          <w:p>
            <w:pPr>
              <w:jc w:val="right"/>
              <w:ind w:right="888"/>
              <w:spacing w:after="0"/>
              <w:rPr>
                <w:sz w:val="20"/>
                <w:szCs w:val="20"/>
                <w:color w:val="auto"/>
              </w:rPr>
            </w:pPr>
            <w:r>
              <w:rPr>
                <w:rFonts w:ascii="Arial" w:cs="Arial" w:eastAsia="Arial" w:hAnsi="Arial"/>
                <w:sz w:val="14"/>
                <w:szCs w:val="14"/>
                <w:b w:val="1"/>
                <w:bCs w:val="1"/>
                <w:color w:val="auto"/>
              </w:rPr>
              <w:t>Three Months Ended March 31,</w:t>
            </w:r>
          </w:p>
        </w:tc>
      </w:tr>
      <w:tr>
        <w:trPr>
          <w:trHeight w:val="29"/>
        </w:trPr>
        <w:tc>
          <w:tcPr>
            <w:tcW w:w="69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3"/>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5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2016</w:t>
            </w:r>
          </w:p>
        </w:tc>
      </w:tr>
      <w:tr>
        <w:trPr>
          <w:trHeight w:val="251"/>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attributable to shareholders</w:t>
            </w:r>
          </w:p>
        </w:tc>
        <w:tc>
          <w:tcPr>
            <w:tcW w:w="540" w:type="dxa"/>
            <w:vAlign w:val="bottom"/>
            <w:shd w:val="clear" w:color="auto" w:fill="CCEEFF"/>
          </w:tcPr>
          <w:p>
            <w:pPr>
              <w:jc w:val="right"/>
              <w:ind w:right="348"/>
              <w:spacing w:after="0"/>
              <w:rPr>
                <w:sz w:val="20"/>
                <w:szCs w:val="20"/>
                <w:color w:val="auto"/>
              </w:rPr>
            </w:pPr>
            <w:r>
              <w:rPr>
                <w:rFonts w:ascii="Arial" w:cs="Arial" w:eastAsia="Arial" w:hAnsi="Arial"/>
                <w:sz w:val="14"/>
                <w:szCs w:val="14"/>
                <w:b w:val="1"/>
                <w:bCs w:val="1"/>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(4,414)</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(5,782)</w:t>
            </w:r>
          </w:p>
        </w:tc>
      </w:tr>
      <w:tr>
        <w:trPr>
          <w:trHeight w:val="269"/>
        </w:trPr>
        <w:tc>
          <w:tcPr>
            <w:tcW w:w="6940" w:type="dxa"/>
            <w:vAlign w:val="bottom"/>
          </w:tcPr>
          <w:p>
            <w:pPr>
              <w:ind w:left="20"/>
              <w:spacing w:after="0"/>
              <w:rPr>
                <w:sz w:val="20"/>
                <w:szCs w:val="20"/>
                <w:color w:val="auto"/>
              </w:rPr>
            </w:pPr>
            <w:r>
              <w:rPr>
                <w:rFonts w:ascii="Arial" w:cs="Arial" w:eastAsia="Arial" w:hAnsi="Arial"/>
                <w:sz w:val="14"/>
                <w:szCs w:val="14"/>
                <w:color w:val="auto"/>
              </w:rPr>
              <w:t>Weighted Average Shares Outstanding - Basic</w:t>
            </w:r>
          </w:p>
        </w:tc>
        <w:tc>
          <w:tcPr>
            <w:tcW w:w="540" w:type="dxa"/>
            <w:vAlign w:val="bottom"/>
          </w:tcPr>
          <w:p>
            <w:pPr>
              <w:spacing w:after="0"/>
              <w:rPr>
                <w:sz w:val="23"/>
                <w:szCs w:val="23"/>
                <w:color w:val="auto"/>
              </w:rPr>
            </w:pPr>
          </w:p>
        </w:tc>
        <w:tc>
          <w:tcPr>
            <w:tcW w:w="1660" w:type="dxa"/>
            <w:vAlign w:val="bottom"/>
          </w:tcPr>
          <w:p>
            <w:pPr>
              <w:jc w:val="right"/>
              <w:ind w:right="28"/>
              <w:spacing w:after="0"/>
              <w:rPr>
                <w:sz w:val="20"/>
                <w:szCs w:val="20"/>
                <w:color w:val="auto"/>
              </w:rPr>
            </w:pPr>
            <w:r>
              <w:rPr>
                <w:rFonts w:ascii="Arial" w:cs="Arial" w:eastAsia="Arial" w:hAnsi="Arial"/>
                <w:sz w:val="14"/>
                <w:szCs w:val="14"/>
                <w:b w:val="1"/>
                <w:bCs w:val="1"/>
                <w:color w:val="auto"/>
              </w:rPr>
              <w:t>75,762,283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75,727,369</w:t>
            </w:r>
          </w:p>
        </w:tc>
      </w:tr>
      <w:tr>
        <w:trPr>
          <w:trHeight w:val="271"/>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Shares Outstanding - Diluted</w:t>
            </w:r>
          </w:p>
        </w:tc>
        <w:tc>
          <w:tcPr>
            <w:tcW w:w="54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75,762,283</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75,727,369</w:t>
            </w:r>
          </w:p>
        </w:tc>
      </w:tr>
      <w:tr>
        <w:trPr>
          <w:trHeight w:val="324"/>
        </w:trPr>
        <w:tc>
          <w:tcPr>
            <w:tcW w:w="6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0"/>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 and Diluted EPS</w:t>
            </w:r>
          </w:p>
        </w:tc>
        <w:tc>
          <w:tcPr>
            <w:tcW w:w="540" w:type="dxa"/>
            <w:vAlign w:val="bottom"/>
            <w:shd w:val="clear" w:color="auto" w:fill="CCEEFF"/>
          </w:tcPr>
          <w:p>
            <w:pPr>
              <w:jc w:val="right"/>
              <w:ind w:right="348"/>
              <w:spacing w:after="0"/>
              <w:rPr>
                <w:sz w:val="20"/>
                <w:szCs w:val="20"/>
                <w:color w:val="auto"/>
              </w:rPr>
            </w:pPr>
            <w:r>
              <w:rPr>
                <w:rFonts w:ascii="Arial" w:cs="Arial" w:eastAsia="Arial" w:hAnsi="Arial"/>
                <w:sz w:val="14"/>
                <w:szCs w:val="14"/>
                <w:b w:val="1"/>
                <w:bCs w:val="1"/>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(0.06)</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(0.08)</w:t>
            </w:r>
          </w:p>
        </w:tc>
      </w:tr>
    </w:tbl>
    <w:p>
      <w:pPr>
        <w:spacing w:after="0" w:line="144" w:lineRule="exact"/>
        <w:rPr>
          <w:sz w:val="20"/>
          <w:szCs w:val="20"/>
          <w:color w:val="auto"/>
        </w:rPr>
      </w:pPr>
    </w:p>
    <w:p>
      <w:pPr>
        <w:ind w:left="340"/>
        <w:spacing w:after="0" w:line="291" w:lineRule="auto"/>
        <w:rPr>
          <w:sz w:val="20"/>
          <w:szCs w:val="20"/>
          <w:color w:val="auto"/>
        </w:rPr>
      </w:pPr>
      <w:r>
        <w:rPr>
          <w:rFonts w:ascii="Arial" w:cs="Arial" w:eastAsia="Arial" w:hAnsi="Arial"/>
          <w:sz w:val="16"/>
          <w:szCs w:val="16"/>
          <w:color w:val="auto"/>
        </w:rPr>
        <w:t>For the three months ended March 31, 2017, 2,149 shares have been excluded from the calculation of Diluted EPS because the impact would be anti-dilutive.</w:t>
      </w:r>
    </w:p>
    <w:p>
      <w:pPr>
        <w:sectPr>
          <w:pgSz w:w="11900" w:h="16838" w:orient="portrait"/>
          <w:cols w:equalWidth="0" w:num="1">
            <w:col w:w="11420"/>
          </w:cols>
          <w:pgMar w:left="240" w:top="117" w:right="239" w:bottom="1440" w:gutter="0" w:footer="0" w:header="0"/>
        </w:sectPr>
      </w:pP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17" w:right="239" w:bottom="1440" w:gutter="0" w:footer="0" w:header="0"/>
          <w:type w:val="continuous"/>
        </w:sectPr>
      </w:pPr>
    </w:p>
    <w:bookmarkStart w:id="36" w:name="page37"/>
    <w:bookmarkEnd w:id="36"/>
    <w:p>
      <w:pPr>
        <w:ind w:right="382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16. COMMITMENTS AND CONTINGENCIES</w:t>
      </w:r>
    </w:p>
    <w:p>
      <w:pPr>
        <w:spacing w:after="0" w:line="171" w:lineRule="exact"/>
        <w:rPr>
          <w:sz w:val="20"/>
          <w:szCs w:val="20"/>
          <w:color w:val="auto"/>
        </w:rPr>
      </w:pPr>
    </w:p>
    <w:p>
      <w:pPr>
        <w:jc w:val="both"/>
        <w:ind w:left="340"/>
        <w:spacing w:after="0" w:line="254" w:lineRule="auto"/>
        <w:rPr>
          <w:sz w:val="20"/>
          <w:szCs w:val="20"/>
          <w:color w:val="auto"/>
        </w:rPr>
      </w:pPr>
      <w:r>
        <w:rPr>
          <w:rFonts w:ascii="Arial" w:cs="Arial" w:eastAsia="Arial" w:hAnsi="Arial"/>
          <w:sz w:val="16"/>
          <w:szCs w:val="16"/>
          <w:color w:val="auto"/>
        </w:rPr>
        <w:t>In the normal course of business the Company and its subsidiaries may be involved in various claims, legal proceedings, or may enter into contracts that contain a variety of representations and warranties and which provide general indemnifications. Within the Company’s Offshore Energy segment, lessees have asserted that they are entitled to certain reimbursable expenses or adjustments per the terms of the related charter agreement. Although the Company believes it has strong defenses against these claims, the range of potential damages is $0 to $10,306. No amount has been recorded for this matter in the Company’s consolidated financial statements as of March 31, 2017, and the Company will continue to vigorously defend against these claims. The Company’s maximum exposure under other arrangements is unknown as no additional claims have been made. The Company believes the risk of loss in connection with such arrangements is remote.</w:t>
      </w:r>
    </w:p>
    <w:p>
      <w:pPr>
        <w:spacing w:after="0" w:line="123" w:lineRule="exact"/>
        <w:rPr>
          <w:sz w:val="20"/>
          <w:szCs w:val="20"/>
          <w:color w:val="auto"/>
        </w:rPr>
      </w:pPr>
    </w:p>
    <w:p>
      <w:pPr>
        <w:jc w:val="both"/>
        <w:ind w:left="340"/>
        <w:spacing w:after="0" w:line="269" w:lineRule="auto"/>
        <w:rPr>
          <w:sz w:val="20"/>
          <w:szCs w:val="20"/>
          <w:color w:val="auto"/>
        </w:rPr>
      </w:pPr>
      <w:r>
        <w:rPr>
          <w:rFonts w:ascii="Arial" w:cs="Arial" w:eastAsia="Arial" w:hAnsi="Arial"/>
          <w:sz w:val="16"/>
          <w:szCs w:val="16"/>
          <w:color w:val="auto"/>
        </w:rPr>
        <w:t>The Company has also entered into an arrangement with its non-controlling interest holder of Repauno, whereby the non-controlling interest holder may receive additional payments contingent upon the achievement of certain service conditions, not to exceed $15,000. The Company will account for such amounts when and if such service conditions are achieved.</w:t>
      </w:r>
    </w:p>
    <w:p>
      <w:pPr>
        <w:spacing w:after="0" w:line="11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Several of the Company’s subsidiaries are lessees under various operating and capital leases. Total rent expense for operating leases was as follows:</w:t>
      </w:r>
    </w:p>
    <w:p>
      <w:pPr>
        <w:spacing w:after="0" w:line="386" w:lineRule="exact"/>
        <w:rPr>
          <w:sz w:val="20"/>
          <w:szCs w:val="20"/>
          <w:color w:val="auto"/>
        </w:rPr>
      </w:pPr>
    </w:p>
    <w:p>
      <w:pPr>
        <w:ind w:left="848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27305</wp:posOffset>
            </wp:positionV>
            <wp:extent cx="23069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103"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738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2016</w:t>
            </w:r>
          </w:p>
        </w:tc>
      </w:tr>
      <w:tr>
        <w:trPr>
          <w:trHeight w:val="251"/>
        </w:trPr>
        <w:tc>
          <w:tcPr>
            <w:tcW w:w="73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Rent expense</w:t>
            </w:r>
          </w:p>
        </w:tc>
        <w:tc>
          <w:tcPr>
            <w:tcW w:w="1180" w:type="dxa"/>
            <w:vAlign w:val="bottom"/>
            <w:shd w:val="clear" w:color="auto" w:fill="CCEEFF"/>
          </w:tcPr>
          <w:p>
            <w:pPr>
              <w:jc w:val="right"/>
              <w:ind w:right="1008"/>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1,241</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1,214</w:t>
            </w:r>
          </w:p>
        </w:tc>
      </w:tr>
      <w:tr>
        <w:trPr>
          <w:trHeight w:val="363"/>
        </w:trPr>
        <w:tc>
          <w:tcPr>
            <w:tcW w:w="8560" w:type="dxa"/>
            <w:vAlign w:val="bottom"/>
            <w:gridSpan w:val="2"/>
          </w:tcPr>
          <w:p>
            <w:pPr>
              <w:spacing w:after="0"/>
              <w:rPr>
                <w:sz w:val="20"/>
                <w:szCs w:val="20"/>
                <w:color w:val="auto"/>
              </w:rPr>
            </w:pPr>
            <w:r>
              <w:rPr>
                <w:rFonts w:ascii="Arial" w:cs="Arial" w:eastAsia="Arial" w:hAnsi="Arial"/>
                <w:sz w:val="16"/>
                <w:szCs w:val="16"/>
                <w:color w:val="auto"/>
              </w:rPr>
              <w:t>As of March 31, 2017, minimum future rental payments under operating and capital leases are as follows:</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98"/>
        </w:trPr>
        <w:tc>
          <w:tcPr>
            <w:tcW w:w="7380" w:type="dxa"/>
            <w:vAlign w:val="bottom"/>
          </w:tcPr>
          <w:p>
            <w:pPr>
              <w:ind w:left="20"/>
              <w:spacing w:after="0"/>
              <w:rPr>
                <w:sz w:val="20"/>
                <w:szCs w:val="20"/>
                <w:color w:val="auto"/>
              </w:rPr>
            </w:pPr>
            <w:r>
              <w:rPr>
                <w:rFonts w:ascii="Arial" w:cs="Arial" w:eastAsia="Arial" w:hAnsi="Arial"/>
                <w:sz w:val="14"/>
                <w:szCs w:val="14"/>
                <w:color w:val="auto"/>
              </w:rPr>
              <w:t>2017</w:t>
            </w: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4,886</w:t>
            </w:r>
          </w:p>
        </w:tc>
      </w:tr>
      <w:tr>
        <w:trPr>
          <w:trHeight w:val="220"/>
        </w:trPr>
        <w:tc>
          <w:tcPr>
            <w:tcW w:w="7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2018</w:t>
            </w: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6,050</w:t>
            </w:r>
          </w:p>
        </w:tc>
      </w:tr>
      <w:tr>
        <w:trPr>
          <w:trHeight w:val="212"/>
        </w:trPr>
        <w:tc>
          <w:tcPr>
            <w:tcW w:w="7380" w:type="dxa"/>
            <w:vAlign w:val="bottom"/>
          </w:tcPr>
          <w:p>
            <w:pPr>
              <w:ind w:left="20"/>
              <w:spacing w:after="0"/>
              <w:rPr>
                <w:sz w:val="20"/>
                <w:szCs w:val="20"/>
                <w:color w:val="auto"/>
              </w:rPr>
            </w:pPr>
            <w:r>
              <w:rPr>
                <w:rFonts w:ascii="Arial" w:cs="Arial" w:eastAsia="Arial" w:hAnsi="Arial"/>
                <w:sz w:val="14"/>
                <w:szCs w:val="14"/>
                <w:color w:val="auto"/>
              </w:rPr>
              <w:t>2019</w:t>
            </w: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5,888</w:t>
            </w:r>
          </w:p>
        </w:tc>
      </w:tr>
      <w:tr>
        <w:trPr>
          <w:trHeight w:val="220"/>
        </w:trPr>
        <w:tc>
          <w:tcPr>
            <w:tcW w:w="7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5,219</w:t>
            </w:r>
          </w:p>
        </w:tc>
      </w:tr>
      <w:tr>
        <w:trPr>
          <w:trHeight w:val="212"/>
        </w:trPr>
        <w:tc>
          <w:tcPr>
            <w:tcW w:w="7380" w:type="dxa"/>
            <w:vAlign w:val="bottom"/>
          </w:tcPr>
          <w:p>
            <w:pPr>
              <w:ind w:left="20"/>
              <w:spacing w:after="0"/>
              <w:rPr>
                <w:sz w:val="20"/>
                <w:szCs w:val="20"/>
                <w:color w:val="auto"/>
              </w:rPr>
            </w:pPr>
            <w:r>
              <w:rPr>
                <w:rFonts w:ascii="Arial" w:cs="Arial" w:eastAsia="Arial" w:hAnsi="Arial"/>
                <w:sz w:val="14"/>
                <w:szCs w:val="14"/>
                <w:color w:val="auto"/>
              </w:rPr>
              <w:t>2021</w:t>
            </w: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4,185</w:t>
            </w: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Thereafter</w:t>
            </w: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73,292</w:t>
            </w:r>
          </w:p>
        </w:tc>
      </w:tr>
      <w:tr>
        <w:trPr>
          <w:trHeight w:val="214"/>
        </w:trPr>
        <w:tc>
          <w:tcPr>
            <w:tcW w:w="738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99,520</w:t>
            </w:r>
          </w:p>
        </w:tc>
      </w:tr>
      <w:tr>
        <w:trPr>
          <w:trHeight w:val="20"/>
        </w:trPr>
        <w:tc>
          <w:tcPr>
            <w:tcW w:w="7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17. SUBSEQUENT EVENTS</w:t>
      </w:r>
    </w:p>
    <w:p>
      <w:pPr>
        <w:spacing w:after="0" w:line="171" w:lineRule="exact"/>
        <w:rPr>
          <w:sz w:val="20"/>
          <w:szCs w:val="20"/>
          <w:color w:val="auto"/>
        </w:rPr>
      </w:pPr>
    </w:p>
    <w:p>
      <w:pPr>
        <w:ind w:left="340" w:firstLine="648"/>
        <w:spacing w:after="0" w:line="291" w:lineRule="auto"/>
        <w:rPr>
          <w:sz w:val="20"/>
          <w:szCs w:val="20"/>
          <w:color w:val="auto"/>
        </w:rPr>
      </w:pPr>
      <w:r>
        <w:rPr>
          <w:rFonts w:ascii="Arial" w:cs="Arial" w:eastAsia="Arial" w:hAnsi="Arial"/>
          <w:sz w:val="16"/>
          <w:szCs w:val="16"/>
          <w:color w:val="auto"/>
        </w:rPr>
        <w:t>On May 4, 2017, the Company’s Board of Directors declared a cash dividend on its common shares of $0.33 per share for the quarter ended March 31, 2017, payable on May 26, 2017 to the holders of record on May 18, 2017.</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17"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006EBF"/>
        </w:rPr>
        <w:t>Item 2. Management’s Discussion and Analysis of Financial Condition and Results of Operations</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(“MD&amp;A”) is intended to help you understand Fortress Transportation and Infrastructure Investors LLC (the “Company”). The Company’s MD&amp;A should be read in conjunction with its unaudited consolidated financial statements and the accompanying notes, and with Part II, Item 1A, “Risk Factors” included elsewhere in this Quarterly Report on Form 10-Q.</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Overview</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 own and acquire high quality infrastructure and related equipment that is essential for the transportation of goods and people globally. We target assets that, on a combined basis, generate strong cash flows with potential for earnings growth and asset appreciation. We believe that there are a large number of acquisition opportunities in our markets, and that our Manager’s expertise and business and financing relationships, together with our access to capital, will allow us to take advantage of these opportunities. We are externally managed by FIG LLC (the “Manager”), an affiliate of Fortress Investment Group LLC (“Fortress”), which has a dedicated team of experienced professionals focused on the acquisition of transportation and infrastructure assets since 2002. As of March 31, 2017, we had total consolidated assets of $1.8 billion and total equity of $1.1 billion.</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Operating Segments</w:t>
      </w:r>
    </w:p>
    <w:p>
      <w:pPr>
        <w:spacing w:after="0" w:line="16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Our operations consist of two primary strategic business units – Infrastructure and Equipment Leasing. Our Infrastructure Business acquires long-lived assets that provide mission-critical services or functions to transportation networks and typically have high barriers to entry. The Company targets or develops operating businesses with strong margins, stable cash flows and upside from earnings growth and asset appreciation driven by increased use and inflation. Our Equipment Leasing Business acquires assets that are designed to carry cargo or people or provide functionality to transportation infrastructure. Transportation equipment assets are typically long-lived, moveable and leased by us on either operating leases or finance leases to companies that provide transportation services. Our leases generally provide for long-term contractual cash flow with high cash-on-cash yields and include structural protections to mitigate credit risk.</w:t>
      </w:r>
    </w:p>
    <w:p>
      <w:pPr>
        <w:spacing w:after="0" w:line="31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reportable segments are comprised of interests in different types of infrastructure and equipment leasing assets. We currently conduct our business through our corporate operating segment and the following six reportable segments: Aviation Leasing, Offshore Energy, Shipping Containers, all of which are within Equipment Leasing Business, and Jefferson Terminal, Railroad and Ports and Terminals, which together comprise our Infrastructure Business. The Aviation Leasing segment consists of aircraft and aircraft engines held for lease and are typically held long-term. The Offshore Energy segment consists of vessels and equipment that support offshore oil and gas activities and are typically subject to long-term operating leases. The Shipping Containers segment consists of an investment in an unconsolidated entity engaged in the acquisition and leasing of shipping containers on both an operating lease and finance lease basis. The Jefferson Terminal segment consists of a multi-modal crude and refined products terminal and other related assets which were acquired in 2014. The Railroad segment consists of our Central Maine and Quebec Railway (“CMQR”) short line railroad operations also acquired in 2014. Ports and Terminals consists of Repauno, which is a 1,630 acre deep-water port located along the Delaware river with an underground storage cavern and multiple industrial development opportunities, and the investment in note receivable.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The Corporate operating segment primarily consists of unallocated corporate general and administrative expenses, management fees.</w:t>
      </w:r>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Company’s reportable segments are comprised of investments in different types of transportation infrastructure and equipment. Each segment requires different investment strategies. The accounting policies of the segments are the same as those described in the summary of significant accounting policies; however, financial information presented by segment includes the impact of intercompany eliminations.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168" w:right="23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color w:val="00497F"/>
        </w:rPr>
        <w:t>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Net Income</w:t>
      </w:r>
    </w:p>
    <w:p>
      <w:pPr>
        <w:spacing w:after="0" w:line="16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Chief Operating Decision Maker (“CODM”) utilizes Adjusted Net Income as the key performance measure. This performance measure provides the CODM with the information necessary to assess operational performance, as well as make resource and allocation decisions.</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Adjusted Net Income is defined as net income attributable to shareholders, adjusted (a) to exclude the impact of provision for income taxes, equity-based compensation expense, acquisition and transaction expenses, losses on the modification or extinguishment of debt and capital lease obligations, changes in fair value of non-hedge derivative instruments, asset impairment charges, incentive allocations, and equity in earnings of unconsolidated entities, (b) to include the impact of cash income tax payments, and our pro-rata share of the Adjusted Net Income from unconsolidated entities, and (c) to exclude the impact of the non-controlling share of Adjusted Net Income. We evaluate investment performance for each reportable segment primarily based on Adjusted Net Income. We believe that net income attributable to shareholders, as defined by GAAP, is the most comparable earnings measurement with which to reconcile Adjusted Net Income.</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view Adjusted EBITDA as a secondary measurement to Adjusted Net Income, which we believe serves as a useful supplement to investors, analysts and management to measure economic performance of deployed revenue generating assets between periods on a consistent basis, and which we believe measures our financial performance and helps identify operational factors that management can impact in the short-term, namely our cost structure and expenses. Adjusted EBITDA may not be comparable to similarly titled measures of other companies because other entities may not calculate Adjusted EBITDA in the same manner.</w:t>
      </w:r>
    </w:p>
    <w:p>
      <w:pPr>
        <w:spacing w:after="0" w:line="313"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Adjusted EBITDA is defined as net income attributable to shareholders, adjusted (a) to exclude the impact of provision for income taxes, equity-based compensation expense, acquisition and transaction expenses, losses on the modification or extinguishment of debt and capital lease obligations, changes in fair value of non-hedge derivative instruments, asset impairment charges, incentive allocations, depreciation and amortization expense, and interest expense,</w:t>
      </w:r>
    </w:p>
    <w:p>
      <w:pPr>
        <w:spacing w:after="0" w:line="1" w:lineRule="exact"/>
        <w:rPr>
          <w:sz w:val="20"/>
          <w:szCs w:val="20"/>
          <w:color w:val="auto"/>
        </w:rPr>
      </w:pPr>
    </w:p>
    <w:p>
      <w:pPr>
        <w:ind w:firstLine="8"/>
        <w:spacing w:after="0" w:line="265" w:lineRule="auto"/>
        <w:tabs>
          <w:tab w:leader="none" w:pos="273" w:val="left"/>
        </w:tabs>
        <w:numPr>
          <w:ilvl w:val="0"/>
          <w:numId w:val="10"/>
        </w:numPr>
        <w:rPr>
          <w:rFonts w:ascii="Arial" w:cs="Arial" w:eastAsia="Arial" w:hAnsi="Arial"/>
          <w:sz w:val="16"/>
          <w:szCs w:val="16"/>
          <w:color w:val="auto"/>
        </w:rPr>
      </w:pPr>
      <w:r>
        <w:rPr>
          <w:rFonts w:ascii="Arial" w:cs="Arial" w:eastAsia="Arial" w:hAnsi="Arial"/>
          <w:sz w:val="16"/>
          <w:szCs w:val="16"/>
          <w:color w:val="auto"/>
        </w:rPr>
        <w:t>to include the impact of our pro-rata share of Adjusted EBITDA from unconsolidated entities, and (c) to exclude the impact of equity in earnings of unconsolidated entities and the non-controlling share of Adjusted EBITDA.</w:t>
      </w: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three months ended March 31, 2017 to the three months ended March 31, 2016</w:t>
      </w:r>
    </w:p>
    <w:p>
      <w:pPr>
        <w:spacing w:after="0" w:line="16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following table presents our consolidated results of operations and reconciliation of net loss attributable to shareholders to Adjusted Net Loss for the three months ended March 31, 2017 and March 31, 2016:</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6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center"/>
              <w:ind w:left="648"/>
              <w:spacing w:after="0"/>
              <w:rPr>
                <w:sz w:val="20"/>
                <w:szCs w:val="20"/>
                <w:color w:val="auto"/>
              </w:rPr>
            </w:pPr>
            <w:r>
              <w:rPr>
                <w:rFonts w:ascii="Arial" w:cs="Arial" w:eastAsia="Arial" w:hAnsi="Arial"/>
                <w:sz w:val="14"/>
                <w:szCs w:val="14"/>
                <w:b w:val="1"/>
                <w:bCs w:val="1"/>
                <w:color w:val="auto"/>
              </w:rPr>
              <w:t>March 31,</w:t>
            </w: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ind w:right="3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6"/>
        </w:trPr>
        <w:tc>
          <w:tcPr>
            <w:tcW w:w="674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360" w:type="dxa"/>
            <w:vAlign w:val="bottom"/>
          </w:tcPr>
          <w:p>
            <w:pPr>
              <w:spacing w:after="0"/>
              <w:rPr>
                <w:sz w:val="20"/>
                <w:szCs w:val="20"/>
                <w:color w:val="auto"/>
              </w:rPr>
            </w:pPr>
          </w:p>
        </w:tc>
        <w:tc>
          <w:tcPr>
            <w:tcW w:w="1140" w:type="dxa"/>
            <w:vAlign w:val="bottom"/>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jc w:val="right"/>
              <w:ind w:right="508"/>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6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Revenues</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740" w:type="dxa"/>
            <w:vAlign w:val="bottom"/>
            <w:vMerge w:val="continue"/>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Equipment leasing revenues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6740" w:type="dxa"/>
            <w:vAlign w:val="bottom"/>
          </w:tcPr>
          <w:p>
            <w:pPr>
              <w:ind w:left="40"/>
              <w:spacing w:after="0"/>
              <w:rPr>
                <w:sz w:val="20"/>
                <w:szCs w:val="20"/>
                <w:color w:val="auto"/>
              </w:rPr>
            </w:pPr>
            <w:r>
              <w:rPr>
                <w:rFonts w:ascii="Arial" w:cs="Arial" w:eastAsia="Arial" w:hAnsi="Arial"/>
                <w:sz w:val="14"/>
                <w:szCs w:val="14"/>
                <w:color w:val="auto"/>
              </w:rPr>
              <w:t>Lease income</w:t>
            </w:r>
          </w:p>
        </w:tc>
        <w:tc>
          <w:tcPr>
            <w:tcW w:w="36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18,246</w:t>
            </w:r>
          </w:p>
        </w:tc>
        <w:tc>
          <w:tcPr>
            <w:tcW w:w="120" w:type="dxa"/>
            <w:vAlign w:val="bottom"/>
          </w:tcPr>
          <w:p>
            <w:pPr>
              <w:spacing w:after="0"/>
              <w:rPr>
                <w:sz w:val="23"/>
                <w:szCs w:val="23"/>
                <w:color w:val="auto"/>
              </w:rPr>
            </w:pPr>
          </w:p>
        </w:tc>
        <w:tc>
          <w:tcPr>
            <w:tcW w:w="4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12,922</w:t>
            </w:r>
          </w:p>
        </w:tc>
        <w:tc>
          <w:tcPr>
            <w:tcW w:w="10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5,324</w:t>
            </w:r>
          </w:p>
        </w:tc>
        <w:tc>
          <w:tcPr>
            <w:tcW w:w="0" w:type="dxa"/>
            <w:vAlign w:val="bottom"/>
          </w:tcPr>
          <w:p>
            <w:pPr>
              <w:spacing w:after="0"/>
              <w:rPr>
                <w:sz w:val="1"/>
                <w:szCs w:val="1"/>
                <w:color w:val="auto"/>
              </w:rPr>
            </w:pP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Maintenance revenue</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12,669</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5,106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7,563</w:t>
            </w:r>
          </w:p>
        </w:tc>
        <w:tc>
          <w:tcPr>
            <w:tcW w:w="0" w:type="dxa"/>
            <w:vAlign w:val="bottom"/>
          </w:tcPr>
          <w:p>
            <w:pPr>
              <w:spacing w:after="0"/>
              <w:rPr>
                <w:sz w:val="1"/>
                <w:szCs w:val="1"/>
                <w:color w:val="auto"/>
              </w:rPr>
            </w:pPr>
          </w:p>
        </w:tc>
      </w:tr>
      <w:tr>
        <w:trPr>
          <w:trHeight w:val="269"/>
        </w:trPr>
        <w:tc>
          <w:tcPr>
            <w:tcW w:w="6740" w:type="dxa"/>
            <w:vAlign w:val="bottom"/>
          </w:tcPr>
          <w:p>
            <w:pPr>
              <w:ind w:left="40"/>
              <w:spacing w:after="0"/>
              <w:rPr>
                <w:sz w:val="20"/>
                <w:szCs w:val="20"/>
                <w:color w:val="auto"/>
              </w:rPr>
            </w:pPr>
            <w:r>
              <w:rPr>
                <w:rFonts w:ascii="Arial" w:cs="Arial" w:eastAsia="Arial" w:hAnsi="Arial"/>
                <w:sz w:val="14"/>
                <w:szCs w:val="14"/>
                <w:color w:val="auto"/>
              </w:rPr>
              <w:t>Finance lease income</w:t>
            </w:r>
          </w:p>
        </w:tc>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386</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1,522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(1,136)</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revenue</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87</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equipment leasing revenues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31,388</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19,575</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11,813</w:t>
            </w:r>
          </w:p>
        </w:tc>
        <w:tc>
          <w:tcPr>
            <w:tcW w:w="0" w:type="dxa"/>
            <w:vAlign w:val="bottom"/>
          </w:tcPr>
          <w:p>
            <w:pPr>
              <w:spacing w:after="0"/>
              <w:rPr>
                <w:sz w:val="1"/>
                <w:szCs w:val="1"/>
                <w:color w:val="auto"/>
              </w:rPr>
            </w:pPr>
          </w:p>
        </w:tc>
      </w:tr>
      <w:tr>
        <w:trPr>
          <w:trHeight w:val="265"/>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Infrastructure revenues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6740" w:type="dxa"/>
            <w:vAlign w:val="bottom"/>
          </w:tcPr>
          <w:p>
            <w:pPr>
              <w:ind w:left="80"/>
              <w:spacing w:after="0"/>
              <w:rPr>
                <w:sz w:val="20"/>
                <w:szCs w:val="20"/>
                <w:color w:val="auto"/>
              </w:rPr>
            </w:pPr>
            <w:r>
              <w:rPr>
                <w:rFonts w:ascii="Arial" w:cs="Arial" w:eastAsia="Arial" w:hAnsi="Arial"/>
                <w:sz w:val="14"/>
                <w:szCs w:val="14"/>
                <w:color w:val="auto"/>
              </w:rPr>
              <w:t>Lease income</w:t>
            </w:r>
          </w:p>
        </w:tc>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16</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71"/>
        </w:trPr>
        <w:tc>
          <w:tcPr>
            <w:tcW w:w="6740" w:type="dxa"/>
            <w:vAlign w:val="bottom"/>
            <w:shd w:val="clear" w:color="auto" w:fill="CCEEFF"/>
          </w:tcPr>
          <w:p>
            <w:pPr>
              <w:ind w:left="80"/>
              <w:spacing w:after="0"/>
              <w:rPr>
                <w:sz w:val="20"/>
                <w:szCs w:val="20"/>
                <w:color w:val="auto"/>
              </w:rPr>
            </w:pPr>
            <w:r>
              <w:rPr>
                <w:rFonts w:ascii="Arial" w:cs="Arial" w:eastAsia="Arial" w:hAnsi="Arial"/>
                <w:sz w:val="14"/>
                <w:szCs w:val="14"/>
                <w:color w:val="auto"/>
              </w:rPr>
              <w:t>Rail revenues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8,403</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7,999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404</w:t>
            </w: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Terminal services revenues</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4,866</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3,879</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987</w:t>
            </w:r>
          </w:p>
        </w:tc>
        <w:tc>
          <w:tcPr>
            <w:tcW w:w="0" w:type="dxa"/>
            <w:vAlign w:val="bottom"/>
          </w:tcPr>
          <w:p>
            <w:pPr>
              <w:spacing w:after="0"/>
              <w:rPr>
                <w:sz w:val="1"/>
                <w:szCs w:val="1"/>
                <w:color w:val="auto"/>
              </w:rPr>
            </w:pPr>
          </w:p>
        </w:tc>
      </w:tr>
      <w:tr>
        <w:trPr>
          <w:trHeight w:val="25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infrastructure revenues</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13,285</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11,878</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1,407</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revenues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44,673</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31,453</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13,220</w:t>
            </w:r>
          </w:p>
        </w:tc>
        <w:tc>
          <w:tcPr>
            <w:tcW w:w="0" w:type="dxa"/>
            <w:vAlign w:val="bottom"/>
          </w:tcPr>
          <w:p>
            <w:pPr>
              <w:spacing w:after="0"/>
              <w:rPr>
                <w:sz w:val="1"/>
                <w:szCs w:val="1"/>
                <w:color w:val="auto"/>
              </w:rPr>
            </w:pPr>
          </w:p>
        </w:tc>
      </w:tr>
      <w:tr>
        <w:trPr>
          <w:trHeight w:val="292"/>
        </w:trPr>
        <w:tc>
          <w:tcPr>
            <w:tcW w:w="6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Expenses</w:t>
            </w: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21,013</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14,358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6,655</w:t>
            </w:r>
          </w:p>
        </w:tc>
        <w:tc>
          <w:tcPr>
            <w:tcW w:w="0" w:type="dxa"/>
            <w:vAlign w:val="bottom"/>
          </w:tcPr>
          <w:p>
            <w:pPr>
              <w:spacing w:after="0"/>
              <w:rPr>
                <w:sz w:val="1"/>
                <w:szCs w:val="1"/>
                <w:color w:val="auto"/>
              </w:rPr>
            </w:pPr>
          </w:p>
        </w:tc>
      </w:tr>
      <w:tr>
        <w:trPr>
          <w:trHeight w:val="269"/>
        </w:trPr>
        <w:tc>
          <w:tcPr>
            <w:tcW w:w="6740" w:type="dxa"/>
            <w:vAlign w:val="bottom"/>
          </w:tcPr>
          <w:p>
            <w:pPr>
              <w:ind w:left="40"/>
              <w:spacing w:after="0"/>
              <w:rPr>
                <w:sz w:val="20"/>
                <w:szCs w:val="20"/>
                <w:color w:val="auto"/>
              </w:rPr>
            </w:pPr>
            <w:r>
              <w:rPr>
                <w:rFonts w:ascii="Arial" w:cs="Arial" w:eastAsia="Arial" w:hAnsi="Arial"/>
                <w:sz w:val="14"/>
                <w:szCs w:val="14"/>
                <w:color w:val="auto"/>
              </w:rPr>
              <w:t>General and administrative</w:t>
            </w:r>
          </w:p>
        </w:tc>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3,835</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2,588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1,247</w:t>
            </w:r>
          </w:p>
        </w:tc>
        <w:tc>
          <w:tcPr>
            <w:tcW w:w="0" w:type="dxa"/>
            <w:vAlign w:val="bottom"/>
          </w:tcPr>
          <w:p>
            <w:pPr>
              <w:spacing w:after="0"/>
              <w:rPr>
                <w:sz w:val="1"/>
                <w:szCs w:val="1"/>
                <w:color w:val="auto"/>
              </w:rPr>
            </w:pP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 and transaction expenses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1,452</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393</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741"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6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03"/>
        </w:trPr>
        <w:tc>
          <w:tcPr>
            <w:tcW w:w="6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March 31,</w:t>
            </w: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ind w:right="388"/>
              <w:spacing w:after="0"/>
              <w:rPr>
                <w:sz w:val="20"/>
                <w:szCs w:val="20"/>
                <w:color w:val="auto"/>
              </w:rPr>
            </w:pPr>
            <w:r>
              <w:rPr>
                <w:rFonts w:ascii="Arial" w:cs="Arial" w:eastAsia="Arial" w:hAnsi="Arial"/>
                <w:sz w:val="14"/>
                <w:szCs w:val="14"/>
                <w:b w:val="1"/>
                <w:bCs w:val="1"/>
                <w:color w:val="auto"/>
              </w:rPr>
              <w:t>Change</w:t>
            </w:r>
          </w:p>
        </w:tc>
      </w:tr>
      <w:tr>
        <w:trPr>
          <w:trHeight w:val="236"/>
        </w:trPr>
        <w:tc>
          <w:tcPr>
            <w:tcW w:w="674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360" w:type="dxa"/>
            <w:vAlign w:val="bottom"/>
          </w:tcPr>
          <w:p>
            <w:pPr>
              <w:spacing w:after="0"/>
              <w:rPr>
                <w:sz w:val="20"/>
                <w:szCs w:val="20"/>
                <w:color w:val="auto"/>
              </w:rPr>
            </w:pPr>
          </w:p>
        </w:tc>
        <w:tc>
          <w:tcPr>
            <w:tcW w:w="1140" w:type="dxa"/>
            <w:vAlign w:val="bottom"/>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jc w:val="right"/>
              <w:ind w:right="508"/>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9"/>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9"/>
        </w:trPr>
        <w:tc>
          <w:tcPr>
            <w:tcW w:w="6740" w:type="dxa"/>
            <w:vAlign w:val="bottom"/>
          </w:tcPr>
          <w:p>
            <w:pPr>
              <w:ind w:left="40"/>
              <w:spacing w:after="0"/>
              <w:rPr>
                <w:sz w:val="20"/>
                <w:szCs w:val="20"/>
                <w:color w:val="auto"/>
              </w:rPr>
            </w:pPr>
            <w:r>
              <w:rPr>
                <w:rFonts w:ascii="Arial" w:cs="Arial" w:eastAsia="Arial" w:hAnsi="Arial"/>
                <w:sz w:val="14"/>
                <w:szCs w:val="14"/>
                <w:color w:val="auto"/>
              </w:rPr>
              <w:t>Management fees and incentive allocation to affiliate</w:t>
            </w:r>
          </w:p>
        </w:tc>
        <w:tc>
          <w:tcPr>
            <w:tcW w:w="36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3,893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4,348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(455)</w:t>
            </w: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17,377</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13,217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4,160</w:t>
            </w:r>
          </w:p>
        </w:tc>
      </w:tr>
      <w:tr>
        <w:trPr>
          <w:trHeight w:val="269"/>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expense</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4,694</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5,303</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(609)</w:t>
            </w:r>
          </w:p>
        </w:tc>
      </w:tr>
      <w:tr>
        <w:trPr>
          <w:trHeight w:val="25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expenses</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52,264</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40,873</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11,391</w:t>
            </w:r>
          </w:p>
        </w:tc>
      </w:tr>
      <w:tr>
        <w:trPr>
          <w:trHeight w:val="265"/>
        </w:trPr>
        <w:tc>
          <w:tcPr>
            <w:tcW w:w="6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(expense) income</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69"/>
        </w:trPr>
        <w:tc>
          <w:tcPr>
            <w:tcW w:w="6740" w:type="dxa"/>
            <w:vAlign w:val="bottom"/>
          </w:tcPr>
          <w:p>
            <w:pPr>
              <w:ind w:left="40"/>
              <w:spacing w:after="0"/>
              <w:rPr>
                <w:sz w:val="20"/>
                <w:szCs w:val="20"/>
                <w:color w:val="auto"/>
              </w:rPr>
            </w:pPr>
            <w:r>
              <w:rPr>
                <w:rFonts w:ascii="Arial" w:cs="Arial" w:eastAsia="Arial" w:hAnsi="Arial"/>
                <w:sz w:val="14"/>
                <w:szCs w:val="14"/>
                <w:color w:val="auto"/>
              </w:rPr>
              <w:t>Equity in (losses) earnings of unconsolidated entities</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(1,266)</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(1,351)</w:t>
            </w: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Gain on sale of equipment and finance leases, net</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1,722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296</w:t>
            </w:r>
          </w:p>
        </w:tc>
      </w:tr>
      <w:tr>
        <w:trPr>
          <w:trHeight w:val="269"/>
        </w:trPr>
        <w:tc>
          <w:tcPr>
            <w:tcW w:w="6740" w:type="dxa"/>
            <w:vAlign w:val="bottom"/>
          </w:tcPr>
          <w:p>
            <w:pPr>
              <w:ind w:left="40"/>
              <w:spacing w:after="0"/>
              <w:rPr>
                <w:sz w:val="20"/>
                <w:szCs w:val="20"/>
                <w:color w:val="auto"/>
              </w:rPr>
            </w:pPr>
            <w:r>
              <w:rPr>
                <w:rFonts w:ascii="Arial" w:cs="Arial" w:eastAsia="Arial" w:hAnsi="Arial"/>
                <w:sz w:val="14"/>
                <w:szCs w:val="14"/>
                <w:color w:val="auto"/>
              </w:rPr>
              <w:t>Loss on extinguishment of debt</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(2,456)</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(1,579)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(877)</w:t>
            </w: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283</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274</w:t>
            </w:r>
          </w:p>
        </w:tc>
      </w:tr>
      <w:tr>
        <w:trPr>
          <w:trHeight w:val="269"/>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income</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12</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r>
      <w:tr>
        <w:trPr>
          <w:trHeight w:val="25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other (expense) income</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(1,409)</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277</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(1,686)</w:t>
            </w:r>
          </w:p>
        </w:tc>
      </w:tr>
      <w:tr>
        <w:trPr>
          <w:trHeight w:val="250"/>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Loss before income taxes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(9,000)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(9,143)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143</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 for (benefit from) income taxes</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212</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278</w:t>
            </w:r>
          </w:p>
        </w:tc>
      </w:tr>
      <w:tr>
        <w:trPr>
          <w:trHeight w:val="250"/>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loss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(9,212)</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(9,077)</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w:t>
            </w:r>
          </w:p>
        </w:tc>
      </w:tr>
      <w:tr>
        <w:trPr>
          <w:trHeight w:val="25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loss attributable to non-controlling interest in consolidated subsidiaries</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(4,798)</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(3,295)</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(1,503)</w:t>
            </w:r>
          </w:p>
        </w:tc>
      </w:tr>
      <w:tr>
        <w:trPr>
          <w:trHeight w:val="250"/>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3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(4,414)</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(5,782)</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1,368</w:t>
            </w:r>
          </w:p>
        </w:tc>
      </w:tr>
      <w:tr>
        <w:trPr>
          <w:trHeight w:val="25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Provision for (benefit from) income taxes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212</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278</w:t>
            </w:r>
          </w:p>
        </w:tc>
      </w:tr>
      <w:tr>
        <w:trPr>
          <w:trHeight w:val="269"/>
        </w:trPr>
        <w:tc>
          <w:tcPr>
            <w:tcW w:w="6740" w:type="dxa"/>
            <w:vAlign w:val="bottom"/>
          </w:tcPr>
          <w:p>
            <w:pPr>
              <w:ind w:left="40"/>
              <w:spacing w:after="0"/>
              <w:rPr>
                <w:sz w:val="20"/>
                <w:szCs w:val="20"/>
                <w:color w:val="auto"/>
              </w:rPr>
            </w:pPr>
            <w:r>
              <w:rPr>
                <w:rFonts w:ascii="Arial" w:cs="Arial" w:eastAsia="Arial" w:hAnsi="Arial"/>
                <w:sz w:val="14"/>
                <w:szCs w:val="14"/>
                <w:color w:val="auto"/>
              </w:rPr>
              <w:t>Add: Equity-based compensation expense (income)</w:t>
            </w:r>
          </w:p>
        </w:tc>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87</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(3,963)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4,050</w:t>
            </w: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1,452</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393</w:t>
            </w:r>
          </w:p>
        </w:tc>
      </w:tr>
      <w:tr>
        <w:trPr>
          <w:trHeight w:val="269"/>
        </w:trPr>
        <w:tc>
          <w:tcPr>
            <w:tcW w:w="6740" w:type="dxa"/>
            <w:vAlign w:val="bottom"/>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2,456</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1,579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877</w:t>
            </w: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36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269"/>
        </w:trPr>
        <w:tc>
          <w:tcPr>
            <w:tcW w:w="6740" w:type="dxa"/>
            <w:vAlign w:val="bottom"/>
          </w:tcPr>
          <w:p>
            <w:pPr>
              <w:ind w:left="40"/>
              <w:spacing w:after="0"/>
              <w:rPr>
                <w:sz w:val="20"/>
                <w:szCs w:val="20"/>
                <w:color w:val="auto"/>
              </w:rPr>
            </w:pPr>
            <w:r>
              <w:rPr>
                <w:rFonts w:ascii="Arial" w:cs="Arial" w:eastAsia="Arial" w:hAnsi="Arial"/>
                <w:sz w:val="14"/>
                <w:szCs w:val="14"/>
                <w:color w:val="auto"/>
              </w:rPr>
              <w:t>Add: Asset impairment charges</w:t>
            </w:r>
          </w:p>
        </w:tc>
        <w:tc>
          <w:tcPr>
            <w:tcW w:w="36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30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Add: Pro-rata share of Adjusted Net (Loss) Income from unconsolidated entities</w:t>
            </w:r>
            <w:r>
              <w:rPr>
                <w:rFonts w:ascii="Arial" w:cs="Arial" w:eastAsia="Arial" w:hAnsi="Arial"/>
                <w:sz w:val="17"/>
                <w:szCs w:val="17"/>
                <w:color w:val="auto"/>
                <w:vertAlign w:val="superscript"/>
              </w:rPr>
              <w:t>(1)</w:t>
            </w:r>
          </w:p>
        </w:tc>
        <w:tc>
          <w:tcPr>
            <w:tcW w:w="3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(1,266)</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85</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(1,351)</w:t>
            </w:r>
          </w:p>
        </w:tc>
      </w:tr>
      <w:tr>
        <w:trPr>
          <w:trHeight w:val="269"/>
        </w:trPr>
        <w:tc>
          <w:tcPr>
            <w:tcW w:w="674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36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Cash payments for income taxes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348</w:t>
            </w:r>
          </w:p>
        </w:tc>
      </w:tr>
      <w:tr>
        <w:trPr>
          <w:trHeight w:val="269"/>
        </w:trPr>
        <w:tc>
          <w:tcPr>
            <w:tcW w:w="6740" w:type="dxa"/>
            <w:vAlign w:val="bottom"/>
          </w:tcPr>
          <w:p>
            <w:pPr>
              <w:ind w:left="40"/>
              <w:spacing w:after="0"/>
              <w:rPr>
                <w:sz w:val="20"/>
                <w:szCs w:val="20"/>
                <w:color w:val="auto"/>
              </w:rPr>
            </w:pPr>
            <w:r>
              <w:rPr>
                <w:rFonts w:ascii="Arial" w:cs="Arial" w:eastAsia="Arial" w:hAnsi="Arial"/>
                <w:sz w:val="14"/>
                <w:szCs w:val="14"/>
                <w:color w:val="auto"/>
              </w:rPr>
              <w:t>Less: Equity in losses (earnings) of unconsolidated entities</w:t>
            </w:r>
          </w:p>
        </w:tc>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1,266</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1,351</w:t>
            </w: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Less: Non-controlling share of Adjusted Net (Loss) Income </w:t>
            </w:r>
            <w:r>
              <w:rPr>
                <w:rFonts w:ascii="Arial" w:cs="Arial" w:eastAsia="Arial" w:hAnsi="Arial"/>
                <w:sz w:val="17"/>
                <w:szCs w:val="17"/>
                <w:color w:val="auto"/>
                <w:vertAlign w:val="superscript"/>
              </w:rPr>
              <w:t>(2)</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989</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(1,028)</w:t>
            </w:r>
          </w:p>
        </w:tc>
      </w:tr>
      <w:tr>
        <w:trPr>
          <w:trHeight w:val="237"/>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Adjusted Net Loss</w:t>
            </w:r>
          </w:p>
        </w:tc>
        <w:tc>
          <w:tcPr>
            <w:tcW w:w="3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(249)</w:t>
            </w:r>
          </w:p>
        </w:tc>
        <w:tc>
          <w:tcPr>
            <w:tcW w:w="120" w:type="dxa"/>
            <w:vAlign w:val="bottom"/>
          </w:tcPr>
          <w:p>
            <w:pPr>
              <w:spacing w:after="0"/>
              <w:rPr>
                <w:sz w:val="20"/>
                <w:szCs w:val="20"/>
                <w:color w:val="auto"/>
              </w:rPr>
            </w:pPr>
          </w:p>
        </w:tc>
        <w:tc>
          <w:tcPr>
            <w:tcW w:w="4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(6,532)</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6,283</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______________________________________________________________________________________</w:t>
      </w:r>
    </w:p>
    <w:p>
      <w:pPr>
        <w:spacing w:after="0" w:line="256" w:lineRule="exact"/>
        <w:rPr>
          <w:sz w:val="20"/>
          <w:szCs w:val="20"/>
          <w:color w:val="auto"/>
        </w:rPr>
      </w:pPr>
    </w:p>
    <w:p>
      <w:pPr>
        <w:ind w:left="500" w:hanging="492"/>
        <w:spacing w:after="0" w:line="232" w:lineRule="auto"/>
        <w:tabs>
          <w:tab w:leader="none" w:pos="162"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Pro-rata share of Adjusted Net Income from unconsolidated entities includes the Company’s proportionate share of the unconsolidated entities’ net income adjusted for the excluded and included items detailed in the table above, for which there were no adjustments.</w:t>
      </w:r>
    </w:p>
    <w:p>
      <w:pPr>
        <w:spacing w:after="0" w:line="157" w:lineRule="exact"/>
        <w:rPr>
          <w:rFonts w:ascii="Arial" w:cs="Arial" w:eastAsia="Arial" w:hAnsi="Arial"/>
          <w:sz w:val="18"/>
          <w:szCs w:val="18"/>
          <w:color w:val="auto"/>
          <w:vertAlign w:val="superscript"/>
        </w:rPr>
      </w:pPr>
    </w:p>
    <w:p>
      <w:pPr>
        <w:ind w:left="500" w:hanging="492"/>
        <w:spacing w:after="0" w:line="303" w:lineRule="auto"/>
        <w:tabs>
          <w:tab w:leader="none" w:pos="169"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Non-controlling share of Adjusted Net (Loss) Income is comprised of the following for the three months ended March 31, 2017 and 2016: (i) equity-based compensation of $25 and $(1,619), (ii) provision for income tax of $15 and $14, and (iii) loss on extinguishment of debt of $0 and $616, less (iv) cash tax payments of $1 and $0, respectively.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692" w:right="239" w:bottom="1440" w:gutter="0" w:footer="0" w:header="0"/>
        </w:sectPr>
      </w:pPr>
    </w:p>
    <w:bookmarkStart w:id="40" w:name="page41"/>
    <w:bookmarkEnd w:id="40"/>
    <w:p>
      <w:pPr>
        <w:ind w:left="460"/>
        <w:spacing w:after="0"/>
        <w:rPr>
          <w:sz w:val="20"/>
          <w:szCs w:val="20"/>
          <w:color w:val="auto"/>
        </w:rPr>
      </w:pPr>
      <w:r>
        <w:rPr>
          <w:rFonts w:ascii="Arial" w:cs="Arial" w:eastAsia="Arial" w:hAnsi="Arial"/>
          <w:sz w:val="16"/>
          <w:szCs w:val="16"/>
          <w:color w:val="auto"/>
        </w:rPr>
        <w:t>The following table sets forth a reconciliation of net loss attributable to shareholders to Adjusted EBITDA for the three months ended March 31, 2017 and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March 31, 2016:</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00" w:type="dxa"/>
            <w:vAlign w:val="bottom"/>
          </w:tcPr>
          <w:p>
            <w:pPr>
              <w:spacing w:after="0"/>
              <w:rPr>
                <w:sz w:val="14"/>
                <w:szCs w:val="14"/>
                <w:color w:val="auto"/>
              </w:rPr>
            </w:pPr>
          </w:p>
        </w:tc>
        <w:tc>
          <w:tcPr>
            <w:tcW w:w="3440" w:type="dxa"/>
            <w:vAlign w:val="bottom"/>
            <w:gridSpan w:val="6"/>
          </w:tcPr>
          <w:p>
            <w:pPr>
              <w:ind w:left="98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640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13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ind w:right="44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5"/>
        </w:trPr>
        <w:tc>
          <w:tcPr>
            <w:tcW w:w="6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568"/>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64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6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color w:val="auto"/>
              </w:rPr>
              <w:t>(in thousands)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64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1020" w:type="dxa"/>
            <w:vAlign w:val="bottom"/>
            <w:shd w:val="clear" w:color="auto" w:fill="CCEEFF"/>
          </w:tcPr>
          <w:p>
            <w:pPr>
              <w:jc w:val="right"/>
              <w:ind w:right="828"/>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(4,414)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1,368</w:t>
            </w:r>
          </w:p>
        </w:tc>
        <w:tc>
          <w:tcPr>
            <w:tcW w:w="0" w:type="dxa"/>
            <w:vAlign w:val="bottom"/>
          </w:tcPr>
          <w:p>
            <w:pPr>
              <w:spacing w:after="0"/>
              <w:rPr>
                <w:sz w:val="1"/>
                <w:szCs w:val="1"/>
                <w:color w:val="auto"/>
              </w:rPr>
            </w:pPr>
          </w:p>
        </w:tc>
      </w:tr>
      <w:tr>
        <w:trPr>
          <w:trHeight w:val="269"/>
        </w:trPr>
        <w:tc>
          <w:tcPr>
            <w:tcW w:w="6400" w:type="dxa"/>
            <w:vAlign w:val="bottom"/>
          </w:tcPr>
          <w:p>
            <w:pPr>
              <w:ind w:left="40"/>
              <w:spacing w:after="0"/>
              <w:rPr>
                <w:sz w:val="20"/>
                <w:szCs w:val="20"/>
                <w:color w:val="auto"/>
              </w:rPr>
            </w:pPr>
            <w:r>
              <w:rPr>
                <w:rFonts w:ascii="Arial" w:cs="Arial" w:eastAsia="Arial" w:hAnsi="Arial"/>
                <w:sz w:val="14"/>
                <w:szCs w:val="14"/>
                <w:color w:val="auto"/>
              </w:rPr>
              <w:t>Add: Provision for (benefit from) income taxes</w:t>
            </w:r>
          </w:p>
        </w:tc>
        <w:tc>
          <w:tcPr>
            <w:tcW w:w="1020" w:type="dxa"/>
            <w:vAlign w:val="bottom"/>
          </w:tcPr>
          <w:p>
            <w:pPr>
              <w:spacing w:after="0"/>
              <w:rPr>
                <w:sz w:val="23"/>
                <w:szCs w:val="23"/>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b w:val="1"/>
                <w:bCs w:val="1"/>
                <w:color w:val="auto"/>
              </w:rPr>
              <w:t>212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27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 (income)</w:t>
            </w:r>
          </w:p>
        </w:tc>
        <w:tc>
          <w:tcPr>
            <w:tcW w:w="102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87</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4,050</w:t>
            </w:r>
          </w:p>
        </w:tc>
        <w:tc>
          <w:tcPr>
            <w:tcW w:w="0" w:type="dxa"/>
            <w:vAlign w:val="bottom"/>
          </w:tcPr>
          <w:p>
            <w:pPr>
              <w:spacing w:after="0"/>
              <w:rPr>
                <w:sz w:val="1"/>
                <w:szCs w:val="1"/>
                <w:color w:val="auto"/>
              </w:rPr>
            </w:pPr>
          </w:p>
        </w:tc>
      </w:tr>
      <w:tr>
        <w:trPr>
          <w:trHeight w:val="269"/>
        </w:trPr>
        <w:tc>
          <w:tcPr>
            <w:tcW w:w="640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1020" w:type="dxa"/>
            <w:vAlign w:val="bottom"/>
          </w:tcPr>
          <w:p>
            <w:pPr>
              <w:spacing w:after="0"/>
              <w:rPr>
                <w:sz w:val="23"/>
                <w:szCs w:val="23"/>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b w:val="1"/>
                <w:bCs w:val="1"/>
                <w:color w:val="auto"/>
              </w:rPr>
              <w:t>1,452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1,059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393</w:t>
            </w:r>
          </w:p>
        </w:tc>
        <w:tc>
          <w:tcPr>
            <w:tcW w:w="0" w:type="dxa"/>
            <w:vAlign w:val="bottom"/>
          </w:tcPr>
          <w:p>
            <w:pPr>
              <w:spacing w:after="0"/>
              <w:rPr>
                <w:sz w:val="1"/>
                <w:szCs w:val="1"/>
                <w:color w:val="auto"/>
              </w:rPr>
            </w:pPr>
          </w:p>
        </w:tc>
      </w:tr>
      <w:tr>
        <w:trPr>
          <w:trHeight w:val="27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102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2,456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1,579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877</w:t>
            </w:r>
          </w:p>
        </w:tc>
        <w:tc>
          <w:tcPr>
            <w:tcW w:w="0" w:type="dxa"/>
            <w:vAlign w:val="bottom"/>
          </w:tcPr>
          <w:p>
            <w:pPr>
              <w:spacing w:after="0"/>
              <w:rPr>
                <w:sz w:val="1"/>
                <w:szCs w:val="1"/>
                <w:color w:val="auto"/>
              </w:rPr>
            </w:pPr>
          </w:p>
        </w:tc>
      </w:tr>
      <w:tr>
        <w:trPr>
          <w:trHeight w:val="269"/>
        </w:trPr>
        <w:tc>
          <w:tcPr>
            <w:tcW w:w="640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1020" w:type="dxa"/>
            <w:vAlign w:val="bottom"/>
          </w:tcPr>
          <w:p>
            <w:pPr>
              <w:spacing w:after="0"/>
              <w:rPr>
                <w:sz w:val="23"/>
                <w:szCs w:val="23"/>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3"/>
                <w:szCs w:val="23"/>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10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640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1020" w:type="dxa"/>
            <w:vAlign w:val="bottom"/>
          </w:tcPr>
          <w:p>
            <w:pPr>
              <w:spacing w:after="0"/>
              <w:rPr>
                <w:sz w:val="23"/>
                <w:szCs w:val="23"/>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Add: Depreciation and amortization expense </w:t>
            </w:r>
            <w:r>
              <w:rPr>
                <w:rFonts w:ascii="Arial" w:cs="Arial" w:eastAsia="Arial" w:hAnsi="Arial"/>
                <w:sz w:val="17"/>
                <w:szCs w:val="17"/>
                <w:color w:val="auto"/>
                <w:vertAlign w:val="superscript"/>
              </w:rPr>
              <w:t>(3)</w:t>
            </w:r>
          </w:p>
        </w:tc>
        <w:tc>
          <w:tcPr>
            <w:tcW w:w="102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19,306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14,854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4,452</w:t>
            </w:r>
          </w:p>
        </w:tc>
        <w:tc>
          <w:tcPr>
            <w:tcW w:w="0" w:type="dxa"/>
            <w:vAlign w:val="bottom"/>
          </w:tcPr>
          <w:p>
            <w:pPr>
              <w:spacing w:after="0"/>
              <w:rPr>
                <w:sz w:val="1"/>
                <w:szCs w:val="1"/>
                <w:color w:val="auto"/>
              </w:rPr>
            </w:pPr>
          </w:p>
        </w:tc>
      </w:tr>
      <w:tr>
        <w:trPr>
          <w:trHeight w:val="269"/>
        </w:trPr>
        <w:tc>
          <w:tcPr>
            <w:tcW w:w="6400" w:type="dxa"/>
            <w:vAlign w:val="bottom"/>
          </w:tcPr>
          <w:p>
            <w:pPr>
              <w:ind w:left="40"/>
              <w:spacing w:after="0"/>
              <w:rPr>
                <w:sz w:val="20"/>
                <w:szCs w:val="20"/>
                <w:color w:val="auto"/>
              </w:rPr>
            </w:pPr>
            <w:r>
              <w:rPr>
                <w:rFonts w:ascii="Arial" w:cs="Arial" w:eastAsia="Arial" w:hAnsi="Arial"/>
                <w:sz w:val="14"/>
                <w:szCs w:val="14"/>
                <w:color w:val="auto"/>
              </w:rPr>
              <w:t>Add: Interest expense</w:t>
            </w:r>
          </w:p>
        </w:tc>
        <w:tc>
          <w:tcPr>
            <w:tcW w:w="1020" w:type="dxa"/>
            <w:vAlign w:val="bottom"/>
          </w:tcPr>
          <w:p>
            <w:pPr>
              <w:spacing w:after="0"/>
              <w:rPr>
                <w:sz w:val="23"/>
                <w:szCs w:val="23"/>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b w:val="1"/>
                <w:bCs w:val="1"/>
                <w:color w:val="auto"/>
              </w:rPr>
              <w:t>4,694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5,303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(609)</w:t>
            </w:r>
          </w:p>
        </w:tc>
        <w:tc>
          <w:tcPr>
            <w:tcW w:w="0" w:type="dxa"/>
            <w:vAlign w:val="bottom"/>
          </w:tcPr>
          <w:p>
            <w:pPr>
              <w:spacing w:after="0"/>
              <w:rPr>
                <w:sz w:val="1"/>
                <w:szCs w:val="1"/>
                <w:color w:val="auto"/>
              </w:rPr>
            </w:pPr>
          </w:p>
        </w:tc>
      </w:tr>
      <w:tr>
        <w:trPr>
          <w:trHeight w:val="27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Add: Pro-rata share of Adjusted EBITDA from unconsolidated entities </w:t>
            </w:r>
            <w:r>
              <w:rPr>
                <w:rFonts w:ascii="Arial" w:cs="Arial" w:eastAsia="Arial" w:hAnsi="Arial"/>
                <w:sz w:val="17"/>
                <w:szCs w:val="17"/>
                <w:color w:val="auto"/>
                <w:vertAlign w:val="superscript"/>
              </w:rPr>
              <w:t>(4)</w:t>
            </w:r>
          </w:p>
        </w:tc>
        <w:tc>
          <w:tcPr>
            <w:tcW w:w="102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(680)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1,372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(2,052)</w:t>
            </w:r>
          </w:p>
        </w:tc>
        <w:tc>
          <w:tcPr>
            <w:tcW w:w="0" w:type="dxa"/>
            <w:vAlign w:val="bottom"/>
          </w:tcPr>
          <w:p>
            <w:pPr>
              <w:spacing w:after="0"/>
              <w:rPr>
                <w:sz w:val="1"/>
                <w:szCs w:val="1"/>
                <w:color w:val="auto"/>
              </w:rPr>
            </w:pPr>
          </w:p>
        </w:tc>
      </w:tr>
      <w:tr>
        <w:trPr>
          <w:trHeight w:val="269"/>
        </w:trPr>
        <w:tc>
          <w:tcPr>
            <w:tcW w:w="6400" w:type="dxa"/>
            <w:vAlign w:val="bottom"/>
          </w:tcPr>
          <w:p>
            <w:pPr>
              <w:ind w:left="40"/>
              <w:spacing w:after="0"/>
              <w:rPr>
                <w:sz w:val="20"/>
                <w:szCs w:val="20"/>
                <w:color w:val="auto"/>
              </w:rPr>
            </w:pPr>
            <w:r>
              <w:rPr>
                <w:rFonts w:ascii="Arial" w:cs="Arial" w:eastAsia="Arial" w:hAnsi="Arial"/>
                <w:sz w:val="14"/>
                <w:szCs w:val="14"/>
                <w:color w:val="auto"/>
              </w:rPr>
              <w:t>Less: Equity in losses (earnings) of unconsolidated entities</w:t>
            </w:r>
          </w:p>
        </w:tc>
        <w:tc>
          <w:tcPr>
            <w:tcW w:w="1020" w:type="dxa"/>
            <w:vAlign w:val="bottom"/>
          </w:tcPr>
          <w:p>
            <w:pPr>
              <w:spacing w:after="0"/>
              <w:rPr>
                <w:sz w:val="23"/>
                <w:szCs w:val="23"/>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b w:val="1"/>
                <w:bCs w:val="1"/>
                <w:color w:val="auto"/>
              </w:rPr>
              <w:t>1,266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1,351</w:t>
            </w:r>
          </w:p>
        </w:tc>
        <w:tc>
          <w:tcPr>
            <w:tcW w:w="0" w:type="dxa"/>
            <w:vAlign w:val="bottom"/>
          </w:tcPr>
          <w:p>
            <w:pPr>
              <w:spacing w:after="0"/>
              <w:rPr>
                <w:sz w:val="1"/>
                <w:szCs w:val="1"/>
                <w:color w:val="auto"/>
              </w:rPr>
            </w:pPr>
          </w:p>
        </w:tc>
      </w:tr>
      <w:tr>
        <w:trPr>
          <w:trHeight w:val="27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7"/>
                <w:szCs w:val="17"/>
                <w:color w:val="auto"/>
                <w:vertAlign w:val="superscript"/>
              </w:rPr>
              <w:t>(5)</w:t>
            </w:r>
          </w:p>
        </w:tc>
        <w:tc>
          <w:tcPr>
            <w:tcW w:w="102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(2,242)</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(2,033)</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Adjusted EBITDA (non-GAAP)</w:t>
            </w:r>
          </w:p>
        </w:tc>
        <w:tc>
          <w:tcPr>
            <w:tcW w:w="102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22,137</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12,241</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9,896</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_______________________________________________________</w:t>
            </w: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40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500" w:hanging="492"/>
        <w:spacing w:after="0" w:line="239" w:lineRule="auto"/>
        <w:tabs>
          <w:tab w:leader="none" w:pos="149" w:val="left"/>
        </w:tabs>
        <w:numPr>
          <w:ilvl w:val="0"/>
          <w:numId w:val="12"/>
        </w:numPr>
        <w:rPr>
          <w:rFonts w:ascii="Arial" w:cs="Arial" w:eastAsia="Arial" w:hAnsi="Arial"/>
          <w:sz w:val="17"/>
          <w:szCs w:val="17"/>
          <w:color w:val="auto"/>
          <w:vertAlign w:val="superscript"/>
        </w:rPr>
      </w:pPr>
      <w:r>
        <w:rPr>
          <w:rFonts w:ascii="Arial" w:cs="Arial" w:eastAsia="Arial" w:hAnsi="Arial"/>
          <w:sz w:val="14"/>
          <w:szCs w:val="14"/>
          <w:color w:val="auto"/>
        </w:rPr>
        <w:t>Depreciation and amortization expense includes $17,377 and $13,217 of depreciation and amortization expense, $1,283 and $1,578 of lease intangible amortization, and $646 and $59 of amortization for lease incentives in the three months ended March 31, 2017 and 2016, respectively.</w:t>
      </w:r>
    </w:p>
    <w:p>
      <w:pPr>
        <w:spacing w:after="0" w:line="131" w:lineRule="exact"/>
        <w:rPr>
          <w:rFonts w:ascii="Arial" w:cs="Arial" w:eastAsia="Arial" w:hAnsi="Arial"/>
          <w:sz w:val="17"/>
          <w:szCs w:val="17"/>
          <w:color w:val="auto"/>
          <w:vertAlign w:val="superscript"/>
        </w:rPr>
      </w:pPr>
    </w:p>
    <w:p>
      <w:pPr>
        <w:ind w:left="500" w:hanging="492"/>
        <w:spacing w:after="0" w:line="232" w:lineRule="auto"/>
        <w:tabs>
          <w:tab w:leader="none" w:pos="18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Pro-rata share of Adjusted EBITDA from unconsolidated entities includes the following items for the three months ended March 31, 2017 and 2016: (i) net (loss) income of $(1,309) and $53, (ii) interest expense of $251 and $404, and (iii) depreciation and amortization expense of $378 and $915, respectively.</w:t>
      </w:r>
    </w:p>
    <w:p>
      <w:pPr>
        <w:spacing w:after="0" w:line="130" w:lineRule="exact"/>
        <w:rPr>
          <w:rFonts w:ascii="Arial" w:cs="Arial" w:eastAsia="Arial" w:hAnsi="Arial"/>
          <w:sz w:val="18"/>
          <w:szCs w:val="18"/>
          <w:color w:val="auto"/>
          <w:vertAlign w:val="superscript"/>
        </w:rPr>
      </w:pPr>
    </w:p>
    <w:p>
      <w:pPr>
        <w:ind w:left="500" w:hanging="492"/>
        <w:spacing w:after="0" w:line="235" w:lineRule="auto"/>
        <w:tabs>
          <w:tab w:leader="none" w:pos="169"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Non-controlling share of Adjusted EBITDA is comprised of the following items for the three months ended March 31, 2017 and 2016: (i) equity based compensation of $24 and $(1,619), (ii) provision for income taxes of $15 and $14, (iii) interest expense of $529 and $1,466, (iv) depreciation and amortization expense of $1,674 and $1,556, and (v) loss on extinguishment of debt of $0 and $616,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6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Total revenues increased by $13,220 due to higher revenues across the majority of our segments, including Aviation Leasing, Offshore Energy, Jefferson Terminal, and Railroad. Total revenue increase across the aforementioned segments was offset by a decrease in the Shipping Containers segment.</w:t>
      </w:r>
    </w:p>
    <w:p>
      <w:pPr>
        <w:spacing w:after="0" w:line="10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Equipment Leasing, lease income increased by $5,324 primarily due to an increase in the number of assets on lease in the Aviation Leasing segment. Additionally, we continued to increase the number of aircraft and engines subject to leases with maintenance arrangements resulting in an increase to our maintenance revenue of $7,563. Equipment leasing revenue was offset by a $1,136 decrease in finance income primarily driven by the sale of 42,000 shipping containers during the first quarter of 2016.</w:t>
      </w:r>
    </w:p>
    <w:p>
      <w:pPr>
        <w:spacing w:after="0" w:line="105"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In Infrastructure, rail revenues increased by $404 due to an increase in traffic and expanded service offerings by our Railroad segment. The Jefferson Terminal segment had an increase in terminal service revenue of $987 primarily due to higher volume. Lease income increased $16 in the three months ended March 31, 2017 as compared to the three months ended March 31, 2016 due to a lease contract at Repauno, which was acquired in July of 2016.</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6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Total expenses increased by $11,391 mainly due to an increase in (i) operating expenses, (ii) general and administrative expenses, (iii) acquisitions and transaction expenses, and (iv) depreciation and amortization expenses which were offset by a decrease in management fees and interest expense.</w:t>
      </w:r>
    </w:p>
    <w:p>
      <w:pPr>
        <w:spacing w:after="0" w:line="9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Operating expenses increased by $6,655 primarily due to an increase in (i) compensation, including stock compensation and benefits, of $4,721 primarily due to a one-time reversal of stock compensation in the first quarter of 2016, (ii) facility operations of $1,245 primarily in the Jefferson Terminal segment and Railroad segment due to higher volumes, and (iii) professional fees of $1,061 primarily due legal costs related to our vessels in the Offshore Energy segment and our Aviation Leasing segment due to the increase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527" w:right="239" w:bottom="1440" w:gutter="0" w:footer="0" w:header="0"/>
        </w:sectPr>
      </w:pPr>
    </w:p>
    <w:bookmarkStart w:id="41" w:name="page42"/>
    <w:bookmarkEnd w:id="41"/>
    <w:p>
      <w:pPr>
        <w:jc w:val="both"/>
        <w:spacing w:after="0" w:line="291" w:lineRule="auto"/>
        <w:rPr>
          <w:sz w:val="20"/>
          <w:szCs w:val="20"/>
          <w:color w:val="auto"/>
        </w:rPr>
      </w:pPr>
      <w:r>
        <w:rPr>
          <w:rFonts w:ascii="Arial" w:cs="Arial" w:eastAsia="Arial" w:hAnsi="Arial"/>
          <w:sz w:val="16"/>
          <w:szCs w:val="16"/>
          <w:color w:val="auto"/>
        </w:rPr>
        <w:t>in aircraft and engines on lease. Offsetting the increase were lower general and administrative expenses at the operating level of $534 primarily due to the sale of 42,000 shipping containers during the first quarter of 2016.</w:t>
      </w:r>
    </w:p>
    <w:p>
      <w:pPr>
        <w:spacing w:after="0" w:line="94"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General and administrative expenses at the Corporate segment increased by $1,247 attributable to the higher reimbursements to our Manager and professional fees including legal, tax consulting and audit fees as we continue to grow our business.</w:t>
      </w:r>
    </w:p>
    <w:p>
      <w:pPr>
        <w:spacing w:after="0" w:line="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Acquisitions and transaction expenses, including advisory, legal, accounting, valuation and other professional or consulting fees, increased by $393 as we continue to pursuit new business opportunities.</w:t>
      </w:r>
    </w:p>
    <w:p>
      <w:pPr>
        <w:spacing w:after="0" w:line="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Depreciation and amortization increased by $4,160 primarily due to additional assets acquired in the Aviation Leasing segment and assets placed into service in the Jefferson Terminal segment.</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Management fee decreased by $455 due to a decrease in the average value of our total equity as compared to the first quarter of 2016.</w:t>
      </w:r>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Interest expense decreased by $609 primarily due to the repayment of Jefferson Terminal Credit Agreement in the first quarter of 2016. The decrease in the interest expense was offset by an increase in the Corporate segment due to the issuance of the Term Loan, which was repaid during the three months ended March 31, 2016, and the Senior Notes. Refer to the Note 8 of the Consolidated Financial Statements for detail.</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(Expense) Income</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Total other expenses increased by $1,686 primarily due to a $1,351 increase in losses of unconsolidated entities primarily related to a shipping container joint venture and our Advanced Engine Repair JV as we continue to develop new costs savings programs for engine repairs. Additionally, the loss on extinguishment of debt increased $877 due to a recognition of a $2,456 loss as a result of the Term Loan repayment during the first quarter of 2017, as compared to a $1,579 loss recognized during the first quarter of 2016 due to the repayment of the Jefferson Terminal Credit Agreement. The increase in other expenses was offset by higher gains on sale of equipment of $296 driven by the opportunistic sale of aviation assets and a $274 increase in interest income.</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Net Loss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Net loss attributable to shareholders decreased by $1,368 primarily by the changes discussed above.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Net Loss</w:t>
      </w:r>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Adjusted net loss decreased by $6,283 primarily due to the changes in revenue, expenses and other expenses noted above, and the increase in (i) equity based compensation of $4,050, (ii) losses of unconsolidated entities of $1,351, and (iii) losses from the extinguishment of debt of $877. The increase was offset by pro-rata share of Adjusted Net Income of $1,351 and non-controlling share of Adjusted Net Income of $1,028.</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Adjusted EBITDA was $22,137 for the three months ended March 31, 2017, which increased by $9,896 as compared to the three months ended March 31, 2016. In addition to the changes in revenue, expenses and other expenses noted above, which resulted in a net decrease in the loss attributable to shareholders, the change was primarily due to increased depreciation and amortization expense from additional assets acquired and placed into service, equity-based compensation, equity in earnings of unconsolidated entities and losses from the extinguishment of debt. The increase was offset by the pro-rata share of Adjusted EBITDA from unconsolidated entities and interest expense.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Aviation Leasing Segment</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2017, in our Aviation Leasing segment, we own and manage 109 aviation assets, including 31 aircraft and 78 commercial jet engines.</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As of March 31, 2017, 24 of our commercial aircraft and 48 of our jet engines were leased to operators or other third parties. Aviation assets currently off lease are either undergoing repair and/or maintenance, being prepared to go on lease or held in short term storage awaiting a future lease. Our aviation equipment was approximately 74% utilized as of March 31, 2017, based on the equity value of our on-hire leasing equipment as a percentage of the total equity value of our aviation leasing equipment. Our aircraft currently have a weighted average remaining lease term of 32 months, and our jet engines currently on-lease have an average remaining lease term of 11 months. The table below provides additional information on the assets in our Aviation Leasing segment:</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527"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70"/>
        </w:trPr>
        <w:tc>
          <w:tcPr>
            <w:tcW w:w="40" w:type="dxa"/>
            <w:vAlign w:val="bottom"/>
            <w:shd w:val="clear" w:color="auto" w:fill="00497F"/>
          </w:tcPr>
          <w:p>
            <w:pPr>
              <w:spacing w:after="0"/>
              <w:rPr>
                <w:sz w:val="23"/>
                <w:szCs w:val="23"/>
                <w:color w:val="auto"/>
              </w:rPr>
            </w:pPr>
          </w:p>
        </w:tc>
        <w:tc>
          <w:tcPr>
            <w:tcW w:w="4660" w:type="dxa"/>
            <w:vAlign w:val="bottom"/>
            <w:gridSpan w:val="3"/>
            <w:shd w:val="clear" w:color="auto" w:fill="00497F"/>
          </w:tcPr>
          <w:p>
            <w:pPr>
              <w:spacing w:after="0"/>
              <w:rPr>
                <w:sz w:val="20"/>
                <w:szCs w:val="20"/>
                <w:color w:val="auto"/>
              </w:rPr>
            </w:pPr>
            <w:r>
              <w:rPr>
                <w:rFonts w:ascii="Arial" w:cs="Arial" w:eastAsia="Arial" w:hAnsi="Arial"/>
                <w:sz w:val="14"/>
                <w:szCs w:val="14"/>
                <w:b w:val="1"/>
                <w:bCs w:val="1"/>
                <w:color w:val="FFFFFF"/>
              </w:rPr>
              <w:t>Aviation Assets</w:t>
            </w:r>
          </w:p>
        </w:tc>
        <w:tc>
          <w:tcPr>
            <w:tcW w:w="1660" w:type="dxa"/>
            <w:vAlign w:val="bottom"/>
            <w:shd w:val="clear" w:color="auto" w:fill="00497F"/>
          </w:tcPr>
          <w:p>
            <w:pPr>
              <w:ind w:left="740"/>
              <w:spacing w:after="0"/>
              <w:rPr>
                <w:sz w:val="20"/>
                <w:szCs w:val="20"/>
                <w:color w:val="auto"/>
              </w:rPr>
            </w:pPr>
            <w:r>
              <w:rPr>
                <w:rFonts w:ascii="Arial" w:cs="Arial" w:eastAsia="Arial" w:hAnsi="Arial"/>
                <w:sz w:val="14"/>
                <w:szCs w:val="14"/>
                <w:b w:val="1"/>
                <w:bCs w:val="1"/>
                <w:color w:val="FFFFFF"/>
              </w:rPr>
              <w:t>Widebody</w:t>
            </w:r>
          </w:p>
        </w:tc>
        <w:tc>
          <w:tcPr>
            <w:tcW w:w="520" w:type="dxa"/>
            <w:vAlign w:val="bottom"/>
            <w:shd w:val="clear" w:color="auto" w:fill="00497F"/>
          </w:tcPr>
          <w:p>
            <w:pPr>
              <w:spacing w:after="0"/>
              <w:rPr>
                <w:sz w:val="23"/>
                <w:szCs w:val="23"/>
                <w:color w:val="auto"/>
              </w:rPr>
            </w:pPr>
          </w:p>
        </w:tc>
        <w:tc>
          <w:tcPr>
            <w:tcW w:w="120" w:type="dxa"/>
            <w:vAlign w:val="bottom"/>
            <w:shd w:val="clear" w:color="auto" w:fill="00497F"/>
          </w:tcPr>
          <w:p>
            <w:pPr>
              <w:spacing w:after="0"/>
              <w:rPr>
                <w:sz w:val="23"/>
                <w:szCs w:val="23"/>
                <w:color w:val="auto"/>
              </w:rPr>
            </w:pPr>
          </w:p>
        </w:tc>
        <w:tc>
          <w:tcPr>
            <w:tcW w:w="1680" w:type="dxa"/>
            <w:vAlign w:val="bottom"/>
            <w:shd w:val="clear" w:color="auto" w:fill="00497F"/>
          </w:tcPr>
          <w:p>
            <w:pPr>
              <w:ind w:left="660"/>
              <w:spacing w:after="0"/>
              <w:rPr>
                <w:sz w:val="20"/>
                <w:szCs w:val="20"/>
                <w:color w:val="auto"/>
              </w:rPr>
            </w:pPr>
            <w:r>
              <w:rPr>
                <w:rFonts w:ascii="Arial" w:cs="Arial" w:eastAsia="Arial" w:hAnsi="Arial"/>
                <w:sz w:val="14"/>
                <w:szCs w:val="14"/>
                <w:b w:val="1"/>
                <w:bCs w:val="1"/>
                <w:color w:val="FFFFFF"/>
              </w:rPr>
              <w:t>Narrowbody</w:t>
            </w:r>
          </w:p>
        </w:tc>
        <w:tc>
          <w:tcPr>
            <w:tcW w:w="480" w:type="dxa"/>
            <w:vAlign w:val="bottom"/>
            <w:shd w:val="clear" w:color="auto" w:fill="00497F"/>
          </w:tcPr>
          <w:p>
            <w:pPr>
              <w:spacing w:after="0"/>
              <w:rPr>
                <w:sz w:val="23"/>
                <w:szCs w:val="23"/>
                <w:color w:val="auto"/>
              </w:rPr>
            </w:pPr>
          </w:p>
        </w:tc>
        <w:tc>
          <w:tcPr>
            <w:tcW w:w="100" w:type="dxa"/>
            <w:vAlign w:val="bottom"/>
            <w:shd w:val="clear" w:color="auto" w:fill="00497F"/>
          </w:tcPr>
          <w:p>
            <w:pPr>
              <w:spacing w:after="0"/>
              <w:rPr>
                <w:sz w:val="23"/>
                <w:szCs w:val="23"/>
                <w:color w:val="auto"/>
              </w:rPr>
            </w:pPr>
          </w:p>
        </w:tc>
        <w:tc>
          <w:tcPr>
            <w:tcW w:w="2160" w:type="dxa"/>
            <w:vAlign w:val="bottom"/>
            <w:shd w:val="clear" w:color="auto" w:fill="00497F"/>
          </w:tcPr>
          <w:p>
            <w:pPr>
              <w:jc w:val="right"/>
              <w:ind w:right="848"/>
              <w:spacing w:after="0"/>
              <w:rPr>
                <w:sz w:val="20"/>
                <w:szCs w:val="20"/>
                <w:color w:val="auto"/>
              </w:rPr>
            </w:pPr>
            <w:r>
              <w:rPr>
                <w:rFonts w:ascii="Arial" w:cs="Arial" w:eastAsia="Arial" w:hAnsi="Arial"/>
                <w:sz w:val="14"/>
                <w:szCs w:val="14"/>
                <w:b w:val="1"/>
                <w:bCs w:val="1"/>
                <w:color w:val="FFFFFF"/>
              </w:rPr>
              <w:t>Total</w:t>
            </w:r>
          </w:p>
        </w:tc>
      </w:tr>
      <w:tr>
        <w:trPr>
          <w:trHeight w:val="230"/>
        </w:trPr>
        <w:tc>
          <w:tcPr>
            <w:tcW w:w="40" w:type="dxa"/>
            <w:vAlign w:val="bottom"/>
          </w:tcPr>
          <w:p>
            <w:pPr>
              <w:spacing w:after="0"/>
              <w:rPr>
                <w:sz w:val="19"/>
                <w:szCs w:val="19"/>
                <w:color w:val="auto"/>
              </w:rPr>
            </w:pPr>
          </w:p>
        </w:tc>
        <w:tc>
          <w:tcPr>
            <w:tcW w:w="46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Aircraft</w:t>
            </w:r>
          </w:p>
        </w:tc>
        <w:tc>
          <w:tcPr>
            <w:tcW w:w="1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89"/>
        </w:trPr>
        <w:tc>
          <w:tcPr>
            <w:tcW w:w="40" w:type="dxa"/>
            <w:vAlign w:val="bottom"/>
          </w:tcPr>
          <w:p>
            <w:pPr>
              <w:spacing w:after="0"/>
              <w:rPr>
                <w:sz w:val="24"/>
                <w:szCs w:val="24"/>
                <w:color w:val="auto"/>
              </w:rPr>
            </w:pPr>
          </w:p>
        </w:tc>
        <w:tc>
          <w:tcPr>
            <w:tcW w:w="4660" w:type="dxa"/>
            <w:vAlign w:val="bottom"/>
            <w:gridSpan w:val="3"/>
          </w:tcPr>
          <w:p>
            <w:pPr>
              <w:spacing w:after="0"/>
              <w:rPr>
                <w:sz w:val="20"/>
                <w:szCs w:val="20"/>
                <w:color w:val="auto"/>
              </w:rPr>
            </w:pPr>
            <w:r>
              <w:rPr>
                <w:rFonts w:ascii="Arial" w:cs="Arial" w:eastAsia="Arial" w:hAnsi="Arial"/>
                <w:sz w:val="14"/>
                <w:szCs w:val="14"/>
                <w:b w:val="1"/>
                <w:bCs w:val="1"/>
                <w:color w:val="auto"/>
              </w:rPr>
              <w:t>Assets at January 1, 2017</w:t>
            </w:r>
          </w:p>
        </w:tc>
        <w:tc>
          <w:tcPr>
            <w:tcW w:w="1660" w:type="dxa"/>
            <w:vAlign w:val="bottom"/>
          </w:tcPr>
          <w:p>
            <w:pPr>
              <w:spacing w:after="0"/>
              <w:rPr>
                <w:sz w:val="24"/>
                <w:szCs w:val="24"/>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b w:val="1"/>
                <w:bCs w:val="1"/>
                <w:color w:val="auto"/>
              </w:rPr>
              <w:t>7</w:t>
            </w: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b w:val="1"/>
                <w:bCs w:val="1"/>
                <w:color w:val="auto"/>
              </w:rPr>
              <w:t>19</w:t>
            </w:r>
          </w:p>
        </w:tc>
        <w:tc>
          <w:tcPr>
            <w:tcW w:w="100" w:type="dxa"/>
            <w:vAlign w:val="bottom"/>
          </w:tcPr>
          <w:p>
            <w:pPr>
              <w:spacing w:after="0"/>
              <w:rPr>
                <w:sz w:val="24"/>
                <w:szCs w:val="24"/>
                <w:color w:val="auto"/>
              </w:rPr>
            </w:pPr>
          </w:p>
        </w:tc>
        <w:tc>
          <w:tcPr>
            <w:tcW w:w="2160" w:type="dxa"/>
            <w:vAlign w:val="bottom"/>
          </w:tcPr>
          <w:p>
            <w:pPr>
              <w:jc w:val="right"/>
              <w:ind w:right="28"/>
              <w:spacing w:after="0"/>
              <w:rPr>
                <w:sz w:val="20"/>
                <w:szCs w:val="20"/>
                <w:color w:val="auto"/>
              </w:rPr>
            </w:pPr>
            <w:r>
              <w:rPr>
                <w:rFonts w:ascii="Arial" w:cs="Arial" w:eastAsia="Arial" w:hAnsi="Arial"/>
                <w:sz w:val="14"/>
                <w:szCs w:val="14"/>
                <w:b w:val="1"/>
                <w:bCs w:val="1"/>
                <w:color w:val="auto"/>
              </w:rPr>
              <w:t>26</w:t>
            </w:r>
          </w:p>
        </w:tc>
      </w:tr>
      <w:tr>
        <w:trPr>
          <w:trHeight w:val="264"/>
        </w:trPr>
        <w:tc>
          <w:tcPr>
            <w:tcW w:w="40" w:type="dxa"/>
            <w:vAlign w:val="bottom"/>
          </w:tcPr>
          <w:p>
            <w:pPr>
              <w:spacing w:after="0"/>
              <w:rPr>
                <w:sz w:val="22"/>
                <w:szCs w:val="22"/>
                <w:color w:val="auto"/>
              </w:rPr>
            </w:pPr>
          </w:p>
        </w:tc>
        <w:tc>
          <w:tcPr>
            <w:tcW w:w="4660" w:type="dxa"/>
            <w:vAlign w:val="bottom"/>
            <w:gridSpan w:val="3"/>
          </w:tcPr>
          <w:p>
            <w:pPr>
              <w:ind w:left="240"/>
              <w:spacing w:after="0"/>
              <w:rPr>
                <w:sz w:val="20"/>
                <w:szCs w:val="20"/>
                <w:color w:val="auto"/>
              </w:rPr>
            </w:pPr>
            <w:r>
              <w:rPr>
                <w:rFonts w:ascii="Arial" w:cs="Arial" w:eastAsia="Arial" w:hAnsi="Arial"/>
                <w:sz w:val="14"/>
                <w:szCs w:val="14"/>
                <w:color w:val="auto"/>
              </w:rPr>
              <w:t>Purchases</w:t>
            </w:r>
          </w:p>
        </w:tc>
        <w:tc>
          <w:tcPr>
            <w:tcW w:w="1660" w:type="dxa"/>
            <w:vAlign w:val="bottom"/>
          </w:tcPr>
          <w:p>
            <w:pPr>
              <w:spacing w:after="0"/>
              <w:rPr>
                <w:sz w:val="22"/>
                <w:szCs w:val="22"/>
                <w:color w:val="auto"/>
              </w:rPr>
            </w:pPr>
          </w:p>
        </w:tc>
        <w:tc>
          <w:tcPr>
            <w:tcW w:w="2320" w:type="dxa"/>
            <w:vAlign w:val="bottom"/>
            <w:gridSpan w:val="3"/>
          </w:tcPr>
          <w:p>
            <w:pPr>
              <w:jc w:val="right"/>
              <w:ind w:right="1848"/>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2160" w:type="dxa"/>
            <w:vAlign w:val="bottom"/>
          </w:tcPr>
          <w:p>
            <w:pPr>
              <w:jc w:val="right"/>
              <w:ind w:right="28"/>
              <w:spacing w:after="0"/>
              <w:rPr>
                <w:sz w:val="20"/>
                <w:szCs w:val="20"/>
                <w:color w:val="auto"/>
              </w:rPr>
            </w:pPr>
            <w:r>
              <w:rPr>
                <w:rFonts w:ascii="Arial" w:cs="Arial" w:eastAsia="Arial" w:hAnsi="Arial"/>
                <w:sz w:val="14"/>
                <w:szCs w:val="14"/>
                <w:color w:val="auto"/>
              </w:rPr>
              <w:t>6</w:t>
            </w:r>
          </w:p>
        </w:tc>
      </w:tr>
      <w:tr>
        <w:trPr>
          <w:trHeight w:val="274"/>
        </w:trPr>
        <w:tc>
          <w:tcPr>
            <w:tcW w:w="40" w:type="dxa"/>
            <w:vAlign w:val="bottom"/>
          </w:tcPr>
          <w:p>
            <w:pPr>
              <w:spacing w:after="0"/>
              <w:rPr>
                <w:sz w:val="23"/>
                <w:szCs w:val="23"/>
                <w:color w:val="auto"/>
              </w:rPr>
            </w:pPr>
          </w:p>
        </w:tc>
        <w:tc>
          <w:tcPr>
            <w:tcW w:w="4660" w:type="dxa"/>
            <w:vAlign w:val="bottom"/>
            <w:gridSpan w:val="3"/>
          </w:tcPr>
          <w:p>
            <w:pPr>
              <w:ind w:left="240"/>
              <w:spacing w:after="0"/>
              <w:rPr>
                <w:sz w:val="20"/>
                <w:szCs w:val="20"/>
                <w:color w:val="auto"/>
              </w:rPr>
            </w:pPr>
            <w:r>
              <w:rPr>
                <w:rFonts w:ascii="Arial" w:cs="Arial" w:eastAsia="Arial" w:hAnsi="Arial"/>
                <w:sz w:val="14"/>
                <w:szCs w:val="14"/>
                <w:color w:val="auto"/>
              </w:rPr>
              <w:t>Sales</w:t>
            </w:r>
          </w:p>
        </w:tc>
        <w:tc>
          <w:tcPr>
            <w:tcW w:w="1660" w:type="dxa"/>
            <w:vAlign w:val="bottom"/>
          </w:tcPr>
          <w:p>
            <w:pPr>
              <w:spacing w:after="0"/>
              <w:rPr>
                <w:sz w:val="23"/>
                <w:szCs w:val="23"/>
                <w:color w:val="auto"/>
              </w:rPr>
            </w:pPr>
          </w:p>
        </w:tc>
        <w:tc>
          <w:tcPr>
            <w:tcW w:w="2320" w:type="dxa"/>
            <w:vAlign w:val="bottom"/>
            <w:gridSpan w:val="3"/>
          </w:tcPr>
          <w:p>
            <w:pPr>
              <w:jc w:val="right"/>
              <w:ind w:right="184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216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52"/>
        </w:trPr>
        <w:tc>
          <w:tcPr>
            <w:tcW w:w="40" w:type="dxa"/>
            <w:vAlign w:val="bottom"/>
          </w:tcPr>
          <w:p>
            <w:pPr>
              <w:spacing w:after="0"/>
              <w:rPr>
                <w:sz w:val="21"/>
                <w:szCs w:val="21"/>
                <w:color w:val="auto"/>
              </w:rPr>
            </w:pPr>
          </w:p>
        </w:tc>
        <w:tc>
          <w:tcPr>
            <w:tcW w:w="4660" w:type="dxa"/>
            <w:vAlign w:val="bottom"/>
            <w:gridSpan w:val="3"/>
          </w:tcPr>
          <w:p>
            <w:pPr>
              <w:spacing w:after="0"/>
              <w:rPr>
                <w:sz w:val="20"/>
                <w:szCs w:val="20"/>
                <w:color w:val="auto"/>
              </w:rPr>
            </w:pPr>
            <w:r>
              <w:rPr>
                <w:rFonts w:ascii="Arial" w:cs="Arial" w:eastAsia="Arial" w:hAnsi="Arial"/>
                <w:sz w:val="14"/>
                <w:szCs w:val="14"/>
                <w:b w:val="1"/>
                <w:bCs w:val="1"/>
                <w:color w:val="auto"/>
              </w:rPr>
              <w:t>Assets at March 31, 2017</w:t>
            </w:r>
          </w:p>
        </w:tc>
        <w:tc>
          <w:tcPr>
            <w:tcW w:w="166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w:t>
            </w:r>
          </w:p>
        </w:tc>
        <w:tc>
          <w:tcPr>
            <w:tcW w:w="120" w:type="dxa"/>
            <w:vAlign w:val="bottom"/>
          </w:tcPr>
          <w:p>
            <w:pPr>
              <w:spacing w:after="0"/>
              <w:rPr>
                <w:sz w:val="21"/>
                <w:szCs w:val="21"/>
                <w:color w:val="auto"/>
              </w:rPr>
            </w:pPr>
          </w:p>
        </w:tc>
        <w:tc>
          <w:tcPr>
            <w:tcW w:w="1680" w:type="dxa"/>
            <w:vAlign w:val="bottom"/>
            <w:tcBorders>
              <w:top w:val="single" w:sz="8" w:color="auto"/>
              <w:bottom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24</w:t>
            </w:r>
          </w:p>
        </w:tc>
        <w:tc>
          <w:tcPr>
            <w:tcW w:w="100" w:type="dxa"/>
            <w:vAlign w:val="bottom"/>
          </w:tcPr>
          <w:p>
            <w:pPr>
              <w:spacing w:after="0"/>
              <w:rPr>
                <w:sz w:val="21"/>
                <w:szCs w:val="21"/>
                <w:color w:val="auto"/>
              </w:rPr>
            </w:pPr>
          </w:p>
        </w:tc>
        <w:tc>
          <w:tcPr>
            <w:tcW w:w="21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31</w:t>
            </w:r>
          </w:p>
        </w:tc>
      </w:tr>
      <w:tr>
        <w:trPr>
          <w:trHeight w:val="549"/>
        </w:trPr>
        <w:tc>
          <w:tcPr>
            <w:tcW w:w="40" w:type="dxa"/>
            <w:vAlign w:val="bottom"/>
          </w:tcPr>
          <w:p>
            <w:pPr>
              <w:spacing w:after="0"/>
              <w:rPr>
                <w:sz w:val="24"/>
                <w:szCs w:val="24"/>
                <w:color w:val="auto"/>
              </w:rPr>
            </w:pPr>
          </w:p>
        </w:tc>
        <w:tc>
          <w:tcPr>
            <w:tcW w:w="46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Jet Engines</w:t>
            </w:r>
          </w:p>
        </w:tc>
        <w:tc>
          <w:tcPr>
            <w:tcW w:w="1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89"/>
        </w:trPr>
        <w:tc>
          <w:tcPr>
            <w:tcW w:w="40" w:type="dxa"/>
            <w:vAlign w:val="bottom"/>
          </w:tcPr>
          <w:p>
            <w:pPr>
              <w:spacing w:after="0"/>
              <w:rPr>
                <w:sz w:val="24"/>
                <w:szCs w:val="24"/>
                <w:color w:val="auto"/>
              </w:rPr>
            </w:pPr>
          </w:p>
        </w:tc>
        <w:tc>
          <w:tcPr>
            <w:tcW w:w="4660" w:type="dxa"/>
            <w:vAlign w:val="bottom"/>
            <w:gridSpan w:val="3"/>
          </w:tcPr>
          <w:p>
            <w:pPr>
              <w:spacing w:after="0"/>
              <w:rPr>
                <w:sz w:val="20"/>
                <w:szCs w:val="20"/>
                <w:color w:val="auto"/>
              </w:rPr>
            </w:pPr>
            <w:r>
              <w:rPr>
                <w:rFonts w:ascii="Arial" w:cs="Arial" w:eastAsia="Arial" w:hAnsi="Arial"/>
                <w:sz w:val="14"/>
                <w:szCs w:val="14"/>
                <w:b w:val="1"/>
                <w:bCs w:val="1"/>
                <w:color w:val="auto"/>
              </w:rPr>
              <w:t>Assets at January 1, 2017</w:t>
            </w:r>
          </w:p>
        </w:tc>
        <w:tc>
          <w:tcPr>
            <w:tcW w:w="1660" w:type="dxa"/>
            <w:vAlign w:val="bottom"/>
          </w:tcPr>
          <w:p>
            <w:pPr>
              <w:spacing w:after="0"/>
              <w:rPr>
                <w:sz w:val="24"/>
                <w:szCs w:val="24"/>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b w:val="1"/>
                <w:bCs w:val="1"/>
                <w:color w:val="auto"/>
              </w:rPr>
              <w:t>38</w:t>
            </w: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b w:val="1"/>
                <w:bCs w:val="1"/>
                <w:color w:val="auto"/>
              </w:rPr>
              <w:t>28</w:t>
            </w:r>
          </w:p>
        </w:tc>
        <w:tc>
          <w:tcPr>
            <w:tcW w:w="100" w:type="dxa"/>
            <w:vAlign w:val="bottom"/>
          </w:tcPr>
          <w:p>
            <w:pPr>
              <w:spacing w:after="0"/>
              <w:rPr>
                <w:sz w:val="24"/>
                <w:szCs w:val="24"/>
                <w:color w:val="auto"/>
              </w:rPr>
            </w:pPr>
          </w:p>
        </w:tc>
        <w:tc>
          <w:tcPr>
            <w:tcW w:w="2160" w:type="dxa"/>
            <w:vAlign w:val="bottom"/>
          </w:tcPr>
          <w:p>
            <w:pPr>
              <w:jc w:val="right"/>
              <w:ind w:right="28"/>
              <w:spacing w:after="0"/>
              <w:rPr>
                <w:sz w:val="20"/>
                <w:szCs w:val="20"/>
                <w:color w:val="auto"/>
              </w:rPr>
            </w:pPr>
            <w:r>
              <w:rPr>
                <w:rFonts w:ascii="Arial" w:cs="Arial" w:eastAsia="Arial" w:hAnsi="Arial"/>
                <w:sz w:val="14"/>
                <w:szCs w:val="14"/>
                <w:b w:val="1"/>
                <w:bCs w:val="1"/>
                <w:color w:val="auto"/>
              </w:rPr>
              <w:t>66</w:t>
            </w:r>
          </w:p>
        </w:tc>
      </w:tr>
      <w:tr>
        <w:trPr>
          <w:trHeight w:val="264"/>
        </w:trPr>
        <w:tc>
          <w:tcPr>
            <w:tcW w:w="40" w:type="dxa"/>
            <w:vAlign w:val="bottom"/>
          </w:tcPr>
          <w:p>
            <w:pPr>
              <w:spacing w:after="0"/>
              <w:rPr>
                <w:sz w:val="22"/>
                <w:szCs w:val="22"/>
                <w:color w:val="auto"/>
              </w:rPr>
            </w:pPr>
          </w:p>
        </w:tc>
        <w:tc>
          <w:tcPr>
            <w:tcW w:w="4660" w:type="dxa"/>
            <w:vAlign w:val="bottom"/>
            <w:gridSpan w:val="3"/>
          </w:tcPr>
          <w:p>
            <w:pPr>
              <w:ind w:left="240"/>
              <w:spacing w:after="0"/>
              <w:rPr>
                <w:sz w:val="20"/>
                <w:szCs w:val="20"/>
                <w:color w:val="auto"/>
              </w:rPr>
            </w:pPr>
            <w:r>
              <w:rPr>
                <w:rFonts w:ascii="Arial" w:cs="Arial" w:eastAsia="Arial" w:hAnsi="Arial"/>
                <w:sz w:val="14"/>
                <w:szCs w:val="14"/>
                <w:color w:val="auto"/>
              </w:rPr>
              <w:t>Purchases</w:t>
            </w:r>
          </w:p>
        </w:tc>
        <w:tc>
          <w:tcPr>
            <w:tcW w:w="1660" w:type="dxa"/>
            <w:vAlign w:val="bottom"/>
          </w:tcPr>
          <w:p>
            <w:pPr>
              <w:spacing w:after="0"/>
              <w:rPr>
                <w:sz w:val="22"/>
                <w:szCs w:val="22"/>
                <w:color w:val="auto"/>
              </w:rPr>
            </w:pPr>
          </w:p>
        </w:tc>
        <w:tc>
          <w:tcPr>
            <w:tcW w:w="2320" w:type="dxa"/>
            <w:vAlign w:val="bottom"/>
            <w:gridSpan w:val="3"/>
          </w:tcPr>
          <w:p>
            <w:pPr>
              <w:jc w:val="right"/>
              <w:ind w:right="1848"/>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2160" w:type="dxa"/>
            <w:vAlign w:val="bottom"/>
          </w:tcPr>
          <w:p>
            <w:pPr>
              <w:jc w:val="right"/>
              <w:ind w:right="28"/>
              <w:spacing w:after="0"/>
              <w:rPr>
                <w:sz w:val="20"/>
                <w:szCs w:val="20"/>
                <w:color w:val="auto"/>
              </w:rPr>
            </w:pPr>
            <w:r>
              <w:rPr>
                <w:rFonts w:ascii="Arial" w:cs="Arial" w:eastAsia="Arial" w:hAnsi="Arial"/>
                <w:sz w:val="14"/>
                <w:szCs w:val="14"/>
                <w:color w:val="auto"/>
              </w:rPr>
              <w:t>12</w:t>
            </w:r>
          </w:p>
        </w:tc>
      </w:tr>
      <w:tr>
        <w:trPr>
          <w:trHeight w:val="274"/>
        </w:trPr>
        <w:tc>
          <w:tcPr>
            <w:tcW w:w="40" w:type="dxa"/>
            <w:vAlign w:val="bottom"/>
          </w:tcPr>
          <w:p>
            <w:pPr>
              <w:spacing w:after="0"/>
              <w:rPr>
                <w:sz w:val="23"/>
                <w:szCs w:val="23"/>
                <w:color w:val="auto"/>
              </w:rPr>
            </w:pPr>
          </w:p>
        </w:tc>
        <w:tc>
          <w:tcPr>
            <w:tcW w:w="4660" w:type="dxa"/>
            <w:vAlign w:val="bottom"/>
            <w:gridSpan w:val="3"/>
          </w:tcPr>
          <w:p>
            <w:pPr>
              <w:ind w:left="240"/>
              <w:spacing w:after="0"/>
              <w:rPr>
                <w:sz w:val="20"/>
                <w:szCs w:val="20"/>
                <w:color w:val="auto"/>
              </w:rPr>
            </w:pPr>
            <w:r>
              <w:rPr>
                <w:rFonts w:ascii="Arial" w:cs="Arial" w:eastAsia="Arial" w:hAnsi="Arial"/>
                <w:sz w:val="14"/>
                <w:szCs w:val="14"/>
                <w:color w:val="auto"/>
              </w:rPr>
              <w:t>Sales</w:t>
            </w:r>
          </w:p>
        </w:tc>
        <w:tc>
          <w:tcPr>
            <w:tcW w:w="1660" w:type="dxa"/>
            <w:vAlign w:val="bottom"/>
          </w:tcPr>
          <w:p>
            <w:pPr>
              <w:spacing w:after="0"/>
              <w:rPr>
                <w:sz w:val="23"/>
                <w:szCs w:val="23"/>
                <w:color w:val="auto"/>
              </w:rPr>
            </w:pPr>
          </w:p>
        </w:tc>
        <w:tc>
          <w:tcPr>
            <w:tcW w:w="2320" w:type="dxa"/>
            <w:vAlign w:val="bottom"/>
            <w:gridSpan w:val="3"/>
          </w:tcPr>
          <w:p>
            <w:pPr>
              <w:jc w:val="right"/>
              <w:ind w:right="1848"/>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1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53"/>
        </w:trPr>
        <w:tc>
          <w:tcPr>
            <w:tcW w:w="40" w:type="dxa"/>
            <w:vAlign w:val="bottom"/>
          </w:tcPr>
          <w:p>
            <w:pPr>
              <w:spacing w:after="0"/>
              <w:rPr>
                <w:sz w:val="22"/>
                <w:szCs w:val="22"/>
                <w:color w:val="auto"/>
              </w:rPr>
            </w:pPr>
          </w:p>
        </w:tc>
        <w:tc>
          <w:tcPr>
            <w:tcW w:w="4660" w:type="dxa"/>
            <w:vAlign w:val="bottom"/>
            <w:gridSpan w:val="3"/>
          </w:tcPr>
          <w:p>
            <w:pPr>
              <w:spacing w:after="0"/>
              <w:rPr>
                <w:sz w:val="20"/>
                <w:szCs w:val="20"/>
                <w:color w:val="auto"/>
              </w:rPr>
            </w:pPr>
            <w:r>
              <w:rPr>
                <w:rFonts w:ascii="Arial" w:cs="Arial" w:eastAsia="Arial" w:hAnsi="Arial"/>
                <w:sz w:val="14"/>
                <w:szCs w:val="14"/>
                <w:b w:val="1"/>
                <w:bCs w:val="1"/>
                <w:color w:val="auto"/>
              </w:rPr>
              <w:t>Assets at March 31, 2017</w:t>
            </w:r>
          </w:p>
        </w:tc>
        <w:tc>
          <w:tcPr>
            <w:tcW w:w="166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38</w:t>
            </w:r>
          </w:p>
        </w:tc>
        <w:tc>
          <w:tcPr>
            <w:tcW w:w="120" w:type="dxa"/>
            <w:vAlign w:val="bottom"/>
          </w:tcPr>
          <w:p>
            <w:pPr>
              <w:spacing w:after="0"/>
              <w:rPr>
                <w:sz w:val="22"/>
                <w:szCs w:val="22"/>
                <w:color w:val="auto"/>
              </w:rPr>
            </w:pPr>
          </w:p>
        </w:tc>
        <w:tc>
          <w:tcPr>
            <w:tcW w:w="168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40</w:t>
            </w:r>
          </w:p>
        </w:tc>
        <w:tc>
          <w:tcPr>
            <w:tcW w:w="100" w:type="dxa"/>
            <w:vAlign w:val="bottom"/>
          </w:tcPr>
          <w:p>
            <w:pPr>
              <w:spacing w:after="0"/>
              <w:rPr>
                <w:sz w:val="22"/>
                <w:szCs w:val="22"/>
                <w:color w:val="auto"/>
              </w:rPr>
            </w:pPr>
          </w:p>
        </w:tc>
        <w:tc>
          <w:tcPr>
            <w:tcW w:w="21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78</w:t>
            </w:r>
          </w:p>
        </w:tc>
      </w:tr>
    </w:tbl>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680" w:right="239" w:bottom="1440" w:gutter="0" w:footer="0" w:header="0"/>
        </w:sectPr>
      </w:pPr>
    </w:p>
    <w:bookmarkStart w:id="43" w:name="page44"/>
    <w:bookmarkEnd w:id="43"/>
    <w:p>
      <w:pPr>
        <w:spacing w:after="0" w:line="291" w:lineRule="auto"/>
        <w:rPr>
          <w:sz w:val="20"/>
          <w:szCs w:val="20"/>
          <w:color w:val="auto"/>
        </w:rPr>
      </w:pPr>
      <w:r>
        <w:rPr>
          <w:rFonts w:ascii="Arial" w:cs="Arial" w:eastAsia="Arial" w:hAnsi="Arial"/>
          <w:sz w:val="16"/>
          <w:szCs w:val="16"/>
          <w:color w:val="auto"/>
        </w:rPr>
        <w:t>The following table presents our results of operations and reconciliation of net income attributable to shareholders to Adjusted Net Income for the Aviation Leasing segment for the three months ended March 31, 2017 and March 31, 2016:</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60" w:type="dxa"/>
            <w:vAlign w:val="bottom"/>
            <w:gridSpan w:val="5"/>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4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March 31,</w:t>
            </w:r>
          </w:p>
        </w:tc>
        <w:tc>
          <w:tcPr>
            <w:tcW w:w="1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ind w:right="44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6"/>
        </w:trPr>
        <w:tc>
          <w:tcPr>
            <w:tcW w:w="640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380" w:type="dxa"/>
            <w:vAlign w:val="bottom"/>
          </w:tcPr>
          <w:p>
            <w:pPr>
              <w:spacing w:after="0"/>
              <w:rPr>
                <w:sz w:val="20"/>
                <w:szCs w:val="20"/>
                <w:color w:val="auto"/>
              </w:rPr>
            </w:pPr>
          </w:p>
        </w:tc>
        <w:tc>
          <w:tcPr>
            <w:tcW w:w="1260" w:type="dxa"/>
            <w:vAlign w:val="bottom"/>
          </w:tcPr>
          <w:p>
            <w:pPr>
              <w:jc w:val="right"/>
              <w:ind w:right="58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ind w:right="568"/>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64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Revenues</w:t>
            </w: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400" w:type="dxa"/>
            <w:vAlign w:val="bottom"/>
            <w:vMerge w:val="continue"/>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Equipment leasing revenues</w:t>
            </w: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6400" w:type="dxa"/>
            <w:vAlign w:val="bottom"/>
          </w:tcPr>
          <w:p>
            <w:pPr>
              <w:ind w:left="40"/>
              <w:spacing w:after="0"/>
              <w:rPr>
                <w:sz w:val="20"/>
                <w:szCs w:val="20"/>
                <w:color w:val="auto"/>
              </w:rPr>
            </w:pPr>
            <w:r>
              <w:rPr>
                <w:rFonts w:ascii="Arial" w:cs="Arial" w:eastAsia="Arial" w:hAnsi="Arial"/>
                <w:sz w:val="14"/>
                <w:szCs w:val="14"/>
                <w:color w:val="auto"/>
              </w:rPr>
              <w:t>Lease income</w:t>
            </w:r>
          </w:p>
        </w:tc>
        <w:tc>
          <w:tcPr>
            <w:tcW w:w="38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68"/>
              <w:spacing w:after="0"/>
              <w:rPr>
                <w:sz w:val="20"/>
                <w:szCs w:val="20"/>
                <w:color w:val="auto"/>
              </w:rPr>
            </w:pPr>
            <w:r>
              <w:rPr>
                <w:rFonts w:ascii="Arial" w:cs="Arial" w:eastAsia="Arial" w:hAnsi="Arial"/>
                <w:sz w:val="14"/>
                <w:szCs w:val="14"/>
                <w:b w:val="1"/>
                <w:bCs w:val="1"/>
                <w:color w:val="auto"/>
              </w:rPr>
              <w:t>17,635</w:t>
            </w:r>
          </w:p>
        </w:tc>
        <w:tc>
          <w:tcPr>
            <w:tcW w:w="120" w:type="dxa"/>
            <w:vAlign w:val="bottom"/>
          </w:tcPr>
          <w:p>
            <w:pPr>
              <w:spacing w:after="0"/>
              <w:rPr>
                <w:sz w:val="23"/>
                <w:szCs w:val="23"/>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12,847</w:t>
            </w:r>
          </w:p>
        </w:tc>
        <w:tc>
          <w:tcPr>
            <w:tcW w:w="100" w:type="dxa"/>
            <w:vAlign w:val="bottom"/>
          </w:tcPr>
          <w:p>
            <w:pPr>
              <w:spacing w:after="0"/>
              <w:rPr>
                <w:sz w:val="23"/>
                <w:szCs w:val="23"/>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4,788</w:t>
            </w:r>
          </w:p>
        </w:tc>
        <w:tc>
          <w:tcPr>
            <w:tcW w:w="0" w:type="dxa"/>
            <w:vAlign w:val="bottom"/>
          </w:tcPr>
          <w:p>
            <w:pPr>
              <w:spacing w:after="0"/>
              <w:rPr>
                <w:sz w:val="1"/>
                <w:szCs w:val="1"/>
                <w:color w:val="auto"/>
              </w:rPr>
            </w:pPr>
          </w:p>
        </w:tc>
      </w:tr>
      <w:tr>
        <w:trPr>
          <w:trHeight w:val="27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Maintenance revenue</w:t>
            </w: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12,669</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5,106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7,563</w:t>
            </w:r>
          </w:p>
        </w:tc>
        <w:tc>
          <w:tcPr>
            <w:tcW w:w="0" w:type="dxa"/>
            <w:vAlign w:val="bottom"/>
          </w:tcPr>
          <w:p>
            <w:pPr>
              <w:spacing w:after="0"/>
              <w:rPr>
                <w:sz w:val="1"/>
                <w:szCs w:val="1"/>
                <w:color w:val="auto"/>
              </w:rPr>
            </w:pPr>
          </w:p>
        </w:tc>
      </w:tr>
      <w:tr>
        <w:trPr>
          <w:trHeight w:val="269"/>
        </w:trPr>
        <w:tc>
          <w:tcPr>
            <w:tcW w:w="6400" w:type="dxa"/>
            <w:vAlign w:val="bottom"/>
          </w:tcPr>
          <w:p>
            <w:pPr>
              <w:ind w:left="40"/>
              <w:spacing w:after="0"/>
              <w:rPr>
                <w:sz w:val="20"/>
                <w:szCs w:val="20"/>
                <w:color w:val="auto"/>
              </w:rPr>
            </w:pPr>
            <w:r>
              <w:rPr>
                <w:rFonts w:ascii="Arial" w:cs="Arial" w:eastAsia="Arial" w:hAnsi="Arial"/>
                <w:sz w:val="14"/>
                <w:szCs w:val="14"/>
                <w:color w:val="auto"/>
              </w:rPr>
              <w:t>Other revenue</w:t>
            </w:r>
          </w:p>
        </w:tc>
        <w:tc>
          <w:tcPr>
            <w:tcW w:w="380" w:type="dxa"/>
            <w:vAlign w:val="bottom"/>
          </w:tcPr>
          <w:p>
            <w:pPr>
              <w:spacing w:after="0"/>
              <w:rPr>
                <w:sz w:val="23"/>
                <w:szCs w:val="23"/>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50"/>
        </w:trPr>
        <w:tc>
          <w:tcPr>
            <w:tcW w:w="64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revenues</w:t>
            </w: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30,306</w:t>
            </w:r>
          </w:p>
        </w:tc>
        <w:tc>
          <w:tcPr>
            <w:tcW w:w="12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17,953</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12,353</w:t>
            </w:r>
          </w:p>
        </w:tc>
        <w:tc>
          <w:tcPr>
            <w:tcW w:w="0" w:type="dxa"/>
            <w:vAlign w:val="bottom"/>
          </w:tcPr>
          <w:p>
            <w:pPr>
              <w:spacing w:after="0"/>
              <w:rPr>
                <w:sz w:val="1"/>
                <w:szCs w:val="1"/>
                <w:color w:val="auto"/>
              </w:rPr>
            </w:pPr>
          </w:p>
        </w:tc>
      </w:tr>
      <w:tr>
        <w:trPr>
          <w:trHeight w:val="292"/>
        </w:trPr>
        <w:tc>
          <w:tcPr>
            <w:tcW w:w="6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Expenses</w:t>
            </w: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640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380" w:type="dxa"/>
            <w:vAlign w:val="bottom"/>
          </w:tcPr>
          <w:p>
            <w:pPr>
              <w:spacing w:after="0"/>
              <w:rPr>
                <w:sz w:val="23"/>
                <w:szCs w:val="23"/>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b w:val="1"/>
                <w:bCs w:val="1"/>
                <w:color w:val="auto"/>
              </w:rPr>
              <w:t>1,419</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817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602</w:t>
            </w:r>
          </w:p>
        </w:tc>
        <w:tc>
          <w:tcPr>
            <w:tcW w:w="0" w:type="dxa"/>
            <w:vAlign w:val="bottom"/>
          </w:tcPr>
          <w:p>
            <w:pPr>
              <w:spacing w:after="0"/>
              <w:rPr>
                <w:sz w:val="1"/>
                <w:szCs w:val="1"/>
                <w:color w:val="auto"/>
              </w:rPr>
            </w:pPr>
          </w:p>
        </w:tc>
      </w:tr>
      <w:tr>
        <w:trPr>
          <w:trHeight w:val="27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 and transaction expenses</w:t>
            </w: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215</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269"/>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Depreciation and amortization</w:t>
            </w:r>
          </w:p>
        </w:tc>
        <w:tc>
          <w:tcPr>
            <w:tcW w:w="3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11,289</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7,427</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3,862</w:t>
            </w:r>
          </w:p>
        </w:tc>
        <w:tc>
          <w:tcPr>
            <w:tcW w:w="0" w:type="dxa"/>
            <w:vAlign w:val="bottom"/>
          </w:tcPr>
          <w:p>
            <w:pPr>
              <w:spacing w:after="0"/>
              <w:rPr>
                <w:sz w:val="1"/>
                <w:szCs w:val="1"/>
                <w:color w:val="auto"/>
              </w:rPr>
            </w:pPr>
          </w:p>
        </w:tc>
      </w:tr>
      <w:tr>
        <w:trPr>
          <w:trHeight w:val="25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expenses</w:t>
            </w: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12,923</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8,244</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4,679</w:t>
            </w:r>
          </w:p>
        </w:tc>
        <w:tc>
          <w:tcPr>
            <w:tcW w:w="0" w:type="dxa"/>
            <w:vAlign w:val="bottom"/>
          </w:tcPr>
          <w:p>
            <w:pPr>
              <w:spacing w:after="0"/>
              <w:rPr>
                <w:sz w:val="1"/>
                <w:szCs w:val="1"/>
                <w:color w:val="auto"/>
              </w:rPr>
            </w:pPr>
          </w:p>
        </w:tc>
      </w:tr>
      <w:tr>
        <w:trPr>
          <w:trHeight w:val="292"/>
        </w:trPr>
        <w:tc>
          <w:tcPr>
            <w:tcW w:w="6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6400" w:type="dxa"/>
            <w:vAlign w:val="bottom"/>
          </w:tcPr>
          <w:p>
            <w:pPr>
              <w:ind w:left="40"/>
              <w:spacing w:after="0"/>
              <w:rPr>
                <w:sz w:val="20"/>
                <w:szCs w:val="20"/>
                <w:color w:val="auto"/>
              </w:rPr>
            </w:pPr>
            <w:r>
              <w:rPr>
                <w:rFonts w:ascii="Arial" w:cs="Arial" w:eastAsia="Arial" w:hAnsi="Arial"/>
                <w:sz w:val="14"/>
                <w:szCs w:val="14"/>
                <w:color w:val="auto"/>
              </w:rPr>
              <w:t>Equity in loss of unconsolidated entities</w:t>
            </w:r>
          </w:p>
        </w:tc>
        <w:tc>
          <w:tcPr>
            <w:tcW w:w="380" w:type="dxa"/>
            <w:vAlign w:val="bottom"/>
          </w:tcPr>
          <w:p>
            <w:pPr>
              <w:spacing w:after="0"/>
              <w:rPr>
                <w:sz w:val="23"/>
                <w:szCs w:val="23"/>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(736)</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(736)</w:t>
            </w:r>
          </w:p>
        </w:tc>
        <w:tc>
          <w:tcPr>
            <w:tcW w:w="0" w:type="dxa"/>
            <w:vAlign w:val="bottom"/>
          </w:tcPr>
          <w:p>
            <w:pPr>
              <w:spacing w:after="0"/>
              <w:rPr>
                <w:sz w:val="1"/>
                <w:szCs w:val="1"/>
                <w:color w:val="auto"/>
              </w:rPr>
            </w:pPr>
          </w:p>
        </w:tc>
      </w:tr>
      <w:tr>
        <w:trPr>
          <w:trHeight w:val="27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Gain on sale of equipment, net</w:t>
            </w: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2,032</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824</w:t>
            </w:r>
          </w:p>
        </w:tc>
        <w:tc>
          <w:tcPr>
            <w:tcW w:w="0" w:type="dxa"/>
            <w:vAlign w:val="bottom"/>
          </w:tcPr>
          <w:p>
            <w:pPr>
              <w:spacing w:after="0"/>
              <w:rPr>
                <w:sz w:val="1"/>
                <w:szCs w:val="1"/>
                <w:color w:val="auto"/>
              </w:rPr>
            </w:pPr>
          </w:p>
        </w:tc>
      </w:tr>
      <w:tr>
        <w:trPr>
          <w:trHeight w:val="269"/>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income</w:t>
            </w:r>
          </w:p>
        </w:tc>
        <w:tc>
          <w:tcPr>
            <w:tcW w:w="3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83</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25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other income</w:t>
            </w: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1,379</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1,209</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250"/>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Income before income taxes</w:t>
            </w:r>
          </w:p>
        </w:tc>
        <w:tc>
          <w:tcPr>
            <w:tcW w:w="380" w:type="dxa"/>
            <w:vAlign w:val="bottom"/>
          </w:tcPr>
          <w:p>
            <w:pPr>
              <w:spacing w:after="0"/>
              <w:rPr>
                <w:sz w:val="21"/>
                <w:szCs w:val="21"/>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b w:val="1"/>
                <w:bCs w:val="1"/>
                <w:color w:val="auto"/>
              </w:rPr>
              <w:t>18,762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10,918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7,844</w:t>
            </w:r>
          </w:p>
        </w:tc>
        <w:tc>
          <w:tcPr>
            <w:tcW w:w="0" w:type="dxa"/>
            <w:vAlign w:val="bottom"/>
          </w:tcPr>
          <w:p>
            <w:pPr>
              <w:spacing w:after="0"/>
              <w:rPr>
                <w:sz w:val="1"/>
                <w:szCs w:val="1"/>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 for (benefit from) income taxes</w:t>
            </w:r>
          </w:p>
        </w:tc>
        <w:tc>
          <w:tcPr>
            <w:tcW w:w="3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193</w:t>
            </w:r>
          </w:p>
        </w:tc>
        <w:tc>
          <w:tcPr>
            <w:tcW w:w="12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0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income</w:t>
            </w: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18,569</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11,015</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7,554</w:t>
            </w:r>
          </w:p>
        </w:tc>
        <w:tc>
          <w:tcPr>
            <w:tcW w:w="0" w:type="dxa"/>
            <w:vAlign w:val="bottom"/>
          </w:tcPr>
          <w:p>
            <w:pPr>
              <w:spacing w:after="0"/>
              <w:rPr>
                <w:sz w:val="1"/>
                <w:szCs w:val="1"/>
                <w:color w:val="auto"/>
              </w:rPr>
            </w:pPr>
          </w:p>
        </w:tc>
      </w:tr>
      <w:tr>
        <w:trPr>
          <w:trHeight w:val="264"/>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(loss) income attributable to non-controlling interest in consolidated subsidiaries</w:t>
            </w:r>
          </w:p>
        </w:tc>
        <w:tc>
          <w:tcPr>
            <w:tcW w:w="3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(82)</w:t>
            </w:r>
          </w:p>
        </w:tc>
        <w:tc>
          <w:tcPr>
            <w:tcW w:w="12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income attributable to shareholders</w:t>
            </w:r>
          </w:p>
        </w:tc>
        <w:tc>
          <w:tcPr>
            <w:tcW w:w="3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18,651</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10,918</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7,733</w:t>
            </w:r>
          </w:p>
        </w:tc>
        <w:tc>
          <w:tcPr>
            <w:tcW w:w="0" w:type="dxa"/>
            <w:vAlign w:val="bottom"/>
          </w:tcPr>
          <w:p>
            <w:pPr>
              <w:spacing w:after="0"/>
              <w:rPr>
                <w:sz w:val="1"/>
                <w:szCs w:val="1"/>
                <w:color w:val="auto"/>
              </w:rPr>
            </w:pPr>
          </w:p>
        </w:tc>
      </w:tr>
      <w:tr>
        <w:trPr>
          <w:trHeight w:val="25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Provision for (benefit from) income taxes</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193</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269"/>
        </w:trPr>
        <w:tc>
          <w:tcPr>
            <w:tcW w:w="6400" w:type="dxa"/>
            <w:vAlign w:val="bottom"/>
          </w:tcPr>
          <w:p>
            <w:pPr>
              <w:ind w:left="40"/>
              <w:spacing w:after="0"/>
              <w:rPr>
                <w:sz w:val="20"/>
                <w:szCs w:val="20"/>
                <w:color w:val="auto"/>
              </w:rPr>
            </w:pPr>
            <w:r>
              <w:rPr>
                <w:rFonts w:ascii="Arial" w:cs="Arial" w:eastAsia="Arial" w:hAnsi="Arial"/>
                <w:sz w:val="14"/>
                <w:szCs w:val="14"/>
                <w:color w:val="auto"/>
              </w:rPr>
              <w:t>Add: Equity-based compensation expense</w:t>
            </w:r>
          </w:p>
        </w:tc>
        <w:tc>
          <w:tcPr>
            <w:tcW w:w="380" w:type="dxa"/>
            <w:vAlign w:val="bottom"/>
          </w:tcPr>
          <w:p>
            <w:pPr>
              <w:spacing w:after="0"/>
              <w:rPr>
                <w:sz w:val="23"/>
                <w:szCs w:val="23"/>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215</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269"/>
        </w:trPr>
        <w:tc>
          <w:tcPr>
            <w:tcW w:w="6400" w:type="dxa"/>
            <w:vAlign w:val="bottom"/>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380" w:type="dxa"/>
            <w:vAlign w:val="bottom"/>
          </w:tcPr>
          <w:p>
            <w:pPr>
              <w:spacing w:after="0"/>
              <w:rPr>
                <w:sz w:val="23"/>
                <w:szCs w:val="23"/>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38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6400" w:type="dxa"/>
            <w:vAlign w:val="bottom"/>
          </w:tcPr>
          <w:p>
            <w:pPr>
              <w:ind w:left="40"/>
              <w:spacing w:after="0"/>
              <w:rPr>
                <w:sz w:val="20"/>
                <w:szCs w:val="20"/>
                <w:color w:val="auto"/>
              </w:rPr>
            </w:pPr>
            <w:r>
              <w:rPr>
                <w:rFonts w:ascii="Arial" w:cs="Arial" w:eastAsia="Arial" w:hAnsi="Arial"/>
                <w:sz w:val="14"/>
                <w:szCs w:val="14"/>
                <w:color w:val="auto"/>
              </w:rPr>
              <w:t>Add: Asset impairment charges</w:t>
            </w:r>
          </w:p>
        </w:tc>
        <w:tc>
          <w:tcPr>
            <w:tcW w:w="380" w:type="dxa"/>
            <w:vAlign w:val="bottom"/>
          </w:tcPr>
          <w:p>
            <w:pPr>
              <w:spacing w:after="0"/>
              <w:rPr>
                <w:sz w:val="23"/>
                <w:szCs w:val="23"/>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Pro-rata share of Adjusted Net Income from unconsolidated entities</w:t>
            </w:r>
            <w:r>
              <w:rPr>
                <w:rFonts w:ascii="Arial" w:cs="Arial" w:eastAsia="Arial" w:hAnsi="Arial"/>
                <w:sz w:val="17"/>
                <w:szCs w:val="17"/>
                <w:color w:val="auto"/>
                <w:vertAlign w:val="superscript"/>
              </w:rPr>
              <w:t>(1)</w:t>
            </w: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(736)</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(736)</w:t>
            </w:r>
          </w:p>
        </w:tc>
        <w:tc>
          <w:tcPr>
            <w:tcW w:w="0" w:type="dxa"/>
            <w:vAlign w:val="bottom"/>
          </w:tcPr>
          <w:p>
            <w:pPr>
              <w:spacing w:after="0"/>
              <w:rPr>
                <w:sz w:val="1"/>
                <w:szCs w:val="1"/>
                <w:color w:val="auto"/>
              </w:rPr>
            </w:pPr>
          </w:p>
        </w:tc>
      </w:tr>
      <w:tr>
        <w:trPr>
          <w:trHeight w:val="269"/>
        </w:trPr>
        <w:tc>
          <w:tcPr>
            <w:tcW w:w="640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380" w:type="dxa"/>
            <w:vAlign w:val="bottom"/>
          </w:tcPr>
          <w:p>
            <w:pPr>
              <w:spacing w:after="0"/>
              <w:rPr>
                <w:sz w:val="23"/>
                <w:szCs w:val="23"/>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Cash payments for income taxes</w:t>
            </w:r>
          </w:p>
        </w:tc>
        <w:tc>
          <w:tcPr>
            <w:tcW w:w="38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346</w:t>
            </w:r>
          </w:p>
        </w:tc>
        <w:tc>
          <w:tcPr>
            <w:tcW w:w="0" w:type="dxa"/>
            <w:vAlign w:val="bottom"/>
          </w:tcPr>
          <w:p>
            <w:pPr>
              <w:spacing w:after="0"/>
              <w:rPr>
                <w:sz w:val="1"/>
                <w:szCs w:val="1"/>
                <w:color w:val="auto"/>
              </w:rPr>
            </w:pPr>
          </w:p>
        </w:tc>
      </w:tr>
      <w:tr>
        <w:trPr>
          <w:trHeight w:val="269"/>
        </w:trPr>
        <w:tc>
          <w:tcPr>
            <w:tcW w:w="6400" w:type="dxa"/>
            <w:vAlign w:val="bottom"/>
          </w:tcPr>
          <w:p>
            <w:pPr>
              <w:ind w:left="40"/>
              <w:spacing w:after="0"/>
              <w:rPr>
                <w:sz w:val="20"/>
                <w:szCs w:val="20"/>
                <w:color w:val="auto"/>
              </w:rPr>
            </w:pPr>
            <w:r>
              <w:rPr>
                <w:rFonts w:ascii="Arial" w:cs="Arial" w:eastAsia="Arial" w:hAnsi="Arial"/>
                <w:sz w:val="14"/>
                <w:szCs w:val="14"/>
                <w:color w:val="auto"/>
              </w:rPr>
              <w:t>Less: Equity in losses of unconsolidated entities</w:t>
            </w:r>
          </w:p>
        </w:tc>
        <w:tc>
          <w:tcPr>
            <w:tcW w:w="380" w:type="dxa"/>
            <w:vAlign w:val="bottom"/>
          </w:tcPr>
          <w:p>
            <w:pPr>
              <w:spacing w:after="0"/>
              <w:rPr>
                <w:sz w:val="23"/>
                <w:szCs w:val="23"/>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b w:val="1"/>
                <w:bCs w:val="1"/>
                <w:color w:val="auto"/>
              </w:rPr>
              <w:t>736</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736</w:t>
            </w:r>
          </w:p>
        </w:tc>
        <w:tc>
          <w:tcPr>
            <w:tcW w:w="0" w:type="dxa"/>
            <w:vAlign w:val="bottom"/>
          </w:tcPr>
          <w:p>
            <w:pPr>
              <w:spacing w:after="0"/>
              <w:rPr>
                <w:sz w:val="1"/>
                <w:szCs w:val="1"/>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Non-controlling share of Adjusted Net Income</w:t>
            </w:r>
          </w:p>
        </w:tc>
        <w:tc>
          <w:tcPr>
            <w:tcW w:w="38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8"/>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Adjusted Net Income</w:t>
            </w:r>
          </w:p>
        </w:tc>
        <w:tc>
          <w:tcPr>
            <w:tcW w:w="38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19,059</w:t>
            </w:r>
          </w:p>
        </w:tc>
        <w:tc>
          <w:tcPr>
            <w:tcW w:w="12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10,475</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8,584</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ind w:left="500" w:hanging="492"/>
        <w:spacing w:after="0" w:line="239" w:lineRule="auto"/>
        <w:tabs>
          <w:tab w:leader="none" w:pos="149" w:val="left"/>
        </w:tabs>
        <w:numPr>
          <w:ilvl w:val="0"/>
          <w:numId w:val="13"/>
        </w:numPr>
        <w:rPr>
          <w:rFonts w:ascii="Arial" w:cs="Arial" w:eastAsia="Arial" w:hAnsi="Arial"/>
          <w:sz w:val="17"/>
          <w:szCs w:val="17"/>
          <w:color w:val="auto"/>
          <w:vertAlign w:val="superscript"/>
        </w:rPr>
      </w:pPr>
      <w:r>
        <w:rPr>
          <w:rFonts w:ascii="Arial" w:cs="Arial" w:eastAsia="Arial" w:hAnsi="Arial"/>
          <w:sz w:val="14"/>
          <w:szCs w:val="14"/>
          <w:color w:val="auto"/>
        </w:rPr>
        <w:t>Pro-rata share of Adjusted Net Income from unconsolidated entities includes Aviation’s proportionate share of the unconsolidated entities’ net income adjusted for the excluded and included items detailed in the table above, for which there were no adjustments.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527" w:right="239" w:bottom="1440" w:gutter="0" w:footer="0" w:header="0"/>
        </w:sectPr>
      </w:pPr>
    </w:p>
    <w:bookmarkStart w:id="44" w:name="page45"/>
    <w:bookmarkEnd w:id="44"/>
    <w:p>
      <w:pPr>
        <w:ind w:right="20"/>
        <w:spacing w:after="0" w:line="291" w:lineRule="auto"/>
        <w:rPr>
          <w:sz w:val="20"/>
          <w:szCs w:val="20"/>
          <w:color w:val="auto"/>
        </w:rPr>
      </w:pPr>
      <w:r>
        <w:rPr>
          <w:rFonts w:ascii="Arial" w:cs="Arial" w:eastAsia="Arial" w:hAnsi="Arial"/>
          <w:sz w:val="16"/>
          <w:szCs w:val="16"/>
          <w:color w:val="auto"/>
        </w:rPr>
        <w:t>The following table sets forth a reconciliation of net income attributable to shareholders to Adjusted EBITDA for the Aviation Leasing segment for the three months ended March 31, 2017 and March 31, 2016:</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00" w:type="dxa"/>
            <w:vAlign w:val="bottom"/>
          </w:tcPr>
          <w:p>
            <w:pPr>
              <w:spacing w:after="0"/>
              <w:rPr>
                <w:sz w:val="14"/>
                <w:szCs w:val="14"/>
                <w:color w:val="auto"/>
              </w:rPr>
            </w:pPr>
          </w:p>
        </w:tc>
        <w:tc>
          <w:tcPr>
            <w:tcW w:w="3440" w:type="dxa"/>
            <w:vAlign w:val="bottom"/>
            <w:gridSpan w:val="6"/>
          </w:tcPr>
          <w:p>
            <w:pPr>
              <w:ind w:left="98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04"/>
        </w:trPr>
        <w:tc>
          <w:tcPr>
            <w:tcW w:w="640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13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ind w:right="448"/>
              <w:spacing w:after="0"/>
              <w:rPr>
                <w:sz w:val="20"/>
                <w:szCs w:val="20"/>
                <w:color w:val="auto"/>
              </w:rPr>
            </w:pPr>
            <w:r>
              <w:rPr>
                <w:rFonts w:ascii="Arial" w:cs="Arial" w:eastAsia="Arial" w:hAnsi="Arial"/>
                <w:sz w:val="14"/>
                <w:szCs w:val="14"/>
                <w:b w:val="1"/>
                <w:bCs w:val="1"/>
                <w:color w:val="auto"/>
              </w:rPr>
              <w:t>Change</w:t>
            </w:r>
          </w:p>
        </w:tc>
      </w:tr>
      <w:tr>
        <w:trPr>
          <w:trHeight w:val="235"/>
        </w:trPr>
        <w:tc>
          <w:tcPr>
            <w:tcW w:w="6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568"/>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9"/>
        </w:trPr>
        <w:tc>
          <w:tcPr>
            <w:tcW w:w="64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5"/>
        </w:trPr>
        <w:tc>
          <w:tcPr>
            <w:tcW w:w="6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color w:val="auto"/>
              </w:rPr>
              <w:t>(in thousands)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5"/>
        </w:trPr>
        <w:tc>
          <w:tcPr>
            <w:tcW w:w="64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attributable to shareholders</w:t>
            </w:r>
          </w:p>
        </w:tc>
        <w:tc>
          <w:tcPr>
            <w:tcW w:w="1020" w:type="dxa"/>
            <w:vAlign w:val="bottom"/>
            <w:shd w:val="clear" w:color="auto" w:fill="CCEEFF"/>
          </w:tcPr>
          <w:p>
            <w:pPr>
              <w:jc w:val="right"/>
              <w:ind w:right="828"/>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18,651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10,918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7,733</w:t>
            </w:r>
          </w:p>
        </w:tc>
      </w:tr>
      <w:tr>
        <w:trPr>
          <w:trHeight w:val="269"/>
        </w:trPr>
        <w:tc>
          <w:tcPr>
            <w:tcW w:w="6400" w:type="dxa"/>
            <w:vAlign w:val="bottom"/>
          </w:tcPr>
          <w:p>
            <w:pPr>
              <w:ind w:left="40"/>
              <w:spacing w:after="0"/>
              <w:rPr>
                <w:sz w:val="20"/>
                <w:szCs w:val="20"/>
                <w:color w:val="auto"/>
              </w:rPr>
            </w:pPr>
            <w:r>
              <w:rPr>
                <w:rFonts w:ascii="Arial" w:cs="Arial" w:eastAsia="Arial" w:hAnsi="Arial"/>
                <w:sz w:val="14"/>
                <w:szCs w:val="14"/>
                <w:color w:val="auto"/>
              </w:rPr>
              <w:t>Add: Provision for (benefit from) income taxes</w:t>
            </w:r>
          </w:p>
        </w:tc>
        <w:tc>
          <w:tcPr>
            <w:tcW w:w="1020" w:type="dxa"/>
            <w:vAlign w:val="bottom"/>
          </w:tcPr>
          <w:p>
            <w:pPr>
              <w:spacing w:after="0"/>
              <w:rPr>
                <w:sz w:val="23"/>
                <w:szCs w:val="23"/>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b w:val="1"/>
                <w:bCs w:val="1"/>
                <w:color w:val="auto"/>
              </w:rPr>
              <w:t>193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290</w:t>
            </w:r>
          </w:p>
        </w:tc>
      </w:tr>
      <w:tr>
        <w:trPr>
          <w:trHeight w:val="27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w:t>
            </w:r>
          </w:p>
        </w:tc>
        <w:tc>
          <w:tcPr>
            <w:tcW w:w="10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9"/>
        </w:trPr>
        <w:tc>
          <w:tcPr>
            <w:tcW w:w="640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1020" w:type="dxa"/>
            <w:vAlign w:val="bottom"/>
          </w:tcPr>
          <w:p>
            <w:pPr>
              <w:spacing w:after="0"/>
              <w:rPr>
                <w:sz w:val="23"/>
                <w:szCs w:val="23"/>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b w:val="1"/>
                <w:bCs w:val="1"/>
                <w:color w:val="auto"/>
              </w:rPr>
              <w:t>215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215</w:t>
            </w:r>
          </w:p>
        </w:tc>
      </w:tr>
      <w:tr>
        <w:trPr>
          <w:trHeight w:val="27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10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9"/>
        </w:trPr>
        <w:tc>
          <w:tcPr>
            <w:tcW w:w="640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1020" w:type="dxa"/>
            <w:vAlign w:val="bottom"/>
          </w:tcPr>
          <w:p>
            <w:pPr>
              <w:spacing w:after="0"/>
              <w:rPr>
                <w:sz w:val="23"/>
                <w:szCs w:val="23"/>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10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9"/>
        </w:trPr>
        <w:tc>
          <w:tcPr>
            <w:tcW w:w="640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1020" w:type="dxa"/>
            <w:vAlign w:val="bottom"/>
          </w:tcPr>
          <w:p>
            <w:pPr>
              <w:spacing w:after="0"/>
              <w:rPr>
                <w:sz w:val="23"/>
                <w:szCs w:val="23"/>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Add: Depreciation and amortization expense </w:t>
            </w:r>
            <w:r>
              <w:rPr>
                <w:rFonts w:ascii="Arial" w:cs="Arial" w:eastAsia="Arial" w:hAnsi="Arial"/>
                <w:sz w:val="17"/>
                <w:szCs w:val="17"/>
                <w:color w:val="auto"/>
                <w:vertAlign w:val="superscript"/>
              </w:rPr>
              <w:t>(2)</w:t>
            </w:r>
          </w:p>
        </w:tc>
        <w:tc>
          <w:tcPr>
            <w:tcW w:w="102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13,218</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9,064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4,154</w:t>
            </w:r>
          </w:p>
        </w:tc>
      </w:tr>
      <w:tr>
        <w:trPr>
          <w:trHeight w:val="269"/>
        </w:trPr>
        <w:tc>
          <w:tcPr>
            <w:tcW w:w="6400" w:type="dxa"/>
            <w:vAlign w:val="bottom"/>
          </w:tcPr>
          <w:p>
            <w:pPr>
              <w:ind w:left="40"/>
              <w:spacing w:after="0"/>
              <w:rPr>
                <w:sz w:val="20"/>
                <w:szCs w:val="20"/>
                <w:color w:val="auto"/>
              </w:rPr>
            </w:pPr>
            <w:r>
              <w:rPr>
                <w:rFonts w:ascii="Arial" w:cs="Arial" w:eastAsia="Arial" w:hAnsi="Arial"/>
                <w:sz w:val="14"/>
                <w:szCs w:val="14"/>
                <w:color w:val="auto"/>
              </w:rPr>
              <w:t>Add: Interest expense</w:t>
            </w:r>
          </w:p>
        </w:tc>
        <w:tc>
          <w:tcPr>
            <w:tcW w:w="1020" w:type="dxa"/>
            <w:vAlign w:val="bottom"/>
          </w:tcPr>
          <w:p>
            <w:pPr>
              <w:spacing w:after="0"/>
              <w:rPr>
                <w:sz w:val="23"/>
                <w:szCs w:val="23"/>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Pro-rata share of Adjusted EBITDA from unconsolidated entities</w:t>
            </w:r>
            <w:r>
              <w:rPr>
                <w:rFonts w:ascii="Arial" w:cs="Arial" w:eastAsia="Arial" w:hAnsi="Arial"/>
                <w:sz w:val="17"/>
                <w:szCs w:val="17"/>
                <w:color w:val="auto"/>
                <w:vertAlign w:val="superscript"/>
              </w:rPr>
              <w:t>(3)</w:t>
            </w:r>
          </w:p>
        </w:tc>
        <w:tc>
          <w:tcPr>
            <w:tcW w:w="102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(736)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(736)</w:t>
            </w:r>
          </w:p>
        </w:tc>
      </w:tr>
      <w:tr>
        <w:trPr>
          <w:trHeight w:val="269"/>
        </w:trPr>
        <w:tc>
          <w:tcPr>
            <w:tcW w:w="6400" w:type="dxa"/>
            <w:vAlign w:val="bottom"/>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1020" w:type="dxa"/>
            <w:vAlign w:val="bottom"/>
          </w:tcPr>
          <w:p>
            <w:pPr>
              <w:spacing w:after="0"/>
              <w:rPr>
                <w:sz w:val="23"/>
                <w:szCs w:val="23"/>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b w:val="1"/>
                <w:bCs w:val="1"/>
                <w:color w:val="auto"/>
              </w:rPr>
              <w:t>736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736</w:t>
            </w:r>
          </w:p>
        </w:tc>
      </w:tr>
      <w:tr>
        <w:trPr>
          <w:trHeight w:val="27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Non-controlling share of Adjusted EBITDA</w:t>
            </w:r>
            <w:r>
              <w:rPr>
                <w:rFonts w:ascii="Arial" w:cs="Arial" w:eastAsia="Arial" w:hAnsi="Arial"/>
                <w:sz w:val="17"/>
                <w:szCs w:val="17"/>
                <w:color w:val="auto"/>
                <w:vertAlign w:val="superscript"/>
              </w:rPr>
              <w:t>(4)</w:t>
            </w:r>
          </w:p>
        </w:tc>
        <w:tc>
          <w:tcPr>
            <w:tcW w:w="102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(41)</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37"/>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Adjusted EBITDA (non-GAAP)</w:t>
            </w:r>
          </w:p>
        </w:tc>
        <w:tc>
          <w:tcPr>
            <w:tcW w:w="102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32,236</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19,844</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12,392</w:t>
            </w:r>
          </w:p>
        </w:tc>
      </w:tr>
      <w:tr>
        <w:trPr>
          <w:trHeight w:val="20"/>
        </w:trPr>
        <w:tc>
          <w:tcPr>
            <w:tcW w:w="64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______________________________________________________________________________________</w:t>
      </w:r>
    </w:p>
    <w:p>
      <w:pPr>
        <w:spacing w:after="0" w:line="229" w:lineRule="exact"/>
        <w:rPr>
          <w:sz w:val="20"/>
          <w:szCs w:val="20"/>
          <w:color w:val="auto"/>
        </w:rPr>
      </w:pPr>
    </w:p>
    <w:p>
      <w:pPr>
        <w:ind w:left="500" w:right="20" w:hanging="492"/>
        <w:spacing w:after="0" w:line="232" w:lineRule="auto"/>
        <w:tabs>
          <w:tab w:leader="none" w:pos="176"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Depreciation and amortization expense includes $11,289 and $7,427 of depreciation expense, $1,283 and $1,578 of lease intangible amortization, and $646 and $59 of amortization for lease incentives in the three months ended March 31, 2017 and 2016, respectively.</w:t>
      </w:r>
    </w:p>
    <w:p>
      <w:pPr>
        <w:spacing w:after="0" w:line="130" w:lineRule="exact"/>
        <w:rPr>
          <w:rFonts w:ascii="Arial" w:cs="Arial" w:eastAsia="Arial" w:hAnsi="Arial"/>
          <w:sz w:val="18"/>
          <w:szCs w:val="18"/>
          <w:color w:val="auto"/>
          <w:vertAlign w:val="superscript"/>
        </w:rPr>
      </w:pPr>
    </w:p>
    <w:p>
      <w:pPr>
        <w:ind w:left="500" w:hanging="492"/>
        <w:spacing w:after="0" w:line="232" w:lineRule="auto"/>
        <w:tabs>
          <w:tab w:leader="none" w:pos="179"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Aviation Leasing's pro-rata share of Adjusted EBITDA from unconsolidated entities includes net loss of $736 and $0 for the three months ended March 31, 2017 and 2016, respectively.</w:t>
      </w:r>
    </w:p>
    <w:p>
      <w:pPr>
        <w:spacing w:after="0" w:line="117"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Non-controlling share of Adjusted EBITDA is comprised of depreciation expense of $41 and $41 for the three months ended March 31, 2017 and 2016,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Total revenues in the Aviation Leasing segment increased by $12,353 driven by higher lease income and maintenance revenue. Lease income increased by $4,788 mainly due to an increase in aircraft lease income of $1,567 primarily driven by the addition of seven aircraft on lease offset by the redelivery of aircraft. Engine lease income increased by $3,201 primarily driven by an increase in the number of engines which have generated revenue from 28 in the three months ended March 31, 2016 to 47 in the three months ended March 31, 2017. Maintenance revenue increased by $7,563 due to an increase in the number of aircraft and engines on lease.</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Total expenses in the Aviation Leasing segment increased by $4,679 primarily due to an increase in depreciation and amortization expense, operating expenses, and acquisition and transaction expenses. Depreciation and amortization expense increased by $3,862 driven by additional aircraft and engines owned and on lease in the three months ended March 31, 2017 as compared to the three months ended March 31, 2016. Operating expenses increased by $602 primarily as the result of increases in professional fee expenses of $285, shipping and storage fees of $125, and other operating expenses incurred due to growth and expansion of the Aviation Leasing segment. Acquisitions and transaction expenses, including legal fees, increased by $215 as we continue to pursue new business opportunities.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w:t>
      </w:r>
    </w:p>
    <w:p>
      <w:pPr>
        <w:spacing w:after="0" w:line="16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Total other income in the Aviation Leasing segment increased by $170 driven by the gain on sale of assets, which was offset by the equity in loss of unconsolidated entities.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527" w:right="239" w:bottom="1440" w:gutter="0" w:footer="0" w:header="0"/>
        </w:sectPr>
      </w:pPr>
    </w:p>
    <w:bookmarkStart w:id="45" w:name="page46"/>
    <w:bookmarkEnd w:id="45"/>
    <w:p>
      <w:pPr>
        <w:spacing w:after="0"/>
        <w:rPr>
          <w:sz w:val="20"/>
          <w:szCs w:val="20"/>
          <w:color w:val="auto"/>
        </w:rPr>
      </w:pPr>
      <w:r>
        <w:rPr>
          <w:rFonts w:ascii="Arial" w:cs="Arial" w:eastAsia="Arial" w:hAnsi="Arial"/>
          <w:sz w:val="16"/>
          <w:szCs w:val="16"/>
          <w:b w:val="1"/>
          <w:bCs w:val="1"/>
          <w:i w:val="1"/>
          <w:iCs w:val="1"/>
          <w:color w:val="00497F"/>
        </w:rPr>
        <w:t>Adjusted Net Income</w:t>
      </w:r>
    </w:p>
    <w:p>
      <w:pPr>
        <w:spacing w:after="0" w:line="167" w:lineRule="exact"/>
        <w:rPr>
          <w:sz w:val="20"/>
          <w:szCs w:val="20"/>
          <w:color w:val="auto"/>
        </w:rPr>
      </w:pPr>
    </w:p>
    <w:p>
      <w:pPr>
        <w:jc w:val="both"/>
        <w:ind w:right="20"/>
        <w:spacing w:after="0" w:line="269" w:lineRule="auto"/>
        <w:rPr>
          <w:sz w:val="20"/>
          <w:szCs w:val="20"/>
          <w:color w:val="auto"/>
        </w:rPr>
      </w:pPr>
      <w:r>
        <w:rPr>
          <w:rFonts w:ascii="Arial" w:cs="Arial" w:eastAsia="Arial" w:hAnsi="Arial"/>
          <w:sz w:val="16"/>
          <w:szCs w:val="16"/>
          <w:color w:val="auto"/>
        </w:rPr>
        <w:t>Adjusted Net Income in the Aviation Leasing segment was $19,059 for the three months ended March 31, 2017 increasing by $8,584 as compared to the three months ended March 31, 2016 primarily driven by the changes to net income attributable to shareholders noted above, adjusted for the provision for income taxes, acquisition and transaction expenses, and cash payments for income taxes.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67"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Adjusted EBITDA in the Aviation Leasing segment was $32,236 for the three months ended March 31, 2017 increasing by $12,392 as compared to the three months ended March 31, 2016. In addition to the changes in net income attributable to shareholders noted above, this movement was primarily due to higher depreciation and amortization expense for the additional aircraft and engines owned and on lease in the three months ended March 31, 2017, higher provision for income tax, and an increase in the acquisition and transaction expenses.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Offshore Energy Segment</w:t>
      </w:r>
    </w:p>
    <w:p>
      <w:pPr>
        <w:spacing w:after="0" w:line="169"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In our Offshore Energy segment, we own one remotely operated vehicle (“ROV”) support vessel, one construction support vessel and one anchor handling tug supply (“AHTS”) vessel. The chart below describes the assets in our Offshore Energy segment as of March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54875" cy="1149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4875" cy="1149350"/>
                    </a:xfrm>
                    <a:prstGeom prst="rect">
                      <a:avLst/>
                    </a:prstGeom>
                    <a:noFill/>
                  </pic:spPr>
                </pic:pic>
              </a:graphicData>
            </a:graphic>
          </wp:anchor>
        </w:drawing>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FFFFFF"/>
        </w:rPr>
        <w:t>Offshore Energy Assets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900" w:type="dxa"/>
            <w:vAlign w:val="bottom"/>
            <w:tcBorders>
              <w:top w:val="single" w:sz="8" w:color="auto"/>
              <w:bottom w:val="single" w:sz="8" w:color="auto"/>
              <w:right w:val="single" w:sz="8" w:color="auto"/>
            </w:tcBorders>
            <w:shd w:val="clear" w:color="auto" w:fill="D8D8D8"/>
          </w:tcPr>
          <w:p>
            <w:pPr>
              <w:ind w:left="180"/>
              <w:spacing w:after="0"/>
              <w:rPr>
                <w:sz w:val="20"/>
                <w:szCs w:val="20"/>
                <w:color w:val="auto"/>
              </w:rPr>
            </w:pPr>
            <w:r>
              <w:rPr>
                <w:rFonts w:ascii="Arial" w:cs="Arial" w:eastAsia="Arial" w:hAnsi="Arial"/>
                <w:sz w:val="14"/>
                <w:szCs w:val="14"/>
                <w:color w:val="auto"/>
              </w:rPr>
              <w:t>Asset Type</w:t>
            </w:r>
          </w:p>
        </w:tc>
        <w:tc>
          <w:tcPr>
            <w:tcW w:w="1120" w:type="dxa"/>
            <w:vAlign w:val="bottom"/>
            <w:tcBorders>
              <w:top w:val="single" w:sz="8" w:color="auto"/>
              <w:bottom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rPr>
              <w:t>Year Built</w:t>
            </w:r>
          </w:p>
        </w:tc>
        <w:tc>
          <w:tcPr>
            <w:tcW w:w="5360" w:type="dxa"/>
            <w:vAlign w:val="bottom"/>
            <w:tcBorders>
              <w:top w:val="single" w:sz="8" w:color="auto"/>
              <w:bottom w:val="single" w:sz="8" w:color="auto"/>
              <w:right w:val="single" w:sz="8" w:color="auto"/>
            </w:tcBorders>
            <w:shd w:val="clear" w:color="auto" w:fill="D8D8D8"/>
          </w:tcPr>
          <w:p>
            <w:pPr>
              <w:ind w:left="2320"/>
              <w:spacing w:after="0"/>
              <w:rPr>
                <w:sz w:val="20"/>
                <w:szCs w:val="20"/>
                <w:color w:val="auto"/>
              </w:rPr>
            </w:pPr>
            <w:r>
              <w:rPr>
                <w:rFonts w:ascii="Arial" w:cs="Arial" w:eastAsia="Arial" w:hAnsi="Arial"/>
                <w:sz w:val="14"/>
                <w:szCs w:val="14"/>
                <w:color w:val="auto"/>
              </w:rPr>
              <w:t>Description</w:t>
            </w:r>
          </w:p>
        </w:tc>
        <w:tc>
          <w:tcPr>
            <w:tcW w:w="2040" w:type="dxa"/>
            <w:vAlign w:val="bottom"/>
            <w:tcBorders>
              <w:top w:val="single" w:sz="8" w:color="auto"/>
              <w:bottom w:val="single" w:sz="8" w:color="auto"/>
            </w:tcBorders>
            <w:shd w:val="clear" w:color="auto" w:fill="D8D8D8"/>
          </w:tcPr>
          <w:p>
            <w:pPr>
              <w:ind w:left="320"/>
              <w:spacing w:after="0"/>
              <w:rPr>
                <w:sz w:val="20"/>
                <w:szCs w:val="20"/>
                <w:color w:val="auto"/>
              </w:rPr>
            </w:pPr>
            <w:r>
              <w:rPr>
                <w:rFonts w:ascii="Arial" w:cs="Arial" w:eastAsia="Arial" w:hAnsi="Arial"/>
                <w:sz w:val="14"/>
                <w:szCs w:val="14"/>
                <w:color w:val="auto"/>
              </w:rPr>
              <w:t>Economic Interest (%)</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900" w:type="dxa"/>
            <w:vAlign w:val="bottom"/>
            <w:tcBorders>
              <w:right w:val="single" w:sz="8" w:color="auto"/>
            </w:tcBorders>
            <w:vMerge w:val="restart"/>
          </w:tcPr>
          <w:p>
            <w:pPr>
              <w:ind w:left="180"/>
              <w:spacing w:after="0"/>
              <w:rPr>
                <w:sz w:val="20"/>
                <w:szCs w:val="20"/>
                <w:color w:val="auto"/>
              </w:rPr>
            </w:pPr>
            <w:r>
              <w:rPr>
                <w:rFonts w:ascii="Arial" w:cs="Arial" w:eastAsia="Arial" w:hAnsi="Arial"/>
                <w:sz w:val="14"/>
                <w:szCs w:val="14"/>
                <w:color w:val="auto"/>
              </w:rPr>
              <w:t>AHTS Vessel</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2010</w:t>
            </w:r>
          </w:p>
        </w:tc>
        <w:tc>
          <w:tcPr>
            <w:tcW w:w="5360" w:type="dxa"/>
            <w:vAlign w:val="bottom"/>
            <w:tcBorders>
              <w:right w:val="single" w:sz="8" w:color="auto"/>
            </w:tcBorders>
          </w:tcPr>
          <w:p>
            <w:pPr>
              <w:ind w:left="160"/>
              <w:spacing w:after="0"/>
              <w:rPr>
                <w:sz w:val="20"/>
                <w:szCs w:val="20"/>
                <w:color w:val="auto"/>
              </w:rPr>
            </w:pPr>
            <w:r>
              <w:rPr>
                <w:rFonts w:ascii="Arial" w:cs="Arial" w:eastAsia="Arial" w:hAnsi="Arial"/>
                <w:sz w:val="14"/>
                <w:szCs w:val="14"/>
                <w:color w:val="auto"/>
              </w:rPr>
              <w:t>Anchor handling tug supply vessel with accommodation for 30 personnel</w:t>
            </w:r>
          </w:p>
        </w:tc>
        <w:tc>
          <w:tcPr>
            <w:tcW w:w="2040" w:type="dxa"/>
            <w:vAlign w:val="bottom"/>
            <w:vMerge w:val="restart"/>
          </w:tcPr>
          <w:p>
            <w:pPr>
              <w:jc w:val="center"/>
              <w:spacing w:after="0"/>
              <w:rPr>
                <w:sz w:val="20"/>
                <w:szCs w:val="20"/>
                <w:color w:val="auto"/>
              </w:rPr>
            </w:pPr>
            <w:r>
              <w:rPr>
                <w:rFonts w:ascii="Arial" w:cs="Arial" w:eastAsia="Arial" w:hAnsi="Arial"/>
                <w:sz w:val="14"/>
                <w:szCs w:val="14"/>
                <w:color w:val="auto"/>
              </w:rPr>
              <w:t>100%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9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5360" w:type="dxa"/>
            <w:vAlign w:val="bottom"/>
            <w:tcBorders>
              <w:right w:val="single" w:sz="8" w:color="auto"/>
            </w:tcBorders>
            <w:vMerge w:val="restart"/>
          </w:tcPr>
          <w:p>
            <w:pPr>
              <w:ind w:left="160"/>
              <w:spacing w:after="0"/>
              <w:rPr>
                <w:sz w:val="20"/>
                <w:szCs w:val="20"/>
                <w:color w:val="auto"/>
              </w:rPr>
            </w:pPr>
            <w:r>
              <w:rPr>
                <w:rFonts w:ascii="Arial" w:cs="Arial" w:eastAsia="Arial" w:hAnsi="Arial"/>
                <w:sz w:val="14"/>
                <w:szCs w:val="14"/>
                <w:color w:val="auto"/>
              </w:rPr>
              <w:t>and a total bollard pull of 68.5 tons</w:t>
            </w:r>
          </w:p>
        </w:tc>
        <w:tc>
          <w:tcPr>
            <w:tcW w:w="20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2900" w:type="dxa"/>
            <w:vAlign w:val="bottom"/>
            <w:tcBorders>
              <w:bottom w:val="single" w:sz="8" w:color="auto"/>
              <w:right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5360" w:type="dxa"/>
            <w:vAlign w:val="bottom"/>
            <w:tcBorders>
              <w:bottom w:val="single" w:sz="8" w:color="auto"/>
              <w:right w:val="single" w:sz="8" w:color="auto"/>
            </w:tcBorders>
            <w:vMerge w:val="continue"/>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290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5360" w:type="dxa"/>
            <w:vAlign w:val="bottom"/>
            <w:tcBorders>
              <w:right w:val="single" w:sz="8" w:color="auto"/>
            </w:tcBorders>
          </w:tcPr>
          <w:p>
            <w:pPr>
              <w:ind w:left="160"/>
              <w:spacing w:after="0"/>
              <w:rPr>
                <w:sz w:val="20"/>
                <w:szCs w:val="20"/>
                <w:color w:val="auto"/>
              </w:rPr>
            </w:pPr>
            <w:r>
              <w:rPr>
                <w:rFonts w:ascii="Arial" w:cs="Arial" w:eastAsia="Arial" w:hAnsi="Arial"/>
                <w:sz w:val="14"/>
                <w:szCs w:val="14"/>
                <w:color w:val="auto"/>
              </w:rPr>
              <w:t>DP-3 construction support and well intervention vessel with 250-ton main crane,</w:t>
            </w:r>
          </w:p>
        </w:tc>
        <w:tc>
          <w:tcPr>
            <w:tcW w:w="2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900" w:type="dxa"/>
            <w:vAlign w:val="bottom"/>
            <w:tcBorders>
              <w:right w:val="single" w:sz="8" w:color="auto"/>
            </w:tcBorders>
          </w:tcPr>
          <w:p>
            <w:pPr>
              <w:ind w:left="180"/>
              <w:spacing w:after="0"/>
              <w:rPr>
                <w:sz w:val="20"/>
                <w:szCs w:val="20"/>
                <w:color w:val="auto"/>
              </w:rPr>
            </w:pPr>
            <w:r>
              <w:rPr>
                <w:rFonts w:ascii="Arial" w:cs="Arial" w:eastAsia="Arial" w:hAnsi="Arial"/>
                <w:sz w:val="14"/>
                <w:szCs w:val="14"/>
                <w:color w:val="auto"/>
              </w:rPr>
              <w:t>Construction Support Vessel</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2014</w:t>
            </w:r>
          </w:p>
        </w:tc>
        <w:tc>
          <w:tcPr>
            <w:tcW w:w="5360" w:type="dxa"/>
            <w:vAlign w:val="bottom"/>
            <w:tcBorders>
              <w:right w:val="single" w:sz="8" w:color="auto"/>
            </w:tcBorders>
          </w:tcPr>
          <w:p>
            <w:pPr>
              <w:ind w:left="160"/>
              <w:spacing w:after="0"/>
              <w:rPr>
                <w:sz w:val="20"/>
                <w:szCs w:val="20"/>
                <w:color w:val="auto"/>
              </w:rPr>
            </w:pPr>
            <w:r>
              <w:rPr>
                <w:rFonts w:ascii="Arial" w:cs="Arial" w:eastAsia="Arial" w:hAnsi="Arial"/>
                <w:sz w:val="14"/>
                <w:szCs w:val="14"/>
                <w:color w:val="auto"/>
              </w:rPr>
              <w:t>2,000 square meter open deck space, moon pool and accommodation for 100</w:t>
            </w:r>
          </w:p>
        </w:tc>
        <w:tc>
          <w:tcPr>
            <w:tcW w:w="2040" w:type="dxa"/>
            <w:vAlign w:val="bottom"/>
          </w:tcPr>
          <w:p>
            <w:pPr>
              <w:jc w:val="center"/>
              <w:spacing w:after="0"/>
              <w:rPr>
                <w:sz w:val="20"/>
                <w:szCs w:val="20"/>
                <w:color w:val="auto"/>
              </w:rPr>
            </w:pPr>
            <w:r>
              <w:rPr>
                <w:rFonts w:ascii="Arial" w:cs="Arial" w:eastAsia="Arial" w:hAnsi="Arial"/>
                <w:sz w:val="14"/>
                <w:szCs w:val="14"/>
                <w:color w:val="auto"/>
              </w:rPr>
              <w:t>100%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90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53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personnel</w:t>
            </w:r>
          </w:p>
        </w:tc>
        <w:tc>
          <w:tcPr>
            <w:tcW w:w="20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900" w:type="dxa"/>
            <w:vAlign w:val="bottom"/>
            <w:tcBorders>
              <w:right w:val="single" w:sz="8" w:color="auto"/>
            </w:tcBorders>
            <w:vMerge w:val="restart"/>
          </w:tcPr>
          <w:p>
            <w:pPr>
              <w:ind w:left="180"/>
              <w:spacing w:after="0"/>
              <w:rPr>
                <w:sz w:val="20"/>
                <w:szCs w:val="20"/>
                <w:color w:val="auto"/>
              </w:rPr>
            </w:pPr>
            <w:r>
              <w:rPr>
                <w:rFonts w:ascii="Arial" w:cs="Arial" w:eastAsia="Arial" w:hAnsi="Arial"/>
                <w:sz w:val="14"/>
                <w:szCs w:val="14"/>
                <w:color w:val="auto"/>
              </w:rPr>
              <w:t>ROV Support Vessel</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6"/>
              </w:rPr>
              <w:t>2011</w:t>
            </w:r>
          </w:p>
        </w:tc>
        <w:tc>
          <w:tcPr>
            <w:tcW w:w="5360" w:type="dxa"/>
            <w:vAlign w:val="bottom"/>
            <w:tcBorders>
              <w:right w:val="single" w:sz="8" w:color="auto"/>
            </w:tcBorders>
          </w:tcPr>
          <w:p>
            <w:pPr>
              <w:ind w:left="160"/>
              <w:spacing w:after="0"/>
              <w:rPr>
                <w:sz w:val="20"/>
                <w:szCs w:val="20"/>
                <w:color w:val="auto"/>
              </w:rPr>
            </w:pPr>
            <w:r>
              <w:rPr>
                <w:rFonts w:ascii="Arial" w:cs="Arial" w:eastAsia="Arial" w:hAnsi="Arial"/>
                <w:sz w:val="14"/>
                <w:szCs w:val="14"/>
                <w:color w:val="auto"/>
              </w:rPr>
              <w:t>DP-2 dive and ROV support vessel with 50-ton crane, moon pool and</w:t>
            </w:r>
          </w:p>
        </w:tc>
        <w:tc>
          <w:tcPr>
            <w:tcW w:w="2040" w:type="dxa"/>
            <w:vAlign w:val="bottom"/>
            <w:vMerge w:val="restart"/>
          </w:tcPr>
          <w:p>
            <w:pPr>
              <w:jc w:val="center"/>
              <w:spacing w:after="0"/>
              <w:rPr>
                <w:sz w:val="20"/>
                <w:szCs w:val="20"/>
                <w:color w:val="auto"/>
              </w:rPr>
            </w:pPr>
            <w:r>
              <w:rPr>
                <w:rFonts w:ascii="Arial" w:cs="Arial" w:eastAsia="Arial" w:hAnsi="Arial"/>
                <w:sz w:val="14"/>
                <w:szCs w:val="14"/>
                <w:color w:val="auto"/>
                <w:w w:val="99"/>
              </w:rPr>
              <w:t>85%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9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5360" w:type="dxa"/>
            <w:vAlign w:val="bottom"/>
            <w:tcBorders>
              <w:right w:val="single" w:sz="8" w:color="auto"/>
            </w:tcBorders>
            <w:vMerge w:val="restart"/>
          </w:tcPr>
          <w:p>
            <w:pPr>
              <w:ind w:left="160"/>
              <w:spacing w:after="0"/>
              <w:rPr>
                <w:sz w:val="20"/>
                <w:szCs w:val="20"/>
                <w:color w:val="auto"/>
              </w:rPr>
            </w:pPr>
            <w:r>
              <w:rPr>
                <w:rFonts w:ascii="Arial" w:cs="Arial" w:eastAsia="Arial" w:hAnsi="Arial"/>
                <w:sz w:val="14"/>
                <w:szCs w:val="14"/>
                <w:color w:val="auto"/>
              </w:rPr>
              <w:t>accommodation for 120 personnel</w:t>
            </w:r>
          </w:p>
        </w:tc>
        <w:tc>
          <w:tcPr>
            <w:tcW w:w="20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2900" w:type="dxa"/>
            <w:vAlign w:val="bottom"/>
            <w:tcBorders>
              <w:bottom w:val="single" w:sz="8" w:color="auto"/>
              <w:right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5360" w:type="dxa"/>
            <w:vAlign w:val="bottom"/>
            <w:tcBorders>
              <w:bottom w:val="single" w:sz="8" w:color="auto"/>
              <w:right w:val="single" w:sz="8" w:color="auto"/>
            </w:tcBorders>
            <w:vMerge w:val="continue"/>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40"/>
          </w:cols>
          <w:pgMar w:left="240" w:top="527" w:right="219" w:bottom="1440" w:gutter="0" w:footer="0" w:header="0"/>
        </w:sectPr>
      </w:pPr>
    </w:p>
    <w:bookmarkStart w:id="46" w:name="page47"/>
    <w:bookmarkEnd w:id="46"/>
    <w:p>
      <w:pPr>
        <w:ind w:right="240"/>
        <w:spacing w:after="0" w:line="327" w:lineRule="auto"/>
        <w:rPr>
          <w:sz w:val="20"/>
          <w:szCs w:val="20"/>
          <w:color w:val="auto"/>
        </w:rPr>
      </w:pPr>
      <w:r>
        <w:rPr>
          <w:rFonts w:ascii="Arial" w:cs="Arial" w:eastAsia="Arial" w:hAnsi="Arial"/>
          <w:sz w:val="16"/>
          <w:szCs w:val="16"/>
          <w:color w:val="auto"/>
        </w:rPr>
        <w:t>The following table presents our results of operations and reconciliation of net loss attributable to shareholders to Adjusted Net Loss for the Offshore Energy segment for the three months ended March 31, 2017 and March 31, 2016:</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60" w:type="dxa"/>
            <w:vAlign w:val="bottom"/>
            <w:gridSpan w:val="5"/>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4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March 31,</w:t>
            </w:r>
          </w:p>
        </w:tc>
        <w:tc>
          <w:tcPr>
            <w:tcW w:w="1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ind w:right="44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6"/>
        </w:trPr>
        <w:tc>
          <w:tcPr>
            <w:tcW w:w="640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380" w:type="dxa"/>
            <w:vAlign w:val="bottom"/>
          </w:tcPr>
          <w:p>
            <w:pPr>
              <w:spacing w:after="0"/>
              <w:rPr>
                <w:sz w:val="20"/>
                <w:szCs w:val="20"/>
                <w:color w:val="auto"/>
              </w:rPr>
            </w:pPr>
          </w:p>
        </w:tc>
        <w:tc>
          <w:tcPr>
            <w:tcW w:w="1260" w:type="dxa"/>
            <w:vAlign w:val="bottom"/>
          </w:tcPr>
          <w:p>
            <w:pPr>
              <w:jc w:val="right"/>
              <w:ind w:right="58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ind w:right="568"/>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64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Revenues</w:t>
            </w: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400" w:type="dxa"/>
            <w:vAlign w:val="bottom"/>
            <w:vMerge w:val="continue"/>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Equipment leasing revenues</w:t>
            </w: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6400" w:type="dxa"/>
            <w:vAlign w:val="bottom"/>
          </w:tcPr>
          <w:p>
            <w:pPr>
              <w:ind w:left="40"/>
              <w:spacing w:after="0"/>
              <w:rPr>
                <w:sz w:val="20"/>
                <w:szCs w:val="20"/>
                <w:color w:val="auto"/>
              </w:rPr>
            </w:pPr>
            <w:r>
              <w:rPr>
                <w:rFonts w:ascii="Arial" w:cs="Arial" w:eastAsia="Arial" w:hAnsi="Arial"/>
                <w:sz w:val="14"/>
                <w:szCs w:val="14"/>
                <w:color w:val="auto"/>
              </w:rPr>
              <w:t>Lease income</w:t>
            </w:r>
          </w:p>
        </w:tc>
        <w:tc>
          <w:tcPr>
            <w:tcW w:w="38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68"/>
              <w:spacing w:after="0"/>
              <w:rPr>
                <w:sz w:val="20"/>
                <w:szCs w:val="20"/>
                <w:color w:val="auto"/>
              </w:rPr>
            </w:pPr>
            <w:r>
              <w:rPr>
                <w:rFonts w:ascii="Arial" w:cs="Arial" w:eastAsia="Arial" w:hAnsi="Arial"/>
                <w:sz w:val="14"/>
                <w:szCs w:val="14"/>
                <w:b w:val="1"/>
                <w:bCs w:val="1"/>
                <w:color w:val="auto"/>
              </w:rPr>
              <w:t>611</w:t>
            </w:r>
          </w:p>
        </w:tc>
        <w:tc>
          <w:tcPr>
            <w:tcW w:w="120" w:type="dxa"/>
            <w:vAlign w:val="bottom"/>
          </w:tcPr>
          <w:p>
            <w:pPr>
              <w:spacing w:after="0"/>
              <w:rPr>
                <w:sz w:val="23"/>
                <w:szCs w:val="23"/>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23"/>
                <w:szCs w:val="23"/>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536</w:t>
            </w:r>
          </w:p>
        </w:tc>
        <w:tc>
          <w:tcPr>
            <w:tcW w:w="0" w:type="dxa"/>
            <w:vAlign w:val="bottom"/>
          </w:tcPr>
          <w:p>
            <w:pPr>
              <w:spacing w:after="0"/>
              <w:rPr>
                <w:sz w:val="1"/>
                <w:szCs w:val="1"/>
                <w:color w:val="auto"/>
              </w:rPr>
            </w:pPr>
          </w:p>
        </w:tc>
      </w:tr>
      <w:tr>
        <w:trPr>
          <w:trHeight w:val="27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Finance lease income</w:t>
            </w: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386</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69"/>
        </w:trPr>
        <w:tc>
          <w:tcPr>
            <w:tcW w:w="6400" w:type="dxa"/>
            <w:vAlign w:val="bottom"/>
          </w:tcPr>
          <w:p>
            <w:pPr>
              <w:ind w:left="40"/>
              <w:spacing w:after="0"/>
              <w:rPr>
                <w:sz w:val="20"/>
                <w:szCs w:val="20"/>
                <w:color w:val="auto"/>
              </w:rPr>
            </w:pPr>
            <w:r>
              <w:rPr>
                <w:rFonts w:ascii="Arial" w:cs="Arial" w:eastAsia="Arial" w:hAnsi="Arial"/>
                <w:sz w:val="14"/>
                <w:szCs w:val="14"/>
                <w:color w:val="auto"/>
              </w:rPr>
              <w:t>Other revenue</w:t>
            </w:r>
          </w:p>
        </w:tc>
        <w:tc>
          <w:tcPr>
            <w:tcW w:w="380" w:type="dxa"/>
            <w:vAlign w:val="bottom"/>
          </w:tcPr>
          <w:p>
            <w:pPr>
              <w:spacing w:after="0"/>
              <w:rPr>
                <w:sz w:val="23"/>
                <w:szCs w:val="23"/>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b w:val="1"/>
                <w:bCs w:val="1"/>
                <w:color w:val="auto"/>
              </w:rPr>
              <w:t>60</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50"/>
        </w:trPr>
        <w:tc>
          <w:tcPr>
            <w:tcW w:w="64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revenues</w:t>
            </w: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1,057</w:t>
            </w:r>
          </w:p>
        </w:tc>
        <w:tc>
          <w:tcPr>
            <w:tcW w:w="12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485</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572</w:t>
            </w:r>
          </w:p>
        </w:tc>
        <w:tc>
          <w:tcPr>
            <w:tcW w:w="0" w:type="dxa"/>
            <w:vAlign w:val="bottom"/>
          </w:tcPr>
          <w:p>
            <w:pPr>
              <w:spacing w:after="0"/>
              <w:rPr>
                <w:sz w:val="1"/>
                <w:szCs w:val="1"/>
                <w:color w:val="auto"/>
              </w:rPr>
            </w:pPr>
          </w:p>
        </w:tc>
      </w:tr>
      <w:tr>
        <w:trPr>
          <w:trHeight w:val="292"/>
        </w:trPr>
        <w:tc>
          <w:tcPr>
            <w:tcW w:w="6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Expenses</w:t>
            </w: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640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380" w:type="dxa"/>
            <w:vAlign w:val="bottom"/>
          </w:tcPr>
          <w:p>
            <w:pPr>
              <w:spacing w:after="0"/>
              <w:rPr>
                <w:sz w:val="23"/>
                <w:szCs w:val="23"/>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b w:val="1"/>
                <w:bCs w:val="1"/>
                <w:color w:val="auto"/>
              </w:rPr>
              <w:t>3,543</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3,601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7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1,607</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1,588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69"/>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expense</w:t>
            </w:r>
          </w:p>
        </w:tc>
        <w:tc>
          <w:tcPr>
            <w:tcW w:w="3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924</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935</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5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expenses</w:t>
            </w: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6,074</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6,124</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92"/>
        </w:trPr>
        <w:tc>
          <w:tcPr>
            <w:tcW w:w="6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income</w:t>
            </w: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income</w:t>
            </w:r>
          </w:p>
        </w:tc>
        <w:tc>
          <w:tcPr>
            <w:tcW w:w="3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3</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other income</w:t>
            </w: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0"/>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Loss before income taxes</w:t>
            </w:r>
          </w:p>
        </w:tc>
        <w:tc>
          <w:tcPr>
            <w:tcW w:w="380" w:type="dxa"/>
            <w:vAlign w:val="bottom"/>
          </w:tcPr>
          <w:p>
            <w:pPr>
              <w:spacing w:after="0"/>
              <w:rPr>
                <w:sz w:val="21"/>
                <w:szCs w:val="21"/>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(5,014)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(5,637)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623</w:t>
            </w:r>
          </w:p>
        </w:tc>
        <w:tc>
          <w:tcPr>
            <w:tcW w:w="0" w:type="dxa"/>
            <w:vAlign w:val="bottom"/>
          </w:tcPr>
          <w:p>
            <w:pPr>
              <w:spacing w:after="0"/>
              <w:rPr>
                <w:sz w:val="1"/>
                <w:szCs w:val="1"/>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 for income taxes</w:t>
            </w: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loss</w:t>
            </w:r>
          </w:p>
        </w:tc>
        <w:tc>
          <w:tcPr>
            <w:tcW w:w="38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(5,016)</w:t>
            </w:r>
          </w:p>
        </w:tc>
        <w:tc>
          <w:tcPr>
            <w:tcW w:w="12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(5,637)</w:t>
            </w: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621</w:t>
            </w:r>
          </w:p>
        </w:tc>
        <w:tc>
          <w:tcPr>
            <w:tcW w:w="0" w:type="dxa"/>
            <w:vAlign w:val="bottom"/>
          </w:tcPr>
          <w:p>
            <w:pPr>
              <w:spacing w:after="0"/>
              <w:rPr>
                <w:sz w:val="1"/>
                <w:szCs w:val="1"/>
                <w:color w:val="auto"/>
              </w:rPr>
            </w:pPr>
          </w:p>
        </w:tc>
      </w:tr>
      <w:tr>
        <w:trPr>
          <w:trHeight w:val="25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(loss) income attributable to non-controlling interest in consolidated subsidiaries</w:t>
            </w: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(248)</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3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(4,768)</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(5,390)</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622</w:t>
            </w:r>
          </w:p>
        </w:tc>
        <w:tc>
          <w:tcPr>
            <w:tcW w:w="0" w:type="dxa"/>
            <w:vAlign w:val="bottom"/>
          </w:tcPr>
          <w:p>
            <w:pPr>
              <w:spacing w:after="0"/>
              <w:rPr>
                <w:sz w:val="1"/>
                <w:szCs w:val="1"/>
                <w:color w:val="auto"/>
              </w:rPr>
            </w:pPr>
          </w:p>
        </w:tc>
      </w:tr>
      <w:tr>
        <w:trPr>
          <w:trHeight w:val="25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Provision for income taxes</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69"/>
        </w:trPr>
        <w:tc>
          <w:tcPr>
            <w:tcW w:w="6400" w:type="dxa"/>
            <w:vAlign w:val="bottom"/>
          </w:tcPr>
          <w:p>
            <w:pPr>
              <w:ind w:left="40"/>
              <w:spacing w:after="0"/>
              <w:rPr>
                <w:sz w:val="20"/>
                <w:szCs w:val="20"/>
                <w:color w:val="auto"/>
              </w:rPr>
            </w:pPr>
            <w:r>
              <w:rPr>
                <w:rFonts w:ascii="Arial" w:cs="Arial" w:eastAsia="Arial" w:hAnsi="Arial"/>
                <w:sz w:val="14"/>
                <w:szCs w:val="14"/>
                <w:color w:val="auto"/>
              </w:rPr>
              <w:t>Add: Equity-based compensation expense</w:t>
            </w:r>
          </w:p>
        </w:tc>
        <w:tc>
          <w:tcPr>
            <w:tcW w:w="380" w:type="dxa"/>
            <w:vAlign w:val="bottom"/>
          </w:tcPr>
          <w:p>
            <w:pPr>
              <w:spacing w:after="0"/>
              <w:rPr>
                <w:sz w:val="23"/>
                <w:szCs w:val="23"/>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38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6400" w:type="dxa"/>
            <w:vAlign w:val="bottom"/>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380" w:type="dxa"/>
            <w:vAlign w:val="bottom"/>
          </w:tcPr>
          <w:p>
            <w:pPr>
              <w:spacing w:after="0"/>
              <w:rPr>
                <w:sz w:val="23"/>
                <w:szCs w:val="23"/>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38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6400" w:type="dxa"/>
            <w:vAlign w:val="bottom"/>
          </w:tcPr>
          <w:p>
            <w:pPr>
              <w:ind w:left="40"/>
              <w:spacing w:after="0"/>
              <w:rPr>
                <w:sz w:val="20"/>
                <w:szCs w:val="20"/>
                <w:color w:val="auto"/>
              </w:rPr>
            </w:pPr>
            <w:r>
              <w:rPr>
                <w:rFonts w:ascii="Arial" w:cs="Arial" w:eastAsia="Arial" w:hAnsi="Arial"/>
                <w:sz w:val="14"/>
                <w:szCs w:val="14"/>
                <w:color w:val="auto"/>
              </w:rPr>
              <w:t>Add: Asset impairment charges</w:t>
            </w:r>
          </w:p>
        </w:tc>
        <w:tc>
          <w:tcPr>
            <w:tcW w:w="380" w:type="dxa"/>
            <w:vAlign w:val="bottom"/>
          </w:tcPr>
          <w:p>
            <w:pPr>
              <w:spacing w:after="0"/>
              <w:rPr>
                <w:sz w:val="23"/>
                <w:szCs w:val="23"/>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Pro-rata share of Adjusted Net Income from unconsolidated entities</w:t>
            </w:r>
          </w:p>
        </w:tc>
        <w:tc>
          <w:tcPr>
            <w:tcW w:w="38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640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380" w:type="dxa"/>
            <w:vAlign w:val="bottom"/>
          </w:tcPr>
          <w:p>
            <w:pPr>
              <w:spacing w:after="0"/>
              <w:rPr>
                <w:sz w:val="23"/>
                <w:szCs w:val="23"/>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Cash payments for income taxes</w:t>
            </w:r>
          </w:p>
        </w:tc>
        <w:tc>
          <w:tcPr>
            <w:tcW w:w="38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6400" w:type="dxa"/>
            <w:vAlign w:val="bottom"/>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380" w:type="dxa"/>
            <w:vAlign w:val="bottom"/>
          </w:tcPr>
          <w:p>
            <w:pPr>
              <w:spacing w:after="0"/>
              <w:rPr>
                <w:sz w:val="23"/>
                <w:szCs w:val="23"/>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Non-controlling share of Adjusted Net Income</w:t>
            </w:r>
          </w:p>
        </w:tc>
        <w:tc>
          <w:tcPr>
            <w:tcW w:w="38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8"/>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Adjusted Net Loss</w:t>
            </w:r>
          </w:p>
        </w:tc>
        <w:tc>
          <w:tcPr>
            <w:tcW w:w="38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(4,766)</w:t>
            </w:r>
          </w:p>
        </w:tc>
        <w:tc>
          <w:tcPr>
            <w:tcW w:w="12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(5,390)</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624</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540" w:right="239" w:bottom="1440" w:gutter="0" w:footer="0" w:header="0"/>
        </w:sectPr>
      </w:pPr>
    </w:p>
    <w:bookmarkStart w:id="47" w:name="page48"/>
    <w:bookmarkEnd w:id="47"/>
    <w:p>
      <w:pPr>
        <w:ind w:right="60"/>
        <w:spacing w:after="0" w:line="291" w:lineRule="auto"/>
        <w:rPr>
          <w:sz w:val="20"/>
          <w:szCs w:val="20"/>
          <w:color w:val="auto"/>
        </w:rPr>
      </w:pPr>
      <w:r>
        <w:rPr>
          <w:rFonts w:ascii="Arial" w:cs="Arial" w:eastAsia="Arial" w:hAnsi="Arial"/>
          <w:sz w:val="16"/>
          <w:szCs w:val="16"/>
          <w:color w:val="auto"/>
        </w:rPr>
        <w:t>The following table sets forth a reconciliation of net loss attributable to shareholders to Adjusted EBITDA for the Offshore Energy segment for the three months ended March 31, 2017 and March 31, 2016:</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00" w:type="dxa"/>
            <w:vAlign w:val="bottom"/>
          </w:tcPr>
          <w:p>
            <w:pPr>
              <w:spacing w:after="0"/>
              <w:rPr>
                <w:sz w:val="14"/>
                <w:szCs w:val="14"/>
                <w:color w:val="auto"/>
              </w:rPr>
            </w:pPr>
          </w:p>
        </w:tc>
        <w:tc>
          <w:tcPr>
            <w:tcW w:w="3440" w:type="dxa"/>
            <w:vAlign w:val="bottom"/>
            <w:gridSpan w:val="6"/>
          </w:tcPr>
          <w:p>
            <w:pPr>
              <w:ind w:left="98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04"/>
        </w:trPr>
        <w:tc>
          <w:tcPr>
            <w:tcW w:w="640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13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ind w:right="448"/>
              <w:spacing w:after="0"/>
              <w:rPr>
                <w:sz w:val="20"/>
                <w:szCs w:val="20"/>
                <w:color w:val="auto"/>
              </w:rPr>
            </w:pPr>
            <w:r>
              <w:rPr>
                <w:rFonts w:ascii="Arial" w:cs="Arial" w:eastAsia="Arial" w:hAnsi="Arial"/>
                <w:sz w:val="14"/>
                <w:szCs w:val="14"/>
                <w:b w:val="1"/>
                <w:bCs w:val="1"/>
                <w:color w:val="auto"/>
              </w:rPr>
              <w:t>Change</w:t>
            </w:r>
          </w:p>
        </w:tc>
      </w:tr>
      <w:tr>
        <w:trPr>
          <w:trHeight w:val="235"/>
        </w:trPr>
        <w:tc>
          <w:tcPr>
            <w:tcW w:w="6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568"/>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9"/>
        </w:trPr>
        <w:tc>
          <w:tcPr>
            <w:tcW w:w="64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5"/>
        </w:trPr>
        <w:tc>
          <w:tcPr>
            <w:tcW w:w="6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color w:val="auto"/>
              </w:rPr>
              <w:t>(in thousands)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5"/>
        </w:trPr>
        <w:tc>
          <w:tcPr>
            <w:tcW w:w="64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1040" w:type="dxa"/>
            <w:vAlign w:val="bottom"/>
            <w:shd w:val="clear" w:color="auto" w:fill="CCEEFF"/>
          </w:tcPr>
          <w:p>
            <w:pPr>
              <w:jc w:val="right"/>
              <w:ind w:right="84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(4,768)</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622</w:t>
            </w:r>
          </w:p>
        </w:tc>
      </w:tr>
      <w:tr>
        <w:trPr>
          <w:trHeight w:val="269"/>
        </w:trPr>
        <w:tc>
          <w:tcPr>
            <w:tcW w:w="6400" w:type="dxa"/>
            <w:vAlign w:val="bottom"/>
          </w:tcPr>
          <w:p>
            <w:pPr>
              <w:ind w:left="40"/>
              <w:spacing w:after="0"/>
              <w:rPr>
                <w:sz w:val="20"/>
                <w:szCs w:val="20"/>
                <w:color w:val="auto"/>
              </w:rPr>
            </w:pPr>
            <w:r>
              <w:rPr>
                <w:rFonts w:ascii="Arial" w:cs="Arial" w:eastAsia="Arial" w:hAnsi="Arial"/>
                <w:sz w:val="14"/>
                <w:szCs w:val="14"/>
                <w:color w:val="auto"/>
              </w:rPr>
              <w:t>Add: Provision for income taxes</w:t>
            </w:r>
          </w:p>
        </w:tc>
        <w:tc>
          <w:tcPr>
            <w:tcW w:w="1040" w:type="dxa"/>
            <w:vAlign w:val="bottom"/>
          </w:tcPr>
          <w:p>
            <w:pPr>
              <w:spacing w:after="0"/>
              <w:rPr>
                <w:sz w:val="23"/>
                <w:szCs w:val="23"/>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w:t>
            </w:r>
          </w:p>
        </w:tc>
      </w:tr>
      <w:tr>
        <w:trPr>
          <w:trHeight w:val="27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w:t>
            </w:r>
          </w:p>
        </w:tc>
        <w:tc>
          <w:tcPr>
            <w:tcW w:w="104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9"/>
        </w:trPr>
        <w:tc>
          <w:tcPr>
            <w:tcW w:w="640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1040" w:type="dxa"/>
            <w:vAlign w:val="bottom"/>
          </w:tcPr>
          <w:p>
            <w:pPr>
              <w:spacing w:after="0"/>
              <w:rPr>
                <w:sz w:val="23"/>
                <w:szCs w:val="2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104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9"/>
        </w:trPr>
        <w:tc>
          <w:tcPr>
            <w:tcW w:w="640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1040" w:type="dxa"/>
            <w:vAlign w:val="bottom"/>
          </w:tcPr>
          <w:p>
            <w:pPr>
              <w:spacing w:after="0"/>
              <w:rPr>
                <w:sz w:val="23"/>
                <w:szCs w:val="2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104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9"/>
        </w:trPr>
        <w:tc>
          <w:tcPr>
            <w:tcW w:w="640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1040" w:type="dxa"/>
            <w:vAlign w:val="bottom"/>
          </w:tcPr>
          <w:p>
            <w:pPr>
              <w:spacing w:after="0"/>
              <w:rPr>
                <w:sz w:val="23"/>
                <w:szCs w:val="2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Depreciation and amortization expense</w:t>
            </w:r>
          </w:p>
        </w:tc>
        <w:tc>
          <w:tcPr>
            <w:tcW w:w="104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1,607</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1,588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r>
      <w:tr>
        <w:trPr>
          <w:trHeight w:val="269"/>
        </w:trPr>
        <w:tc>
          <w:tcPr>
            <w:tcW w:w="6400" w:type="dxa"/>
            <w:vAlign w:val="bottom"/>
          </w:tcPr>
          <w:p>
            <w:pPr>
              <w:ind w:left="40"/>
              <w:spacing w:after="0"/>
              <w:rPr>
                <w:sz w:val="20"/>
                <w:szCs w:val="20"/>
                <w:color w:val="auto"/>
              </w:rPr>
            </w:pPr>
            <w:r>
              <w:rPr>
                <w:rFonts w:ascii="Arial" w:cs="Arial" w:eastAsia="Arial" w:hAnsi="Arial"/>
                <w:sz w:val="14"/>
                <w:szCs w:val="14"/>
                <w:color w:val="auto"/>
              </w:rPr>
              <w:t>Add: Interest expense</w:t>
            </w:r>
          </w:p>
        </w:tc>
        <w:tc>
          <w:tcPr>
            <w:tcW w:w="1040" w:type="dxa"/>
            <w:vAlign w:val="bottom"/>
          </w:tcPr>
          <w:p>
            <w:pPr>
              <w:spacing w:after="0"/>
              <w:rPr>
                <w:sz w:val="23"/>
                <w:szCs w:val="23"/>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b w:val="1"/>
                <w:bCs w:val="1"/>
                <w:color w:val="auto"/>
              </w:rPr>
              <w:t>924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935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7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Pro-rata share of Adjusted EBITDA from unconsolidated entities</w:t>
            </w:r>
          </w:p>
        </w:tc>
        <w:tc>
          <w:tcPr>
            <w:tcW w:w="104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9"/>
        </w:trPr>
        <w:tc>
          <w:tcPr>
            <w:tcW w:w="6400" w:type="dxa"/>
            <w:vAlign w:val="bottom"/>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1040" w:type="dxa"/>
            <w:vAlign w:val="bottom"/>
          </w:tcPr>
          <w:p>
            <w:pPr>
              <w:spacing w:after="0"/>
              <w:rPr>
                <w:sz w:val="23"/>
                <w:szCs w:val="2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7"/>
                <w:szCs w:val="17"/>
                <w:color w:val="auto"/>
                <w:vertAlign w:val="superscript"/>
              </w:rPr>
              <w:t>(1)</w:t>
            </w:r>
          </w:p>
        </w:tc>
        <w:tc>
          <w:tcPr>
            <w:tcW w:w="104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(95)</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237"/>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Adjusted EBITDA (non-GAAP)</w:t>
            </w:r>
          </w:p>
        </w:tc>
        <w:tc>
          <w:tcPr>
            <w:tcW w:w="104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(2,330)</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(2,951)</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621</w:t>
            </w:r>
          </w:p>
        </w:tc>
      </w:tr>
      <w:tr>
        <w:trPr>
          <w:trHeight w:val="20"/>
        </w:trPr>
        <w:tc>
          <w:tcPr>
            <w:tcW w:w="6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72" w:lineRule="exact"/>
        <w:rPr>
          <w:sz w:val="20"/>
          <w:szCs w:val="20"/>
          <w:color w:val="auto"/>
        </w:rPr>
      </w:pPr>
    </w:p>
    <w:p>
      <w:pPr>
        <w:ind w:left="500" w:right="20" w:hanging="492"/>
        <w:spacing w:after="0" w:line="239" w:lineRule="auto"/>
        <w:tabs>
          <w:tab w:leader="none" w:pos="149" w:val="left"/>
        </w:tabs>
        <w:numPr>
          <w:ilvl w:val="0"/>
          <w:numId w:val="15"/>
        </w:numPr>
        <w:rPr>
          <w:rFonts w:ascii="Arial" w:cs="Arial" w:eastAsia="Arial" w:hAnsi="Arial"/>
          <w:sz w:val="17"/>
          <w:szCs w:val="17"/>
          <w:color w:val="auto"/>
          <w:vertAlign w:val="superscript"/>
        </w:rPr>
      </w:pPr>
      <w:r>
        <w:rPr>
          <w:rFonts w:ascii="Arial" w:cs="Arial" w:eastAsia="Arial" w:hAnsi="Arial"/>
          <w:sz w:val="14"/>
          <w:szCs w:val="14"/>
          <w:color w:val="auto"/>
        </w:rPr>
        <w:t>Non-controlling share of Adjusted EBITDA is comprised of the following items for the three months ended March 31, 2017 and 2016: (i) depreciation expense of $62 and $59, and (ii) interest expense of $33 and $25.</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Total revenues in the Offshore Energy segment increased by $572 primarily driven by higher lease income. In the three months ended March 31, 2017, the offshore construction support vessel and the ROV support vessel were subject to a short term lease arrangement, as compared to the three months ended March 31, 2016, when the vessels were off-lease.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Total expenses in the Offshore Energy segment decreased by $50 in the three months ended March 31, 2017 as compared to the three months ended March 31, 2016. Total expenses for the offshore construction support vessel included interest expense on term loan financing, depreciation and amortization expense, and operating expenses.</w:t>
      </w:r>
    </w:p>
    <w:p>
      <w:pPr>
        <w:spacing w:after="0" w:line="11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During the three months ended March 31, 2017, there was $1,195 and $412 of depreciation expense related to the construction support vessel and ROV support vessel, respectively. During the three months ended March 31, 2016, there was $1,190 and $398 of depreciation expense related to the construction support vessel and ROV support vessel, respectively.</w:t>
      </w:r>
    </w:p>
    <w:p>
      <w:pPr>
        <w:spacing w:after="0" w:line="11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During the three months ended March 31, 2017, there was $891 and $33 of interest expense primarily related to financing for the construction support vessel and ROV support vessel, respectively. During the three months ended March 31, 2016, there was $910 and $25 of interest expense related to financing for the construction support vessel and ROV support vessel.</w:t>
      </w:r>
    </w:p>
    <w:p>
      <w:pPr>
        <w:spacing w:after="0" w:line="11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For the three months ended March 31, 2017, operating expenses decreased $58 as compared to the three months ended March 31, 2016. The decrease in operating expenses was the result of decreased (i) crew costs of $245, (ii) other operating expenses of $483 and (iii) management fees of $31 offset by increased legal fees of $531 and mobilization costs of $170.</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Net Loss</w:t>
      </w:r>
    </w:p>
    <w:p>
      <w:pPr>
        <w:spacing w:after="0" w:line="16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Adjusted Net Loss was $4,766 in the three months ended March 31, 2017, an increase of $624 as compared to the three months ended March 31, 2016. This gain was due to the changes described above in the three months ended March 31, 2017.</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878" w:right="239" w:bottom="1440" w:gutter="0" w:footer="0" w:header="0"/>
        </w:sectPr>
      </w:pPr>
    </w:p>
    <w:bookmarkStart w:id="48" w:name="page49"/>
    <w:bookmarkEnd w:id="48"/>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67"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Adjusted EBITDA increased by $621 in the three months ended March 31, 2017 as compared to the three months ended March 31, 2016, due to an decrease in net loss attributable to shareholders of $622, the provision for income taxes of $2 and depreciation and amortization expense of $19, as noted above. This was offset by a decrease in interest expense of $11 and a decrease of $11 relating to the non-controlling interest holder share of Adjusted EBITDA in the three months ended March 31, 2017 as compared to the three months ended March 31, 2016.</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Shipping Containers Segment</w:t>
      </w:r>
    </w:p>
    <w:p>
      <w:pPr>
        <w:spacing w:after="0" w:line="169"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In our Shipping Containers segment, we own, through a joint venture, interest in approximately 72,000 maritime shipping containers and related equipment through one portfolio. The chart below describes the assets in our Shipping Containers segment as of March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54875" cy="951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4875" cy="951865"/>
                    </a:xfrm>
                    <a:prstGeom prst="rect">
                      <a:avLst/>
                    </a:prstGeom>
                    <a:noFill/>
                  </pic:spPr>
                </pic:pic>
              </a:graphicData>
            </a:graphic>
          </wp:anchor>
        </w:drawing>
      </w:r>
    </w:p>
    <w:p>
      <w:pPr>
        <w:spacing w:after="0" w:line="241" w:lineRule="exact"/>
        <w:rPr>
          <w:sz w:val="20"/>
          <w:szCs w:val="20"/>
          <w:color w:val="auto"/>
        </w:rPr>
      </w:pPr>
    </w:p>
    <w:p>
      <w:pPr>
        <w:ind w:left="180"/>
        <w:spacing w:after="0"/>
        <w:rPr>
          <w:sz w:val="20"/>
          <w:szCs w:val="20"/>
          <w:color w:val="auto"/>
        </w:rPr>
      </w:pPr>
      <w:r>
        <w:rPr>
          <w:rFonts w:ascii="Arial" w:cs="Arial" w:eastAsia="Arial" w:hAnsi="Arial"/>
          <w:sz w:val="14"/>
          <w:szCs w:val="14"/>
          <w:color w:val="FFFFFF"/>
        </w:rPr>
        <w:t>Shipping Containers Assets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320" w:type="dxa"/>
            <w:vAlign w:val="bottom"/>
            <w:tcBorders>
              <w:top w:val="single" w:sz="8" w:color="auto"/>
              <w:bottom w:val="single" w:sz="8" w:color="auto"/>
              <w:right w:val="single" w:sz="8" w:color="auto"/>
            </w:tcBorders>
            <w:shd w:val="clear" w:color="auto" w:fill="D8D8D8"/>
          </w:tcPr>
          <w:p>
            <w:pPr>
              <w:jc w:val="right"/>
              <w:ind w:right="648"/>
              <w:spacing w:after="0"/>
              <w:rPr>
                <w:sz w:val="20"/>
                <w:szCs w:val="20"/>
                <w:color w:val="auto"/>
              </w:rPr>
            </w:pPr>
            <w:r>
              <w:rPr>
                <w:rFonts w:ascii="Arial" w:cs="Arial" w:eastAsia="Arial" w:hAnsi="Arial"/>
                <w:sz w:val="14"/>
                <w:szCs w:val="14"/>
                <w:color w:val="auto"/>
              </w:rPr>
              <w:t>Number of Containers</w:t>
            </w:r>
          </w:p>
        </w:tc>
        <w:tc>
          <w:tcPr>
            <w:tcW w:w="1720" w:type="dxa"/>
            <w:vAlign w:val="bottom"/>
            <w:tcBorders>
              <w:top w:val="single" w:sz="8" w:color="auto"/>
              <w:bottom w:val="single" w:sz="8" w:color="auto"/>
              <w:right w:val="single" w:sz="8" w:color="auto"/>
            </w:tcBorders>
            <w:shd w:val="clear" w:color="auto" w:fill="D8D8D8"/>
          </w:tcPr>
          <w:p>
            <w:pPr>
              <w:ind w:left="700"/>
              <w:spacing w:after="0"/>
              <w:rPr>
                <w:sz w:val="20"/>
                <w:szCs w:val="20"/>
                <w:color w:val="auto"/>
              </w:rPr>
            </w:pPr>
            <w:r>
              <w:rPr>
                <w:rFonts w:ascii="Arial" w:cs="Arial" w:eastAsia="Arial" w:hAnsi="Arial"/>
                <w:sz w:val="14"/>
                <w:szCs w:val="14"/>
                <w:color w:val="auto"/>
              </w:rPr>
              <w:t>Type</w:t>
            </w:r>
          </w:p>
        </w:tc>
        <w:tc>
          <w:tcPr>
            <w:tcW w:w="1720" w:type="dxa"/>
            <w:vAlign w:val="bottom"/>
            <w:tcBorders>
              <w:top w:val="single" w:sz="8" w:color="auto"/>
              <w:bottom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rPr>
              <w:t>Average Age</w:t>
            </w:r>
          </w:p>
        </w:tc>
        <w:tc>
          <w:tcPr>
            <w:tcW w:w="1700" w:type="dxa"/>
            <w:vAlign w:val="bottom"/>
            <w:tcBorders>
              <w:top w:val="single" w:sz="8" w:color="auto"/>
              <w:bottom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rPr>
              <w:t>Lease Type</w:t>
            </w:r>
          </w:p>
        </w:tc>
        <w:tc>
          <w:tcPr>
            <w:tcW w:w="1700" w:type="dxa"/>
            <w:vAlign w:val="bottom"/>
            <w:tcBorders>
              <w:top w:val="single" w:sz="8" w:color="auto"/>
              <w:bottom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rPr>
              <w:t>Customer Mix</w:t>
            </w:r>
          </w:p>
        </w:tc>
        <w:tc>
          <w:tcPr>
            <w:tcW w:w="2260" w:type="dxa"/>
            <w:vAlign w:val="bottom"/>
            <w:tcBorders>
              <w:top w:val="single" w:sz="8" w:color="auto"/>
              <w:bottom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rPr>
              <w:t>Economic Interest (%)</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320" w:type="dxa"/>
            <w:vAlign w:val="bottom"/>
            <w:tcBorders>
              <w:right w:val="single" w:sz="8" w:color="auto"/>
            </w:tcBorders>
          </w:tcPr>
          <w:p>
            <w:pPr>
              <w:spacing w:after="0"/>
              <w:rPr>
                <w:sz w:val="15"/>
                <w:szCs w:val="15"/>
                <w:color w:val="auto"/>
              </w:rPr>
            </w:pP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20’ Dry</w:t>
            </w:r>
          </w:p>
        </w:tc>
        <w:tc>
          <w:tcPr>
            <w:tcW w:w="1720" w:type="dxa"/>
            <w:vAlign w:val="bottom"/>
            <w:tcBorders>
              <w:right w:val="single" w:sz="8" w:color="auto"/>
            </w:tcBorders>
          </w:tcPr>
          <w:p>
            <w:pPr>
              <w:spacing w:after="0"/>
              <w:rPr>
                <w:sz w:val="15"/>
                <w:szCs w:val="15"/>
                <w:color w:val="auto"/>
              </w:rPr>
            </w:pPr>
          </w:p>
        </w:tc>
        <w:tc>
          <w:tcPr>
            <w:tcW w:w="1700" w:type="dxa"/>
            <w:vAlign w:val="bottom"/>
            <w:tcBorders>
              <w:right w:val="single" w:sz="8" w:color="auto"/>
            </w:tcBorders>
          </w:tcPr>
          <w:p>
            <w:pPr>
              <w:spacing w:after="0"/>
              <w:rPr>
                <w:sz w:val="15"/>
                <w:szCs w:val="15"/>
                <w:color w:val="auto"/>
              </w:rPr>
            </w:pPr>
          </w:p>
        </w:tc>
        <w:tc>
          <w:tcPr>
            <w:tcW w:w="1700" w:type="dxa"/>
            <w:vAlign w:val="bottom"/>
            <w:tcBorders>
              <w:right w:val="single" w:sz="8" w:color="auto"/>
            </w:tcBorders>
          </w:tcPr>
          <w:p>
            <w:pPr>
              <w:spacing w:after="0"/>
              <w:rPr>
                <w:sz w:val="15"/>
                <w:szCs w:val="15"/>
                <w:color w:val="auto"/>
              </w:rPr>
            </w:pPr>
          </w:p>
        </w:tc>
        <w:tc>
          <w:tcPr>
            <w:tcW w:w="2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320" w:type="dxa"/>
            <w:vAlign w:val="bottom"/>
            <w:tcBorders>
              <w:right w:val="single" w:sz="8" w:color="auto"/>
            </w:tcBorders>
          </w:tcPr>
          <w:p>
            <w:pPr>
              <w:spacing w:after="0"/>
              <w:rPr>
                <w:sz w:val="14"/>
                <w:szCs w:val="14"/>
                <w:color w:val="auto"/>
              </w:rPr>
            </w:pP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20’ Reefer</w:t>
            </w:r>
          </w:p>
        </w:tc>
        <w:tc>
          <w:tcPr>
            <w:tcW w:w="1720" w:type="dxa"/>
            <w:vAlign w:val="bottom"/>
            <w:tcBorders>
              <w:right w:val="single" w:sz="8" w:color="auto"/>
            </w:tcBorders>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2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20" w:type="dxa"/>
            <w:vAlign w:val="bottom"/>
            <w:tcBorders>
              <w:right w:val="single" w:sz="8" w:color="auto"/>
            </w:tcBorders>
            <w:vMerge w:val="restart"/>
          </w:tcPr>
          <w:p>
            <w:pPr>
              <w:jc w:val="right"/>
              <w:ind w:right="1768"/>
              <w:spacing w:after="0"/>
              <w:rPr>
                <w:sz w:val="20"/>
                <w:szCs w:val="20"/>
                <w:color w:val="auto"/>
              </w:rPr>
            </w:pPr>
            <w:r>
              <w:rPr>
                <w:rFonts w:ascii="Arial" w:cs="Arial" w:eastAsia="Arial" w:hAnsi="Arial"/>
                <w:sz w:val="14"/>
                <w:szCs w:val="14"/>
                <w:color w:val="auto"/>
              </w:rPr>
              <w:t>72,000</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40’ Dry</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~9 Years</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Direct Finance</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5 Customers</w:t>
            </w:r>
          </w:p>
        </w:tc>
        <w:tc>
          <w:tcPr>
            <w:tcW w:w="2260" w:type="dxa"/>
            <w:vAlign w:val="bottom"/>
            <w:vMerge w:val="restart"/>
          </w:tcPr>
          <w:p>
            <w:pPr>
              <w:jc w:val="right"/>
              <w:ind w:right="928"/>
              <w:spacing w:after="0"/>
              <w:rPr>
                <w:sz w:val="20"/>
                <w:szCs w:val="20"/>
                <w:color w:val="auto"/>
              </w:rPr>
            </w:pPr>
            <w:r>
              <w:rPr>
                <w:rFonts w:ascii="Arial" w:cs="Arial" w:eastAsia="Arial" w:hAnsi="Arial"/>
                <w:sz w:val="14"/>
                <w:szCs w:val="14"/>
                <w:color w:val="auto"/>
              </w:rPr>
              <w:t>51%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320" w:type="dxa"/>
            <w:vAlign w:val="bottom"/>
            <w:tcBorders>
              <w:right w:val="single" w:sz="8" w:color="auto"/>
            </w:tcBorders>
            <w:vMerge w:val="continue"/>
          </w:tcPr>
          <w:p>
            <w:pPr>
              <w:spacing w:after="0"/>
              <w:rPr>
                <w:sz w:val="9"/>
                <w:szCs w:val="9"/>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40’ HC Dry</w:t>
            </w:r>
          </w:p>
        </w:tc>
        <w:tc>
          <w:tcPr>
            <w:tcW w:w="172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Lease/Operating Lease</w:t>
            </w:r>
          </w:p>
        </w:tc>
        <w:tc>
          <w:tcPr>
            <w:tcW w:w="1700" w:type="dxa"/>
            <w:vAlign w:val="bottom"/>
            <w:tcBorders>
              <w:right w:val="single" w:sz="8" w:color="auto"/>
            </w:tcBorders>
            <w:vMerge w:val="continue"/>
          </w:tcPr>
          <w:p>
            <w:pPr>
              <w:spacing w:after="0"/>
              <w:rPr>
                <w:sz w:val="9"/>
                <w:szCs w:val="9"/>
                <w:color w:val="auto"/>
              </w:rPr>
            </w:pPr>
          </w:p>
        </w:tc>
        <w:tc>
          <w:tcPr>
            <w:tcW w:w="22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9"/>
        </w:trPr>
        <w:tc>
          <w:tcPr>
            <w:tcW w:w="2320" w:type="dxa"/>
            <w:vAlign w:val="bottom"/>
            <w:tcBorders>
              <w:right w:val="single" w:sz="8" w:color="auto"/>
            </w:tcBorders>
          </w:tcPr>
          <w:p>
            <w:pPr>
              <w:spacing w:after="0"/>
              <w:rPr>
                <w:sz w:val="4"/>
                <w:szCs w:val="4"/>
                <w:color w:val="auto"/>
              </w:rPr>
            </w:pPr>
          </w:p>
        </w:tc>
        <w:tc>
          <w:tcPr>
            <w:tcW w:w="1720" w:type="dxa"/>
            <w:vAlign w:val="bottom"/>
            <w:tcBorders>
              <w:right w:val="single" w:sz="8" w:color="auto"/>
            </w:tcBorders>
            <w:vMerge w:val="continue"/>
          </w:tcPr>
          <w:p>
            <w:pPr>
              <w:spacing w:after="0"/>
              <w:rPr>
                <w:sz w:val="4"/>
                <w:szCs w:val="4"/>
                <w:color w:val="auto"/>
              </w:rPr>
            </w:pPr>
          </w:p>
        </w:tc>
        <w:tc>
          <w:tcPr>
            <w:tcW w:w="1720" w:type="dxa"/>
            <w:vAlign w:val="bottom"/>
            <w:tcBorders>
              <w:right w:val="single" w:sz="8" w:color="auto"/>
            </w:tcBorders>
          </w:tcPr>
          <w:p>
            <w:pPr>
              <w:spacing w:after="0"/>
              <w:rPr>
                <w:sz w:val="4"/>
                <w:szCs w:val="4"/>
                <w:color w:val="auto"/>
              </w:rPr>
            </w:pPr>
          </w:p>
        </w:tc>
        <w:tc>
          <w:tcPr>
            <w:tcW w:w="1700" w:type="dxa"/>
            <w:vAlign w:val="bottom"/>
            <w:tcBorders>
              <w:right w:val="single" w:sz="8" w:color="auto"/>
            </w:tcBorders>
            <w:vMerge w:val="continue"/>
          </w:tcPr>
          <w:p>
            <w:pPr>
              <w:spacing w:after="0"/>
              <w:rPr>
                <w:sz w:val="4"/>
                <w:szCs w:val="4"/>
                <w:color w:val="auto"/>
              </w:rPr>
            </w:pPr>
          </w:p>
        </w:tc>
        <w:tc>
          <w:tcPr>
            <w:tcW w:w="1700" w:type="dxa"/>
            <w:vAlign w:val="bottom"/>
            <w:tcBorders>
              <w:right w:val="single" w:sz="8" w:color="auto"/>
            </w:tcBorders>
          </w:tcPr>
          <w:p>
            <w:pPr>
              <w:spacing w:after="0"/>
              <w:rPr>
                <w:sz w:val="4"/>
                <w:szCs w:val="4"/>
                <w:color w:val="auto"/>
              </w:rPr>
            </w:pPr>
          </w:p>
        </w:tc>
        <w:tc>
          <w:tcPr>
            <w:tcW w:w="22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320" w:type="dxa"/>
            <w:vAlign w:val="bottom"/>
            <w:tcBorders>
              <w:right w:val="single" w:sz="8" w:color="auto"/>
            </w:tcBorders>
          </w:tcPr>
          <w:p>
            <w:pPr>
              <w:spacing w:after="0"/>
              <w:rPr>
                <w:sz w:val="14"/>
                <w:szCs w:val="14"/>
                <w:color w:val="auto"/>
              </w:rPr>
            </w:pP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40’ HC Reefer</w:t>
            </w:r>
          </w:p>
        </w:tc>
        <w:tc>
          <w:tcPr>
            <w:tcW w:w="1720" w:type="dxa"/>
            <w:vAlign w:val="bottom"/>
            <w:tcBorders>
              <w:right w:val="single" w:sz="8" w:color="auto"/>
            </w:tcBorders>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2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32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45’ Dry</w:t>
            </w:r>
          </w:p>
        </w:tc>
        <w:tc>
          <w:tcPr>
            <w:tcW w:w="172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40"/>
          </w:cols>
          <w:pgMar w:left="240" w:top="527" w:right="219" w:bottom="1440" w:gutter="0" w:footer="0" w:header="0"/>
        </w:sectPr>
      </w:pPr>
    </w:p>
    <w:bookmarkStart w:id="49" w:name="page50"/>
    <w:bookmarkEnd w:id="49"/>
    <w:p>
      <w:pPr>
        <w:spacing w:after="0"/>
        <w:rPr>
          <w:sz w:val="20"/>
          <w:szCs w:val="20"/>
          <w:color w:val="auto"/>
        </w:rPr>
      </w:pPr>
      <w:r>
        <w:rPr>
          <w:rFonts w:ascii="Arial" w:cs="Arial" w:eastAsia="Arial" w:hAnsi="Arial"/>
          <w:sz w:val="16"/>
          <w:szCs w:val="16"/>
          <w:color w:val="auto"/>
        </w:rPr>
        <w:t>The following table presents our results of operations and reconciliation of net (loss) income attributable to shareholders to Adjusted Net (Loss) Income for the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Shipping Containers segment for the three months ended March 31, 2017 and March 31, 2016:</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6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March 31,</w:t>
            </w: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ind w:right="3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6"/>
        </w:trPr>
        <w:tc>
          <w:tcPr>
            <w:tcW w:w="674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360" w:type="dxa"/>
            <w:vAlign w:val="bottom"/>
          </w:tcPr>
          <w:p>
            <w:pPr>
              <w:spacing w:after="0"/>
              <w:rPr>
                <w:sz w:val="20"/>
                <w:szCs w:val="20"/>
                <w:color w:val="auto"/>
              </w:rPr>
            </w:pPr>
          </w:p>
        </w:tc>
        <w:tc>
          <w:tcPr>
            <w:tcW w:w="1140" w:type="dxa"/>
            <w:vAlign w:val="bottom"/>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jc w:val="right"/>
              <w:ind w:right="508"/>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6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Revenues</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740" w:type="dxa"/>
            <w:vAlign w:val="bottom"/>
            <w:vMerge w:val="continue"/>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Equipment leasing revenues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6740" w:type="dxa"/>
            <w:vAlign w:val="bottom"/>
          </w:tcPr>
          <w:p>
            <w:pPr>
              <w:ind w:left="40"/>
              <w:spacing w:after="0"/>
              <w:rPr>
                <w:sz w:val="20"/>
                <w:szCs w:val="20"/>
                <w:color w:val="auto"/>
              </w:rPr>
            </w:pPr>
            <w:r>
              <w:rPr>
                <w:rFonts w:ascii="Arial" w:cs="Arial" w:eastAsia="Arial" w:hAnsi="Arial"/>
                <w:sz w:val="14"/>
                <w:szCs w:val="14"/>
                <w:color w:val="auto"/>
              </w:rPr>
              <w:t>Finance lease income</w:t>
            </w:r>
          </w:p>
        </w:tc>
        <w:tc>
          <w:tcPr>
            <w:tcW w:w="36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1,112</w:t>
            </w:r>
          </w:p>
        </w:tc>
        <w:tc>
          <w:tcPr>
            <w:tcW w:w="10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(1,112)</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revenue</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25</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revenues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25</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1,137</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(1,112)</w:t>
            </w:r>
          </w:p>
        </w:tc>
        <w:tc>
          <w:tcPr>
            <w:tcW w:w="0" w:type="dxa"/>
            <w:vAlign w:val="bottom"/>
          </w:tcPr>
          <w:p>
            <w:pPr>
              <w:spacing w:after="0"/>
              <w:rPr>
                <w:sz w:val="1"/>
                <w:szCs w:val="1"/>
                <w:color w:val="auto"/>
              </w:rPr>
            </w:pPr>
          </w:p>
        </w:tc>
      </w:tr>
      <w:tr>
        <w:trPr>
          <w:trHeight w:val="292"/>
        </w:trPr>
        <w:tc>
          <w:tcPr>
            <w:tcW w:w="6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Expenses</w:t>
            </w: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36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expense</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410</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(410)</w:t>
            </w:r>
          </w:p>
        </w:tc>
        <w:tc>
          <w:tcPr>
            <w:tcW w:w="0" w:type="dxa"/>
            <w:vAlign w:val="bottom"/>
          </w:tcPr>
          <w:p>
            <w:pPr>
              <w:spacing w:after="0"/>
              <w:rPr>
                <w:sz w:val="1"/>
                <w:szCs w:val="1"/>
                <w:color w:val="auto"/>
              </w:rPr>
            </w:pPr>
          </w:p>
        </w:tc>
      </w:tr>
      <w:tr>
        <w:trPr>
          <w:trHeight w:val="25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expenses</w:t>
            </w:r>
          </w:p>
        </w:tc>
        <w:tc>
          <w:tcPr>
            <w:tcW w:w="3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w:t>
            </w:r>
          </w:p>
        </w:tc>
        <w:tc>
          <w:tcPr>
            <w:tcW w:w="0" w:type="dxa"/>
            <w:vAlign w:val="bottom"/>
          </w:tcPr>
          <w:p>
            <w:pPr>
              <w:spacing w:after="0"/>
              <w:rPr>
                <w:sz w:val="1"/>
                <w:szCs w:val="1"/>
                <w:color w:val="auto"/>
              </w:rPr>
            </w:pPr>
          </w:p>
        </w:tc>
      </w:tr>
      <w:tr>
        <w:trPr>
          <w:trHeight w:val="292"/>
        </w:trPr>
        <w:tc>
          <w:tcPr>
            <w:tcW w:w="67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(expense) income</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6740" w:type="dxa"/>
            <w:vAlign w:val="bottom"/>
          </w:tcPr>
          <w:p>
            <w:pPr>
              <w:ind w:left="40"/>
              <w:spacing w:after="0"/>
              <w:rPr>
                <w:sz w:val="20"/>
                <w:szCs w:val="20"/>
                <w:color w:val="auto"/>
              </w:rPr>
            </w:pPr>
            <w:r>
              <w:rPr>
                <w:rFonts w:ascii="Arial" w:cs="Arial" w:eastAsia="Arial" w:hAnsi="Arial"/>
                <w:sz w:val="14"/>
                <w:szCs w:val="14"/>
                <w:color w:val="auto"/>
              </w:rPr>
              <w:t>Equity in (losses) earnings of unconsolidated entities</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(465)</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(550)</w:t>
            </w:r>
          </w:p>
        </w:tc>
        <w:tc>
          <w:tcPr>
            <w:tcW w:w="0" w:type="dxa"/>
            <w:vAlign w:val="bottom"/>
          </w:tcPr>
          <w:p>
            <w:pPr>
              <w:spacing w:after="0"/>
              <w:rPr>
                <w:sz w:val="1"/>
                <w:szCs w:val="1"/>
                <w:color w:val="auto"/>
              </w:rPr>
            </w:pP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Gain on sale of finance leases, net</w:t>
            </w:r>
          </w:p>
        </w:tc>
        <w:tc>
          <w:tcPr>
            <w:tcW w:w="36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w:t>
            </w:r>
          </w:p>
        </w:tc>
        <w:tc>
          <w:tcPr>
            <w:tcW w:w="0" w:type="dxa"/>
            <w:vAlign w:val="bottom"/>
          </w:tcPr>
          <w:p>
            <w:pPr>
              <w:spacing w:after="0"/>
              <w:rPr>
                <w:sz w:val="1"/>
                <w:szCs w:val="1"/>
                <w:color w:val="auto"/>
              </w:rPr>
            </w:pPr>
          </w:p>
        </w:tc>
      </w:tr>
      <w:tr>
        <w:trPr>
          <w:trHeight w:val="269"/>
        </w:trPr>
        <w:tc>
          <w:tcPr>
            <w:tcW w:w="6740" w:type="dxa"/>
            <w:vAlign w:val="bottom"/>
          </w:tcPr>
          <w:p>
            <w:pPr>
              <w:ind w:left="40"/>
              <w:spacing w:after="0"/>
              <w:rPr>
                <w:sz w:val="20"/>
                <w:szCs w:val="20"/>
                <w:color w:val="auto"/>
              </w:rPr>
            </w:pPr>
            <w:r>
              <w:rPr>
                <w:rFonts w:ascii="Arial" w:cs="Arial" w:eastAsia="Arial" w:hAnsi="Arial"/>
                <w:sz w:val="14"/>
                <w:szCs w:val="14"/>
                <w:color w:val="auto"/>
              </w:rPr>
              <w:t>Other expense</w:t>
            </w:r>
          </w:p>
        </w:tc>
        <w:tc>
          <w:tcPr>
            <w:tcW w:w="36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other (expense) income</w:t>
            </w: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(465)</w:t>
            </w:r>
          </w:p>
        </w:tc>
        <w:tc>
          <w:tcPr>
            <w:tcW w:w="12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387</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(852)</w:t>
            </w:r>
          </w:p>
        </w:tc>
        <w:tc>
          <w:tcPr>
            <w:tcW w:w="0" w:type="dxa"/>
            <w:vAlign w:val="bottom"/>
          </w:tcPr>
          <w:p>
            <w:pPr>
              <w:spacing w:after="0"/>
              <w:rPr>
                <w:sz w:val="1"/>
                <w:szCs w:val="1"/>
                <w:color w:val="auto"/>
              </w:rPr>
            </w:pPr>
          </w:p>
        </w:tc>
      </w:tr>
      <w:tr>
        <w:trPr>
          <w:trHeight w:val="250"/>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(Loss) income before income taxes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(440)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(1,524)</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 for income taxes</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(loss) income attributable to shareholders</w:t>
            </w:r>
          </w:p>
        </w:tc>
        <w:tc>
          <w:tcPr>
            <w:tcW w:w="3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(415)</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1,088</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(1,503)</w:t>
            </w:r>
          </w:p>
        </w:tc>
        <w:tc>
          <w:tcPr>
            <w:tcW w:w="0" w:type="dxa"/>
            <w:vAlign w:val="bottom"/>
          </w:tcPr>
          <w:p>
            <w:pPr>
              <w:spacing w:after="0"/>
              <w:rPr>
                <w:sz w:val="1"/>
                <w:szCs w:val="1"/>
                <w:color w:val="auto"/>
              </w:rPr>
            </w:pPr>
          </w:p>
        </w:tc>
      </w:tr>
      <w:tr>
        <w:trPr>
          <w:trHeight w:val="25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Provision for income taxes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69"/>
        </w:trPr>
        <w:tc>
          <w:tcPr>
            <w:tcW w:w="6740" w:type="dxa"/>
            <w:vAlign w:val="bottom"/>
          </w:tcPr>
          <w:p>
            <w:pPr>
              <w:ind w:left="40"/>
              <w:spacing w:after="0"/>
              <w:rPr>
                <w:sz w:val="20"/>
                <w:szCs w:val="20"/>
                <w:color w:val="auto"/>
              </w:rPr>
            </w:pPr>
            <w:r>
              <w:rPr>
                <w:rFonts w:ascii="Arial" w:cs="Arial" w:eastAsia="Arial" w:hAnsi="Arial"/>
                <w:sz w:val="14"/>
                <w:szCs w:val="14"/>
                <w:color w:val="auto"/>
              </w:rPr>
              <w:t>Add: Equity-based compensation expense</w:t>
            </w:r>
          </w:p>
        </w:tc>
        <w:tc>
          <w:tcPr>
            <w:tcW w:w="36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36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6740" w:type="dxa"/>
            <w:vAlign w:val="bottom"/>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36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36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69"/>
        </w:trPr>
        <w:tc>
          <w:tcPr>
            <w:tcW w:w="6740" w:type="dxa"/>
            <w:vAlign w:val="bottom"/>
          </w:tcPr>
          <w:p>
            <w:pPr>
              <w:ind w:left="40"/>
              <w:spacing w:after="0"/>
              <w:rPr>
                <w:sz w:val="20"/>
                <w:szCs w:val="20"/>
                <w:color w:val="auto"/>
              </w:rPr>
            </w:pPr>
            <w:r>
              <w:rPr>
                <w:rFonts w:ascii="Arial" w:cs="Arial" w:eastAsia="Arial" w:hAnsi="Arial"/>
                <w:sz w:val="14"/>
                <w:szCs w:val="14"/>
                <w:color w:val="auto"/>
              </w:rPr>
              <w:t>Add: Asset impairment charges</w:t>
            </w:r>
          </w:p>
        </w:tc>
        <w:tc>
          <w:tcPr>
            <w:tcW w:w="36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Add: Pro-rata share of Adjusted Net (Loss) Income from unconsolidated entities </w:t>
            </w:r>
            <w:r>
              <w:rPr>
                <w:rFonts w:ascii="Arial" w:cs="Arial" w:eastAsia="Arial" w:hAnsi="Arial"/>
                <w:sz w:val="17"/>
                <w:szCs w:val="17"/>
                <w:color w:val="auto"/>
                <w:vertAlign w:val="superscript"/>
              </w:rPr>
              <w:t>(1)</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(465)</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w:t>
            </w:r>
          </w:p>
        </w:tc>
        <w:tc>
          <w:tcPr>
            <w:tcW w:w="0" w:type="dxa"/>
            <w:vAlign w:val="bottom"/>
          </w:tcPr>
          <w:p>
            <w:pPr>
              <w:spacing w:after="0"/>
              <w:rPr>
                <w:sz w:val="1"/>
                <w:szCs w:val="1"/>
                <w:color w:val="auto"/>
              </w:rPr>
            </w:pPr>
          </w:p>
        </w:tc>
      </w:tr>
      <w:tr>
        <w:trPr>
          <w:trHeight w:val="269"/>
        </w:trPr>
        <w:tc>
          <w:tcPr>
            <w:tcW w:w="674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36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Cash payments for income taxes</w:t>
            </w:r>
          </w:p>
        </w:tc>
        <w:tc>
          <w:tcPr>
            <w:tcW w:w="36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6740" w:type="dxa"/>
            <w:vAlign w:val="bottom"/>
          </w:tcPr>
          <w:p>
            <w:pPr>
              <w:ind w:left="40"/>
              <w:spacing w:after="0"/>
              <w:rPr>
                <w:sz w:val="20"/>
                <w:szCs w:val="20"/>
                <w:color w:val="auto"/>
              </w:rPr>
            </w:pPr>
            <w:r>
              <w:rPr>
                <w:rFonts w:ascii="Arial" w:cs="Arial" w:eastAsia="Arial" w:hAnsi="Arial"/>
                <w:sz w:val="14"/>
                <w:szCs w:val="14"/>
                <w:color w:val="auto"/>
              </w:rPr>
              <w:t>Less: Equity in (losses) earnings of unconsolidated entities</w:t>
            </w:r>
          </w:p>
        </w:tc>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465</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550</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Non-controlling share of Adjusted Net Income</w:t>
            </w:r>
          </w:p>
        </w:tc>
        <w:tc>
          <w:tcPr>
            <w:tcW w:w="36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8"/>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Adjusted Net (Loss) Income</w:t>
            </w:r>
          </w:p>
        </w:tc>
        <w:tc>
          <w:tcPr>
            <w:tcW w:w="36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(440)</w:t>
            </w:r>
          </w:p>
        </w:tc>
        <w:tc>
          <w:tcPr>
            <w:tcW w:w="12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1,087</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(1,527)</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72" w:lineRule="exact"/>
        <w:rPr>
          <w:sz w:val="20"/>
          <w:szCs w:val="20"/>
          <w:color w:val="auto"/>
        </w:rPr>
      </w:pPr>
    </w:p>
    <w:p>
      <w:pPr>
        <w:ind w:left="500" w:hanging="492"/>
        <w:spacing w:after="0" w:line="239" w:lineRule="auto"/>
        <w:tabs>
          <w:tab w:leader="none" w:pos="149" w:val="left"/>
        </w:tabs>
        <w:numPr>
          <w:ilvl w:val="0"/>
          <w:numId w:val="16"/>
        </w:numPr>
        <w:rPr>
          <w:rFonts w:ascii="Arial" w:cs="Arial" w:eastAsia="Arial" w:hAnsi="Arial"/>
          <w:sz w:val="17"/>
          <w:szCs w:val="17"/>
          <w:color w:val="auto"/>
          <w:vertAlign w:val="superscript"/>
        </w:rPr>
      </w:pPr>
      <w:r>
        <w:rPr>
          <w:rFonts w:ascii="Arial" w:cs="Arial" w:eastAsia="Arial" w:hAnsi="Arial"/>
          <w:sz w:val="14"/>
          <w:szCs w:val="14"/>
          <w:color w:val="auto"/>
        </w:rPr>
        <w:t>Pro-rata share of Adjusted Net Income from unconsolidated entities includes Shipping’s proportionate share of the unconsolidated entities’ net income adjusted for the excluded and included items detailed in the table above, for which there were no adjustments.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527" w:right="239" w:bottom="1440" w:gutter="0" w:footer="0" w:header="0"/>
        </w:sectPr>
      </w:pPr>
    </w:p>
    <w:bookmarkStart w:id="50" w:name="page51"/>
    <w:bookmarkEnd w:id="50"/>
    <w:p>
      <w:pPr>
        <w:ind w:right="80"/>
        <w:spacing w:after="0" w:line="327" w:lineRule="auto"/>
        <w:rPr>
          <w:sz w:val="20"/>
          <w:szCs w:val="20"/>
          <w:color w:val="auto"/>
        </w:rPr>
      </w:pPr>
      <w:r>
        <w:rPr>
          <w:rFonts w:ascii="Arial" w:cs="Arial" w:eastAsia="Arial" w:hAnsi="Arial"/>
          <w:sz w:val="16"/>
          <w:szCs w:val="16"/>
          <w:color w:val="auto"/>
        </w:rPr>
        <w:t>The following table sets forth a reconciliation of net (loss) income attributable to shareholders to Adjusted EBITDA for the Shipping Containers segment for the three months ended March 31, 2017 and March 31, 2016:</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60" w:type="dxa"/>
            <w:vAlign w:val="bottom"/>
            <w:gridSpan w:val="5"/>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64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March 31,</w:t>
            </w:r>
          </w:p>
        </w:tc>
        <w:tc>
          <w:tcPr>
            <w:tcW w:w="1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ind w:right="44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60"/>
        </w:trPr>
        <w:tc>
          <w:tcPr>
            <w:tcW w:w="640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Net (loss) income attributable to shareholders</w:t>
            </w:r>
          </w:p>
        </w:tc>
        <w:tc>
          <w:tcPr>
            <w:tcW w:w="38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(415)</w:t>
            </w:r>
          </w:p>
        </w:tc>
        <w:tc>
          <w:tcPr>
            <w:tcW w:w="120" w:type="dxa"/>
            <w:vAlign w:val="bottom"/>
          </w:tcPr>
          <w:p>
            <w:pPr>
              <w:spacing w:after="0"/>
              <w:rPr>
                <w:sz w:val="22"/>
                <w:szCs w:val="22"/>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1,088</w:t>
            </w:r>
          </w:p>
        </w:tc>
        <w:tc>
          <w:tcPr>
            <w:tcW w:w="10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(1,503)</w:t>
            </w:r>
          </w:p>
        </w:tc>
        <w:tc>
          <w:tcPr>
            <w:tcW w:w="0" w:type="dxa"/>
            <w:vAlign w:val="bottom"/>
          </w:tcPr>
          <w:p>
            <w:pPr>
              <w:spacing w:after="0"/>
              <w:rPr>
                <w:sz w:val="1"/>
                <w:szCs w:val="1"/>
                <w:color w:val="auto"/>
              </w:rPr>
            </w:pPr>
          </w:p>
        </w:tc>
      </w:tr>
      <w:tr>
        <w:trPr>
          <w:trHeight w:val="27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Provision for income taxes</w:t>
            </w: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(25)</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69"/>
        </w:trPr>
        <w:tc>
          <w:tcPr>
            <w:tcW w:w="6400" w:type="dxa"/>
            <w:vAlign w:val="bottom"/>
          </w:tcPr>
          <w:p>
            <w:pPr>
              <w:ind w:left="40"/>
              <w:spacing w:after="0"/>
              <w:rPr>
                <w:sz w:val="20"/>
                <w:szCs w:val="20"/>
                <w:color w:val="auto"/>
              </w:rPr>
            </w:pPr>
            <w:r>
              <w:rPr>
                <w:rFonts w:ascii="Arial" w:cs="Arial" w:eastAsia="Arial" w:hAnsi="Arial"/>
                <w:sz w:val="14"/>
                <w:szCs w:val="14"/>
                <w:color w:val="auto"/>
              </w:rPr>
              <w:t>Add: Equity-based compensation expense</w:t>
            </w:r>
          </w:p>
        </w:tc>
        <w:tc>
          <w:tcPr>
            <w:tcW w:w="380" w:type="dxa"/>
            <w:vAlign w:val="bottom"/>
          </w:tcPr>
          <w:p>
            <w:pPr>
              <w:spacing w:after="0"/>
              <w:rPr>
                <w:sz w:val="23"/>
                <w:szCs w:val="23"/>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38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6400" w:type="dxa"/>
            <w:vAlign w:val="bottom"/>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380" w:type="dxa"/>
            <w:vAlign w:val="bottom"/>
          </w:tcPr>
          <w:p>
            <w:pPr>
              <w:spacing w:after="0"/>
              <w:rPr>
                <w:sz w:val="23"/>
                <w:szCs w:val="23"/>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38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69"/>
        </w:trPr>
        <w:tc>
          <w:tcPr>
            <w:tcW w:w="6400" w:type="dxa"/>
            <w:vAlign w:val="bottom"/>
          </w:tcPr>
          <w:p>
            <w:pPr>
              <w:ind w:left="40"/>
              <w:spacing w:after="0"/>
              <w:rPr>
                <w:sz w:val="20"/>
                <w:szCs w:val="20"/>
                <w:color w:val="auto"/>
              </w:rPr>
            </w:pPr>
            <w:r>
              <w:rPr>
                <w:rFonts w:ascii="Arial" w:cs="Arial" w:eastAsia="Arial" w:hAnsi="Arial"/>
                <w:sz w:val="14"/>
                <w:szCs w:val="14"/>
                <w:color w:val="auto"/>
              </w:rPr>
              <w:t>Add: Asset impairment charges</w:t>
            </w:r>
          </w:p>
        </w:tc>
        <w:tc>
          <w:tcPr>
            <w:tcW w:w="380" w:type="dxa"/>
            <w:vAlign w:val="bottom"/>
          </w:tcPr>
          <w:p>
            <w:pPr>
              <w:spacing w:after="0"/>
              <w:rPr>
                <w:sz w:val="23"/>
                <w:szCs w:val="23"/>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Incentive allocations</w:t>
            </w:r>
          </w:p>
        </w:tc>
        <w:tc>
          <w:tcPr>
            <w:tcW w:w="38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6400" w:type="dxa"/>
            <w:vAlign w:val="bottom"/>
          </w:tcPr>
          <w:p>
            <w:pPr>
              <w:ind w:left="40"/>
              <w:spacing w:after="0"/>
              <w:rPr>
                <w:sz w:val="20"/>
                <w:szCs w:val="20"/>
                <w:color w:val="auto"/>
              </w:rPr>
            </w:pPr>
            <w:r>
              <w:rPr>
                <w:rFonts w:ascii="Arial" w:cs="Arial" w:eastAsia="Arial" w:hAnsi="Arial"/>
                <w:sz w:val="14"/>
                <w:szCs w:val="14"/>
                <w:color w:val="auto"/>
              </w:rPr>
              <w:t>Add: Depreciation and amortization expense</w:t>
            </w:r>
          </w:p>
        </w:tc>
        <w:tc>
          <w:tcPr>
            <w:tcW w:w="380" w:type="dxa"/>
            <w:vAlign w:val="bottom"/>
          </w:tcPr>
          <w:p>
            <w:pPr>
              <w:spacing w:after="0"/>
              <w:rPr>
                <w:sz w:val="23"/>
                <w:szCs w:val="23"/>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Interest expense</w:t>
            </w:r>
          </w:p>
        </w:tc>
        <w:tc>
          <w:tcPr>
            <w:tcW w:w="38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w:t>
            </w:r>
          </w:p>
        </w:tc>
        <w:tc>
          <w:tcPr>
            <w:tcW w:w="0" w:type="dxa"/>
            <w:vAlign w:val="bottom"/>
          </w:tcPr>
          <w:p>
            <w:pPr>
              <w:spacing w:after="0"/>
              <w:rPr>
                <w:sz w:val="1"/>
                <w:szCs w:val="1"/>
                <w:color w:val="auto"/>
              </w:rPr>
            </w:pPr>
          </w:p>
        </w:tc>
      </w:tr>
      <w:tr>
        <w:trPr>
          <w:trHeight w:val="270"/>
        </w:trPr>
        <w:tc>
          <w:tcPr>
            <w:tcW w:w="6400" w:type="dxa"/>
            <w:vAlign w:val="bottom"/>
          </w:tcPr>
          <w:p>
            <w:pPr>
              <w:ind w:left="40"/>
              <w:spacing w:after="0"/>
              <w:rPr>
                <w:sz w:val="20"/>
                <w:szCs w:val="20"/>
                <w:color w:val="auto"/>
              </w:rPr>
            </w:pPr>
            <w:r>
              <w:rPr>
                <w:rFonts w:ascii="Arial" w:cs="Arial" w:eastAsia="Arial" w:hAnsi="Arial"/>
                <w:sz w:val="14"/>
                <w:szCs w:val="14"/>
                <w:color w:val="auto"/>
              </w:rPr>
              <w:t xml:space="preserve">Add: Pro-rata share of Adjusted EBITDA from unconsolidated entities </w:t>
            </w:r>
            <w:r>
              <w:rPr>
                <w:rFonts w:ascii="Arial" w:cs="Arial" w:eastAsia="Arial" w:hAnsi="Arial"/>
                <w:sz w:val="17"/>
                <w:szCs w:val="17"/>
                <w:color w:val="auto"/>
                <w:vertAlign w:val="superscript"/>
              </w:rPr>
              <w:t>(2)</w:t>
            </w:r>
          </w:p>
        </w:tc>
        <w:tc>
          <w:tcPr>
            <w:tcW w:w="380" w:type="dxa"/>
            <w:vAlign w:val="bottom"/>
          </w:tcPr>
          <w:p>
            <w:pPr>
              <w:spacing w:after="0"/>
              <w:rPr>
                <w:sz w:val="23"/>
                <w:szCs w:val="23"/>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b w:val="1"/>
                <w:bCs w:val="1"/>
                <w:color w:val="auto"/>
              </w:rPr>
              <w:t>121</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1,372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(1,251)</w:t>
            </w:r>
          </w:p>
        </w:tc>
        <w:tc>
          <w:tcPr>
            <w:tcW w:w="0" w:type="dxa"/>
            <w:vAlign w:val="bottom"/>
          </w:tcPr>
          <w:p>
            <w:pPr>
              <w:spacing w:after="0"/>
              <w:rPr>
                <w:sz w:val="1"/>
                <w:szCs w:val="1"/>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465</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550</w:t>
            </w:r>
          </w:p>
        </w:tc>
        <w:tc>
          <w:tcPr>
            <w:tcW w:w="0" w:type="dxa"/>
            <w:vAlign w:val="bottom"/>
          </w:tcPr>
          <w:p>
            <w:pPr>
              <w:spacing w:after="0"/>
              <w:rPr>
                <w:sz w:val="1"/>
                <w:szCs w:val="1"/>
                <w:color w:val="auto"/>
              </w:rPr>
            </w:pPr>
          </w:p>
        </w:tc>
      </w:tr>
      <w:tr>
        <w:trPr>
          <w:trHeight w:val="269"/>
        </w:trPr>
        <w:tc>
          <w:tcPr>
            <w:tcW w:w="6400" w:type="dxa"/>
            <w:vAlign w:val="bottom"/>
          </w:tcPr>
          <w:p>
            <w:pPr>
              <w:ind w:left="40"/>
              <w:spacing w:after="0"/>
              <w:rPr>
                <w:sz w:val="20"/>
                <w:szCs w:val="20"/>
                <w:color w:val="auto"/>
              </w:rPr>
            </w:pPr>
            <w:r>
              <w:rPr>
                <w:rFonts w:ascii="Arial" w:cs="Arial" w:eastAsia="Arial" w:hAnsi="Arial"/>
                <w:sz w:val="14"/>
                <w:szCs w:val="14"/>
                <w:color w:val="auto"/>
              </w:rPr>
              <w:t>Less: Non-controlling share of Adjusted EBITDA</w:t>
            </w:r>
          </w:p>
        </w:tc>
        <w:tc>
          <w:tcPr>
            <w:tcW w:w="380" w:type="dxa"/>
            <w:vAlign w:val="bottom"/>
          </w:tcPr>
          <w:p>
            <w:pPr>
              <w:spacing w:after="0"/>
              <w:rPr>
                <w:sz w:val="23"/>
                <w:szCs w:val="23"/>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8"/>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Adjusted EBITDA (non-GAAP)</w:t>
            </w:r>
          </w:p>
        </w:tc>
        <w:tc>
          <w:tcPr>
            <w:tcW w:w="38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146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(2,638)</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6"/>
                <w:szCs w:val="16"/>
                <w:color w:val="auto"/>
              </w:rPr>
              <w:t>_______________________________________________________</w:t>
            </w: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4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500" w:hanging="492"/>
        <w:spacing w:after="0" w:line="232" w:lineRule="auto"/>
        <w:tabs>
          <w:tab w:leader="none" w:pos="166"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The Company’s pro-rata share of Adjusted EBITDA from unconsolidated entities includes the following items for the three months ended March 31, 2017 and 2016: (i) net (loss) income of $(508) and $53, (ii) interest expense of $251 and $404, and (iii) depreciation and amortization expense of $378 and $915,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Total revenues in the Shipping Containers segment decreased by $1,112 in the three months ended March 31, 2017 as compared to the three months ended March 31, 2016. The decrease is primarily driven by the sale of 42,000 shipping containers that were subject to direct finance leases during the first quarter of 2016.</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Total expenses in the Shipping Containers segment decreased by $440 in the three months ended March 31, 2017 as compared to the three months ended March 31, 2016. This was driven by a decrease in interest expense of $410, due to lower principal balances on the term loans, along with the termination of the term loan in conjunction with the sale of the shipping containers during the first quarter of 2016. Additionally, the sale of the 42,000 shipping containers resulted in a decrease in operating expense of $30 in the three months ended March 31, 2017.</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(Expense) Income</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Total other expense in the Shipping Containers segment increased $852 in the three months ended March 31, 2017 as compared to the three months ended March 31, 2016. This was primarily driven by lower equity in earnings of unconsolidated entities from our shipping container joint venture of $550 in the three months ended March 31, 2017, as compared to the three months ended March 31, 2016. The change in other expenses was also impacted by a gain on sale of direct finance leases of $304 from the sale of 42,000 shipping containers during the first quarter of 2016.</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Net (Loss) Income</w:t>
      </w:r>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Adjusted Net Income decreased by $1,527 in the three months ended March 31, 2017 as compared to the three months ended March 31, 2016, primarily due to decrease in finance lease income driven by the sale of 42,000 shipping containers during the first quarter of 2016 and lower pro-rata share of Adjusted Net Loss.</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Adjusted EBITDA was $146 in the three months ended March 31, 2017, decreasing by $2,638 as compared to the three months ended March 31, 2016, due to the decrease in finance lease income driven by the sale of 42,000 shipping containers during the first quarter of 2016 and lower pro-rata share of Adjusted EBITDA from unconsolidated entities.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540" w:right="239" w:bottom="1440" w:gutter="0" w:footer="0" w:header="0"/>
        </w:sectPr>
      </w:pPr>
    </w:p>
    <w:bookmarkStart w:id="51" w:name="page52"/>
    <w:bookmarkEnd w:id="51"/>
    <w:p>
      <w:pPr>
        <w:spacing w:after="0"/>
        <w:rPr>
          <w:sz w:val="20"/>
          <w:szCs w:val="20"/>
          <w:color w:val="auto"/>
        </w:rPr>
      </w:pPr>
      <w:r>
        <w:rPr>
          <w:rFonts w:ascii="Arial" w:cs="Arial" w:eastAsia="Arial" w:hAnsi="Arial"/>
          <w:sz w:val="16"/>
          <w:szCs w:val="16"/>
          <w:b w:val="1"/>
          <w:bCs w:val="1"/>
          <w:color w:val="00497F"/>
        </w:rPr>
        <w:t>Jefferson Terminal Segment</w:t>
      </w:r>
    </w:p>
    <w:p>
      <w:pPr>
        <w:spacing w:after="0" w:line="16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following table presents our results of operations and reconciliation of net loss attributable to shareholders to Adjusted Net Loss for the Jefferson Terminal segment for the three months ended March 31, 2017 and March 31, 2016:</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6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March 31,</w:t>
            </w: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ind w:right="3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6"/>
        </w:trPr>
        <w:tc>
          <w:tcPr>
            <w:tcW w:w="674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360" w:type="dxa"/>
            <w:vAlign w:val="bottom"/>
          </w:tcPr>
          <w:p>
            <w:pPr>
              <w:spacing w:after="0"/>
              <w:rPr>
                <w:sz w:val="20"/>
                <w:szCs w:val="20"/>
                <w:color w:val="auto"/>
              </w:rPr>
            </w:pPr>
          </w:p>
        </w:tc>
        <w:tc>
          <w:tcPr>
            <w:tcW w:w="1140" w:type="dxa"/>
            <w:vAlign w:val="bottom"/>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jc w:val="right"/>
              <w:ind w:right="508"/>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6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Revenues</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740" w:type="dxa"/>
            <w:vAlign w:val="bottom"/>
            <w:vMerge w:val="continue"/>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Infrastructure revenues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Terminal services revenues</w:t>
            </w:r>
          </w:p>
        </w:tc>
        <w:tc>
          <w:tcPr>
            <w:tcW w:w="3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4,866</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3,879</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987</w:t>
            </w:r>
          </w:p>
        </w:tc>
        <w:tc>
          <w:tcPr>
            <w:tcW w:w="0" w:type="dxa"/>
            <w:vAlign w:val="bottom"/>
          </w:tcPr>
          <w:p>
            <w:pPr>
              <w:spacing w:after="0"/>
              <w:rPr>
                <w:sz w:val="1"/>
                <w:szCs w:val="1"/>
                <w:color w:val="auto"/>
              </w:rPr>
            </w:pPr>
          </w:p>
        </w:tc>
      </w:tr>
      <w:tr>
        <w:trPr>
          <w:trHeight w:val="25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revenues</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4,866</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3,879</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987</w:t>
            </w:r>
          </w:p>
        </w:tc>
        <w:tc>
          <w:tcPr>
            <w:tcW w:w="0" w:type="dxa"/>
            <w:vAlign w:val="bottom"/>
          </w:tcPr>
          <w:p>
            <w:pPr>
              <w:spacing w:after="0"/>
              <w:rPr>
                <w:sz w:val="1"/>
                <w:szCs w:val="1"/>
                <w:color w:val="auto"/>
              </w:rPr>
            </w:pPr>
          </w:p>
        </w:tc>
      </w:tr>
      <w:tr>
        <w:trPr>
          <w:trHeight w:val="292"/>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Expenses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674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7,613</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2,688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4,925</w:t>
            </w:r>
          </w:p>
        </w:tc>
        <w:tc>
          <w:tcPr>
            <w:tcW w:w="0" w:type="dxa"/>
            <w:vAlign w:val="bottom"/>
          </w:tcPr>
          <w:p>
            <w:pPr>
              <w:spacing w:after="0"/>
              <w:rPr>
                <w:sz w:val="1"/>
                <w:szCs w:val="1"/>
                <w:color w:val="auto"/>
              </w:rPr>
            </w:pP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3,951</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3,676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expense</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1,437</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3,804</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(2,367)</w:t>
            </w:r>
          </w:p>
        </w:tc>
        <w:tc>
          <w:tcPr>
            <w:tcW w:w="0" w:type="dxa"/>
            <w:vAlign w:val="bottom"/>
          </w:tcPr>
          <w:p>
            <w:pPr>
              <w:spacing w:after="0"/>
              <w:rPr>
                <w:sz w:val="1"/>
                <w:szCs w:val="1"/>
                <w:color w:val="auto"/>
              </w:rPr>
            </w:pPr>
          </w:p>
        </w:tc>
      </w:tr>
      <w:tr>
        <w:trPr>
          <w:trHeight w:val="25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expenses</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13,001</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10,168</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2,833</w:t>
            </w:r>
          </w:p>
        </w:tc>
        <w:tc>
          <w:tcPr>
            <w:tcW w:w="0" w:type="dxa"/>
            <w:vAlign w:val="bottom"/>
          </w:tcPr>
          <w:p>
            <w:pPr>
              <w:spacing w:after="0"/>
              <w:rPr>
                <w:sz w:val="1"/>
                <w:szCs w:val="1"/>
                <w:color w:val="auto"/>
              </w:rPr>
            </w:pPr>
          </w:p>
        </w:tc>
      </w:tr>
      <w:tr>
        <w:trPr>
          <w:trHeight w:val="292"/>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6740" w:type="dxa"/>
            <w:vAlign w:val="bottom"/>
          </w:tcPr>
          <w:p>
            <w:pPr>
              <w:ind w:left="40"/>
              <w:spacing w:after="0"/>
              <w:rPr>
                <w:sz w:val="20"/>
                <w:szCs w:val="20"/>
                <w:color w:val="auto"/>
              </w:rPr>
            </w:pPr>
            <w:r>
              <w:rPr>
                <w:rFonts w:ascii="Arial" w:cs="Arial" w:eastAsia="Arial" w:hAnsi="Arial"/>
                <w:sz w:val="14"/>
                <w:szCs w:val="14"/>
                <w:color w:val="auto"/>
              </w:rPr>
              <w:t>Equity in losses of unconsolidated entities</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(65)</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on extinguishment of debt</w:t>
            </w:r>
          </w:p>
        </w:tc>
        <w:tc>
          <w:tcPr>
            <w:tcW w:w="36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1,579</w:t>
            </w:r>
          </w:p>
        </w:tc>
        <w:tc>
          <w:tcPr>
            <w:tcW w:w="0" w:type="dxa"/>
            <w:vAlign w:val="bottom"/>
          </w:tcPr>
          <w:p>
            <w:pPr>
              <w:spacing w:after="0"/>
              <w:rPr>
                <w:sz w:val="1"/>
                <w:szCs w:val="1"/>
                <w:color w:val="auto"/>
              </w:rPr>
            </w:pPr>
          </w:p>
        </w:tc>
      </w:tr>
      <w:tr>
        <w:trPr>
          <w:trHeight w:val="269"/>
        </w:trPr>
        <w:tc>
          <w:tcPr>
            <w:tcW w:w="6740" w:type="dxa"/>
            <w:vAlign w:val="bottom"/>
          </w:tcPr>
          <w:p>
            <w:pPr>
              <w:ind w:left="40"/>
              <w:spacing w:after="0"/>
              <w:rPr>
                <w:sz w:val="20"/>
                <w:szCs w:val="20"/>
                <w:color w:val="auto"/>
              </w:rPr>
            </w:pPr>
            <w:r>
              <w:rPr>
                <w:rFonts w:ascii="Arial" w:cs="Arial" w:eastAsia="Arial" w:hAnsi="Arial"/>
                <w:sz w:val="14"/>
                <w:szCs w:val="14"/>
                <w:color w:val="auto"/>
              </w:rPr>
              <w:t>Interest (expense) income</w:t>
            </w:r>
          </w:p>
        </w:tc>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197</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income</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other income (expense)</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144</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(1,531)</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1,675</w:t>
            </w:r>
          </w:p>
        </w:tc>
        <w:tc>
          <w:tcPr>
            <w:tcW w:w="0" w:type="dxa"/>
            <w:vAlign w:val="bottom"/>
          </w:tcPr>
          <w:p>
            <w:pPr>
              <w:spacing w:after="0"/>
              <w:rPr>
                <w:sz w:val="1"/>
                <w:szCs w:val="1"/>
                <w:color w:val="auto"/>
              </w:rPr>
            </w:pPr>
          </w:p>
        </w:tc>
      </w:tr>
      <w:tr>
        <w:trPr>
          <w:trHeight w:val="25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Loss before income taxes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(7,991)</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(7,820)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Provision for income taxes</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39</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5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loss</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(8,030)</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(7,855)</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Net loss attributable to non-controlling interest in consolidated subsidiaries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(4,358)</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(3,156)</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(1,202)</w:t>
            </w:r>
          </w:p>
        </w:tc>
        <w:tc>
          <w:tcPr>
            <w:tcW w:w="0" w:type="dxa"/>
            <w:vAlign w:val="bottom"/>
          </w:tcPr>
          <w:p>
            <w:pPr>
              <w:spacing w:after="0"/>
              <w:rPr>
                <w:sz w:val="1"/>
                <w:szCs w:val="1"/>
                <w:color w:val="auto"/>
              </w:rPr>
            </w:pPr>
          </w:p>
        </w:tc>
      </w:tr>
      <w:tr>
        <w:trPr>
          <w:trHeight w:val="25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36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(3,672)</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(4,699)</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1,027</w:t>
            </w:r>
          </w:p>
        </w:tc>
        <w:tc>
          <w:tcPr>
            <w:tcW w:w="0" w:type="dxa"/>
            <w:vAlign w:val="bottom"/>
          </w:tcPr>
          <w:p>
            <w:pPr>
              <w:spacing w:after="0"/>
              <w:rPr>
                <w:sz w:val="1"/>
                <w:szCs w:val="1"/>
                <w:color w:val="auto"/>
              </w:rPr>
            </w:pPr>
          </w:p>
        </w:tc>
      </w:tr>
      <w:tr>
        <w:trPr>
          <w:trHeight w:val="250"/>
        </w:trPr>
        <w:tc>
          <w:tcPr>
            <w:tcW w:w="6740" w:type="dxa"/>
            <w:vAlign w:val="bottom"/>
          </w:tcPr>
          <w:p>
            <w:pPr>
              <w:ind w:left="40"/>
              <w:spacing w:after="0"/>
              <w:rPr>
                <w:sz w:val="20"/>
                <w:szCs w:val="20"/>
                <w:color w:val="auto"/>
              </w:rPr>
            </w:pPr>
            <w:r>
              <w:rPr>
                <w:rFonts w:ascii="Arial" w:cs="Arial" w:eastAsia="Arial" w:hAnsi="Arial"/>
                <w:sz w:val="14"/>
                <w:szCs w:val="14"/>
                <w:color w:val="auto"/>
              </w:rPr>
              <w:t>Add: Provision for income taxes</w:t>
            </w:r>
          </w:p>
        </w:tc>
        <w:tc>
          <w:tcPr>
            <w:tcW w:w="36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39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59</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4,227</w:t>
            </w:r>
          </w:p>
        </w:tc>
        <w:tc>
          <w:tcPr>
            <w:tcW w:w="0" w:type="dxa"/>
            <w:vAlign w:val="bottom"/>
          </w:tcPr>
          <w:p>
            <w:pPr>
              <w:spacing w:after="0"/>
              <w:rPr>
                <w:sz w:val="1"/>
                <w:szCs w:val="1"/>
                <w:color w:val="auto"/>
              </w:rPr>
            </w:pPr>
          </w:p>
        </w:tc>
      </w:tr>
      <w:tr>
        <w:trPr>
          <w:trHeight w:val="269"/>
        </w:trPr>
        <w:tc>
          <w:tcPr>
            <w:tcW w:w="674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36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36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1,579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(1,579)</w:t>
            </w:r>
          </w:p>
        </w:tc>
        <w:tc>
          <w:tcPr>
            <w:tcW w:w="0" w:type="dxa"/>
            <w:vAlign w:val="bottom"/>
          </w:tcPr>
          <w:p>
            <w:pPr>
              <w:spacing w:after="0"/>
              <w:rPr>
                <w:sz w:val="1"/>
                <w:szCs w:val="1"/>
                <w:color w:val="auto"/>
              </w:rPr>
            </w:pPr>
          </w:p>
        </w:tc>
      </w:tr>
      <w:tr>
        <w:trPr>
          <w:trHeight w:val="269"/>
        </w:trPr>
        <w:tc>
          <w:tcPr>
            <w:tcW w:w="674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36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36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6740" w:type="dxa"/>
            <w:vAlign w:val="bottom"/>
          </w:tcPr>
          <w:p>
            <w:pPr>
              <w:ind w:left="40"/>
              <w:spacing w:after="0"/>
              <w:rPr>
                <w:sz w:val="20"/>
                <w:szCs w:val="20"/>
                <w:color w:val="auto"/>
              </w:rPr>
            </w:pPr>
            <w:r>
              <w:rPr>
                <w:rFonts w:ascii="Arial" w:cs="Arial" w:eastAsia="Arial" w:hAnsi="Arial"/>
                <w:sz w:val="14"/>
                <w:szCs w:val="14"/>
                <w:color w:val="auto"/>
              </w:rPr>
              <w:t>Add: Pro-rata share of Adjusted Net Loss from unconsolidated entities</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(65)</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Incentive allocations</w:t>
            </w:r>
          </w:p>
        </w:tc>
        <w:tc>
          <w:tcPr>
            <w:tcW w:w="36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6740" w:type="dxa"/>
            <w:vAlign w:val="bottom"/>
          </w:tcPr>
          <w:p>
            <w:pPr>
              <w:ind w:left="40"/>
              <w:spacing w:after="0"/>
              <w:rPr>
                <w:sz w:val="20"/>
                <w:szCs w:val="20"/>
                <w:color w:val="auto"/>
              </w:rPr>
            </w:pPr>
            <w:r>
              <w:rPr>
                <w:rFonts w:ascii="Arial" w:cs="Arial" w:eastAsia="Arial" w:hAnsi="Arial"/>
                <w:sz w:val="14"/>
                <w:szCs w:val="14"/>
                <w:color w:val="auto"/>
              </w:rPr>
              <w:t>Less: Cash payments for income taxes</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1"/>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Equity in losses of unconsolidated entities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65</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70"/>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Non-controlling share of Adjusted Net Loss</w:t>
            </w:r>
            <w:r>
              <w:rPr>
                <w:rFonts w:ascii="Arial" w:cs="Arial" w:eastAsia="Arial" w:hAnsi="Arial"/>
                <w:sz w:val="17"/>
                <w:szCs w:val="17"/>
                <w:color w:val="auto"/>
                <w:vertAlign w:val="superscript"/>
              </w:rPr>
              <w:t>(1)</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997</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(1,034)</w:t>
            </w:r>
          </w:p>
        </w:tc>
        <w:tc>
          <w:tcPr>
            <w:tcW w:w="0" w:type="dxa"/>
            <w:vAlign w:val="bottom"/>
          </w:tcPr>
          <w:p>
            <w:pPr>
              <w:spacing w:after="0"/>
              <w:rPr>
                <w:sz w:val="1"/>
                <w:szCs w:val="1"/>
                <w:color w:val="auto"/>
              </w:rPr>
            </w:pPr>
          </w:p>
        </w:tc>
      </w:tr>
      <w:tr>
        <w:trPr>
          <w:trHeight w:val="25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Adjusted Net Loss</w:t>
            </w:r>
          </w:p>
        </w:tc>
        <w:tc>
          <w:tcPr>
            <w:tcW w:w="36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(3,614)</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(6,257)</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2,643</w:t>
            </w:r>
          </w:p>
        </w:tc>
        <w:tc>
          <w:tcPr>
            <w:tcW w:w="0" w:type="dxa"/>
            <w:vAlign w:val="bottom"/>
          </w:tcPr>
          <w:p>
            <w:pPr>
              <w:spacing w:after="0"/>
              <w:rPr>
                <w:sz w:val="1"/>
                <w:szCs w:val="1"/>
                <w:color w:val="auto"/>
              </w:rPr>
            </w:pPr>
          </w:p>
        </w:tc>
      </w:tr>
      <w:tr>
        <w:trPr>
          <w:trHeight w:val="208"/>
        </w:trPr>
        <w:tc>
          <w:tcPr>
            <w:tcW w:w="6740" w:type="dxa"/>
            <w:vAlign w:val="bottom"/>
          </w:tcPr>
          <w:p>
            <w:pPr>
              <w:spacing w:after="0"/>
              <w:rPr>
                <w:sz w:val="20"/>
                <w:szCs w:val="20"/>
                <w:color w:val="auto"/>
              </w:rPr>
            </w:pPr>
            <w:r>
              <w:rPr>
                <w:rFonts w:ascii="Arial" w:cs="Arial" w:eastAsia="Arial" w:hAnsi="Arial"/>
                <w:sz w:val="16"/>
                <w:szCs w:val="16"/>
                <w:color w:val="auto"/>
              </w:rPr>
              <w:t>______________________________________________________</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500" w:right="20" w:hanging="492"/>
        <w:spacing w:after="0" w:line="239" w:lineRule="auto"/>
        <w:tabs>
          <w:tab w:leader="none" w:pos="149" w:val="left"/>
        </w:tabs>
        <w:numPr>
          <w:ilvl w:val="0"/>
          <w:numId w:val="18"/>
        </w:numPr>
        <w:rPr>
          <w:rFonts w:ascii="Arial" w:cs="Arial" w:eastAsia="Arial" w:hAnsi="Arial"/>
          <w:sz w:val="17"/>
          <w:szCs w:val="17"/>
          <w:color w:val="auto"/>
          <w:vertAlign w:val="superscript"/>
        </w:rPr>
      </w:pPr>
      <w:r>
        <w:rPr>
          <w:rFonts w:ascii="Arial" w:cs="Arial" w:eastAsia="Arial" w:hAnsi="Arial"/>
          <w:sz w:val="14"/>
          <w:szCs w:val="14"/>
          <w:color w:val="auto"/>
        </w:rPr>
        <w:t>Pro-rata share of Adjusted Net Loss from unconsolidated entities includes Jefferson’s proportionate share of the unconsolidated entities’ net income adjusted for the excluded and included items detailed in the table above, for which there were no adjustments.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579" w:right="239" w:bottom="1440" w:gutter="0" w:footer="0" w:header="0"/>
        </w:sectPr>
      </w:pPr>
    </w:p>
    <w:bookmarkStart w:id="52" w:name="page53"/>
    <w:bookmarkEnd w:id="52"/>
    <w:p>
      <w:pPr>
        <w:spacing w:after="0" w:line="291" w:lineRule="auto"/>
        <w:rPr>
          <w:sz w:val="20"/>
          <w:szCs w:val="20"/>
          <w:color w:val="auto"/>
        </w:rPr>
      </w:pPr>
      <w:r>
        <w:rPr>
          <w:rFonts w:ascii="Arial" w:cs="Arial" w:eastAsia="Arial" w:hAnsi="Arial"/>
          <w:sz w:val="16"/>
          <w:szCs w:val="16"/>
          <w:color w:val="auto"/>
        </w:rPr>
        <w:t>The following table sets forth a reconciliation of net loss attributable to shareholders to Adjusted EBITDA for the Jefferson Terminal segment for the three months ended March 31, 2017 and March 31, 2016:</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60" w:type="dxa"/>
            <w:vAlign w:val="bottom"/>
            <w:gridSpan w:val="5"/>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04"/>
        </w:trPr>
        <w:tc>
          <w:tcPr>
            <w:tcW w:w="64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March 31,</w:t>
            </w:r>
          </w:p>
        </w:tc>
        <w:tc>
          <w:tcPr>
            <w:tcW w:w="1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ind w:right="448"/>
              <w:spacing w:after="0"/>
              <w:rPr>
                <w:sz w:val="20"/>
                <w:szCs w:val="20"/>
                <w:color w:val="auto"/>
              </w:rPr>
            </w:pPr>
            <w:r>
              <w:rPr>
                <w:rFonts w:ascii="Arial" w:cs="Arial" w:eastAsia="Arial" w:hAnsi="Arial"/>
                <w:sz w:val="14"/>
                <w:szCs w:val="14"/>
                <w:b w:val="1"/>
                <w:bCs w:val="1"/>
                <w:color w:val="auto"/>
              </w:rPr>
              <w:t>Change</w:t>
            </w:r>
          </w:p>
        </w:tc>
      </w:tr>
      <w:tr>
        <w:trPr>
          <w:trHeight w:val="260"/>
        </w:trPr>
        <w:tc>
          <w:tcPr>
            <w:tcW w:w="640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r>
      <w:tr>
        <w:trPr>
          <w:trHeight w:val="253"/>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38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(3,672)</w:t>
            </w:r>
          </w:p>
        </w:tc>
        <w:tc>
          <w:tcPr>
            <w:tcW w:w="120" w:type="dxa"/>
            <w:vAlign w:val="bottom"/>
          </w:tcPr>
          <w:p>
            <w:pPr>
              <w:spacing w:after="0"/>
              <w:rPr>
                <w:sz w:val="22"/>
                <w:szCs w:val="22"/>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(4,699)</w:t>
            </w:r>
          </w:p>
        </w:tc>
        <w:tc>
          <w:tcPr>
            <w:tcW w:w="10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1,027</w:t>
            </w:r>
          </w:p>
        </w:tc>
      </w:tr>
      <w:tr>
        <w:trPr>
          <w:trHeight w:val="27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Provision for income taxes</w:t>
            </w: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39</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r>
      <w:tr>
        <w:trPr>
          <w:trHeight w:val="269"/>
        </w:trPr>
        <w:tc>
          <w:tcPr>
            <w:tcW w:w="6400" w:type="dxa"/>
            <w:vAlign w:val="bottom"/>
          </w:tcPr>
          <w:p>
            <w:pPr>
              <w:ind w:left="40"/>
              <w:spacing w:after="0"/>
              <w:rPr>
                <w:sz w:val="20"/>
                <w:szCs w:val="20"/>
                <w:color w:val="auto"/>
              </w:rPr>
            </w:pPr>
            <w:r>
              <w:rPr>
                <w:rFonts w:ascii="Arial" w:cs="Arial" w:eastAsia="Arial" w:hAnsi="Arial"/>
                <w:sz w:val="14"/>
                <w:szCs w:val="14"/>
                <w:color w:val="auto"/>
              </w:rPr>
              <w:t>Add: Equity-based compensation expense</w:t>
            </w:r>
          </w:p>
        </w:tc>
        <w:tc>
          <w:tcPr>
            <w:tcW w:w="380" w:type="dxa"/>
            <w:vAlign w:val="bottom"/>
          </w:tcPr>
          <w:p>
            <w:pPr>
              <w:spacing w:after="0"/>
              <w:rPr>
                <w:sz w:val="23"/>
                <w:szCs w:val="23"/>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b w:val="1"/>
                <w:bCs w:val="1"/>
                <w:color w:val="auto"/>
              </w:rPr>
              <w:t>59</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(4,168)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4,227</w:t>
            </w:r>
          </w:p>
        </w:tc>
      </w:tr>
      <w:tr>
        <w:trPr>
          <w:trHeight w:val="27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38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9"/>
        </w:trPr>
        <w:tc>
          <w:tcPr>
            <w:tcW w:w="6400" w:type="dxa"/>
            <w:vAlign w:val="bottom"/>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380" w:type="dxa"/>
            <w:vAlign w:val="bottom"/>
          </w:tcPr>
          <w:p>
            <w:pPr>
              <w:spacing w:after="0"/>
              <w:rPr>
                <w:sz w:val="23"/>
                <w:szCs w:val="23"/>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1,579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(1,579)</w:t>
            </w:r>
          </w:p>
        </w:tc>
      </w:tr>
      <w:tr>
        <w:trPr>
          <w:trHeight w:val="27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38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9"/>
        </w:trPr>
        <w:tc>
          <w:tcPr>
            <w:tcW w:w="6400" w:type="dxa"/>
            <w:vAlign w:val="bottom"/>
          </w:tcPr>
          <w:p>
            <w:pPr>
              <w:ind w:left="40"/>
              <w:spacing w:after="0"/>
              <w:rPr>
                <w:sz w:val="20"/>
                <w:szCs w:val="20"/>
                <w:color w:val="auto"/>
              </w:rPr>
            </w:pPr>
            <w:r>
              <w:rPr>
                <w:rFonts w:ascii="Arial" w:cs="Arial" w:eastAsia="Arial" w:hAnsi="Arial"/>
                <w:sz w:val="14"/>
                <w:szCs w:val="14"/>
                <w:color w:val="auto"/>
              </w:rPr>
              <w:t>Add: Asset impairment charges</w:t>
            </w:r>
          </w:p>
        </w:tc>
        <w:tc>
          <w:tcPr>
            <w:tcW w:w="380" w:type="dxa"/>
            <w:vAlign w:val="bottom"/>
          </w:tcPr>
          <w:p>
            <w:pPr>
              <w:spacing w:after="0"/>
              <w:rPr>
                <w:sz w:val="23"/>
                <w:szCs w:val="23"/>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Incentive allocations</w:t>
            </w:r>
          </w:p>
        </w:tc>
        <w:tc>
          <w:tcPr>
            <w:tcW w:w="38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9"/>
        </w:trPr>
        <w:tc>
          <w:tcPr>
            <w:tcW w:w="6400" w:type="dxa"/>
            <w:vAlign w:val="bottom"/>
          </w:tcPr>
          <w:p>
            <w:pPr>
              <w:ind w:left="40"/>
              <w:spacing w:after="0"/>
              <w:rPr>
                <w:sz w:val="20"/>
                <w:szCs w:val="20"/>
                <w:color w:val="auto"/>
              </w:rPr>
            </w:pPr>
            <w:r>
              <w:rPr>
                <w:rFonts w:ascii="Arial" w:cs="Arial" w:eastAsia="Arial" w:hAnsi="Arial"/>
                <w:sz w:val="14"/>
                <w:szCs w:val="14"/>
                <w:color w:val="auto"/>
              </w:rPr>
              <w:t>Add: Depreciation and amortization expense</w:t>
            </w:r>
          </w:p>
        </w:tc>
        <w:tc>
          <w:tcPr>
            <w:tcW w:w="380" w:type="dxa"/>
            <w:vAlign w:val="bottom"/>
          </w:tcPr>
          <w:p>
            <w:pPr>
              <w:spacing w:after="0"/>
              <w:rPr>
                <w:sz w:val="23"/>
                <w:szCs w:val="23"/>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b w:val="1"/>
                <w:bCs w:val="1"/>
                <w:color w:val="auto"/>
              </w:rPr>
              <w:t>3,951</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3,676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275</w:t>
            </w:r>
          </w:p>
        </w:tc>
      </w:tr>
      <w:tr>
        <w:trPr>
          <w:trHeight w:val="27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Interest expense</w:t>
            </w: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1,437</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3,804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(2,367)</w:t>
            </w:r>
          </w:p>
        </w:tc>
      </w:tr>
      <w:tr>
        <w:trPr>
          <w:trHeight w:val="270"/>
        </w:trPr>
        <w:tc>
          <w:tcPr>
            <w:tcW w:w="6400" w:type="dxa"/>
            <w:vAlign w:val="bottom"/>
          </w:tcPr>
          <w:p>
            <w:pPr>
              <w:ind w:left="40"/>
              <w:spacing w:after="0"/>
              <w:rPr>
                <w:sz w:val="20"/>
                <w:szCs w:val="20"/>
                <w:color w:val="auto"/>
              </w:rPr>
            </w:pPr>
            <w:r>
              <w:rPr>
                <w:rFonts w:ascii="Arial" w:cs="Arial" w:eastAsia="Arial" w:hAnsi="Arial"/>
                <w:sz w:val="14"/>
                <w:szCs w:val="14"/>
                <w:color w:val="auto"/>
              </w:rPr>
              <w:t xml:space="preserve">Add: Pro-rata share of Adjusted EBITDA from unconsolidated entities </w:t>
            </w:r>
            <w:r>
              <w:rPr>
                <w:rFonts w:ascii="Arial" w:cs="Arial" w:eastAsia="Arial" w:hAnsi="Arial"/>
                <w:sz w:val="17"/>
                <w:szCs w:val="17"/>
                <w:color w:val="auto"/>
                <w:vertAlign w:val="superscript"/>
              </w:rPr>
              <w:t>(2)</w:t>
            </w:r>
          </w:p>
        </w:tc>
        <w:tc>
          <w:tcPr>
            <w:tcW w:w="380" w:type="dxa"/>
            <w:vAlign w:val="bottom"/>
          </w:tcPr>
          <w:p>
            <w:pPr>
              <w:spacing w:after="0"/>
              <w:rPr>
                <w:sz w:val="23"/>
                <w:szCs w:val="23"/>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(65)</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(65)</w:t>
            </w: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65</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w:t>
            </w:r>
          </w:p>
        </w:tc>
      </w:tr>
      <w:tr>
        <w:trPr>
          <w:trHeight w:val="270"/>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7"/>
                <w:szCs w:val="17"/>
                <w:color w:val="auto"/>
                <w:vertAlign w:val="superscript"/>
              </w:rPr>
              <w:t>(3)</w:t>
            </w:r>
          </w:p>
        </w:tc>
        <w:tc>
          <w:tcPr>
            <w:tcW w:w="3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(2,038)</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(1,873)</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w:t>
            </w:r>
          </w:p>
        </w:tc>
      </w:tr>
      <w:tr>
        <w:trPr>
          <w:trHeight w:val="23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Adjusted EBITDA (non-GAAP)</w:t>
            </w:r>
          </w:p>
        </w:tc>
        <w:tc>
          <w:tcPr>
            <w:tcW w:w="38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(224)</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1,422</w:t>
            </w: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72" w:lineRule="exact"/>
        <w:rPr>
          <w:sz w:val="20"/>
          <w:szCs w:val="20"/>
          <w:color w:val="auto"/>
        </w:rPr>
      </w:pPr>
    </w:p>
    <w:p>
      <w:pPr>
        <w:ind w:left="500" w:hanging="492"/>
        <w:spacing w:after="0" w:line="242" w:lineRule="auto"/>
        <w:tabs>
          <w:tab w:leader="none" w:pos="168" w:val="left"/>
        </w:tabs>
        <w:numPr>
          <w:ilvl w:val="0"/>
          <w:numId w:val="19"/>
        </w:numPr>
        <w:rPr>
          <w:rFonts w:ascii="Times New Roman" w:cs="Times New Roman" w:eastAsia="Times New Roman" w:hAnsi="Times New Roman"/>
          <w:sz w:val="18"/>
          <w:szCs w:val="18"/>
          <w:color w:val="auto"/>
          <w:vertAlign w:val="superscript"/>
        </w:rPr>
      </w:pPr>
      <w:r>
        <w:rPr>
          <w:rFonts w:ascii="Arial" w:cs="Arial" w:eastAsia="Arial" w:hAnsi="Arial"/>
          <w:sz w:val="14"/>
          <w:szCs w:val="14"/>
          <w:color w:val="auto"/>
        </w:rPr>
        <w:t>Jefferson Terminal's pro-rata share of Adjusted EBITDA from unconsolidated entities includes net loss of $65 and $0 for the three months ended March 31, 2017 and 2016, respectively.</w:t>
      </w:r>
    </w:p>
    <w:p>
      <w:pPr>
        <w:spacing w:after="0" w:line="128" w:lineRule="exact"/>
        <w:rPr>
          <w:rFonts w:ascii="Times New Roman" w:cs="Times New Roman" w:eastAsia="Times New Roman" w:hAnsi="Times New Roman"/>
          <w:sz w:val="18"/>
          <w:szCs w:val="18"/>
          <w:color w:val="auto"/>
          <w:vertAlign w:val="superscript"/>
        </w:rPr>
      </w:pPr>
    </w:p>
    <w:p>
      <w:pPr>
        <w:ind w:left="500" w:hanging="492"/>
        <w:spacing w:after="0" w:line="235" w:lineRule="auto"/>
        <w:tabs>
          <w:tab w:leader="none" w:pos="169"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Non-controlling share of Adjusted EBITDA is comprised of the following items for the three months ended March 31, 2017 and 2016: (i) equity-based compensation of $23 and $(1,627), (ii) provision for income taxes of $15 and $14, (iii) interest expense of $458 and $1,435, (iv) loss on extinguishment of debt of $0 and $616, and (v) depreciation and amortization expense of $1,542 and $1,435,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Total revenues in the Jefferson Terminal segment increased by $987 in the three months ended March 31, 2017 as compared to the three months ended March 31, 2016. The increase in terminal services revenue of $987 in the three months ended March 31, 2017 was due to increases in unloading revenues due to higher volumes.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Total expenses in the Jefferson Terminal segment increased by $2,833 in the three months ended March 31, 2017 as compared to the three months ended March 31, 2016. The increase consists of higher operating expenses of $4,925, including higher equity-based compensation expense of $4,228, due to a one-time reversal of stock compensation in the first quarter of 2016, an increase of $590 in facility operations expense, $240 in professional fees and $134 in lease expense. Additionally, there was an increase in property tax expense of $139 due to additional property, plant and equipment placed into service during the year. These increases were offset by decreases of $129 in compensation and benefits, as well as $367 in general and administrative expenses. There was an increase of $275 of depreciation expense due to a higher volume of property, plant and equipment placed into service and a decrease of $2,367 of interest expense, due to the increase in interest capitalized under the Series 2016 bonds.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Net Loss</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Adjusted Net Loss was $3,614 in the three months ended March 31, 2017, decreasing by $2,643 as compared to the three months ended March 31, 2016. In addition to the changes in net loss attributable to shareholders noted above, the change was driven by the increase in equity-based compensation of $4,227 in the three months ended March 31, 2017 as compared to the three months ended March 31, 2016, as well as a decrease in the loss on extinguishment of debt of $1,579.</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Adjusted EBITDA was $(224) in the three months ended March 31, 2017, increasing $1,422 as compared to the three months ended March 31, 2016. In addition to the changes in net loss attributable to shareholders noted above, Adjusted EBITDA was impacted by an increase in equity-based compensation of $4,227, as well as depreciation and amortization of $275, offset by the decrease in a loss on extinguishment of debt of $1,579 and interest expense of $2,367 for the three months ended March 31, 2017 as compared to the three months ended March 31, 2016.</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527" w:right="239" w:bottom="1440" w:gutter="0" w:footer="0" w:header="0"/>
        </w:sectPr>
      </w:pPr>
    </w:p>
    <w:bookmarkStart w:id="53" w:name="page54"/>
    <w:bookmarkEnd w:id="53"/>
    <w:p>
      <w:pPr>
        <w:spacing w:after="0"/>
        <w:rPr>
          <w:sz w:val="20"/>
          <w:szCs w:val="20"/>
          <w:color w:val="auto"/>
        </w:rPr>
      </w:pPr>
      <w:r>
        <w:rPr>
          <w:rFonts w:ascii="Arial" w:cs="Arial" w:eastAsia="Arial" w:hAnsi="Arial"/>
          <w:sz w:val="16"/>
          <w:szCs w:val="16"/>
          <w:b w:val="1"/>
          <w:bCs w:val="1"/>
          <w:color w:val="00497F"/>
        </w:rPr>
        <w:t>Railroad Segment</w:t>
      </w:r>
    </w:p>
    <w:p>
      <w:pPr>
        <w:spacing w:after="0" w:line="16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following table presents our results of operations and reconciliation of net income attributable to shareholders to Adjusted Net Income for the Railroad segment for the three months ended March 31, 2017 and March 31, 2016:</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60" w:type="dxa"/>
            <w:vAlign w:val="bottom"/>
            <w:gridSpan w:val="5"/>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4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March 31,</w:t>
            </w:r>
          </w:p>
        </w:tc>
        <w:tc>
          <w:tcPr>
            <w:tcW w:w="1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ind w:right="44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6"/>
        </w:trPr>
        <w:tc>
          <w:tcPr>
            <w:tcW w:w="640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380" w:type="dxa"/>
            <w:vAlign w:val="bottom"/>
          </w:tcPr>
          <w:p>
            <w:pPr>
              <w:spacing w:after="0"/>
              <w:rPr>
                <w:sz w:val="20"/>
                <w:szCs w:val="20"/>
                <w:color w:val="auto"/>
              </w:rPr>
            </w:pPr>
          </w:p>
        </w:tc>
        <w:tc>
          <w:tcPr>
            <w:tcW w:w="1260" w:type="dxa"/>
            <w:vAlign w:val="bottom"/>
          </w:tcPr>
          <w:p>
            <w:pPr>
              <w:jc w:val="right"/>
              <w:ind w:right="58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ind w:right="568"/>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64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Revenues</w:t>
            </w: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400" w:type="dxa"/>
            <w:vAlign w:val="bottom"/>
            <w:vMerge w:val="continue"/>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Infrastructure revenues</w:t>
            </w: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640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Rail revenues</w:t>
            </w:r>
          </w:p>
        </w:tc>
        <w:tc>
          <w:tcPr>
            <w:tcW w:w="3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8,403</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7,999</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404</w:t>
            </w:r>
          </w:p>
        </w:tc>
        <w:tc>
          <w:tcPr>
            <w:tcW w:w="0" w:type="dxa"/>
            <w:vAlign w:val="bottom"/>
          </w:tcPr>
          <w:p>
            <w:pPr>
              <w:spacing w:after="0"/>
              <w:rPr>
                <w:sz w:val="1"/>
                <w:szCs w:val="1"/>
                <w:color w:val="auto"/>
              </w:rPr>
            </w:pPr>
          </w:p>
        </w:tc>
      </w:tr>
      <w:tr>
        <w:trPr>
          <w:trHeight w:val="254"/>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revenues</w:t>
            </w: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8,403</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7,999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404</w:t>
            </w:r>
          </w:p>
        </w:tc>
        <w:tc>
          <w:tcPr>
            <w:tcW w:w="0" w:type="dxa"/>
            <w:vAlign w:val="bottom"/>
          </w:tcPr>
          <w:p>
            <w:pPr>
              <w:spacing w:after="0"/>
              <w:rPr>
                <w:sz w:val="1"/>
                <w:szCs w:val="1"/>
                <w:color w:val="auto"/>
              </w:rPr>
            </w:pPr>
          </w:p>
        </w:tc>
      </w:tr>
      <w:tr>
        <w:trPr>
          <w:trHeight w:val="297"/>
        </w:trPr>
        <w:tc>
          <w:tcPr>
            <w:tcW w:w="6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Expenses</w:t>
            </w: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640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380" w:type="dxa"/>
            <w:vAlign w:val="bottom"/>
          </w:tcPr>
          <w:p>
            <w:pPr>
              <w:spacing w:after="0"/>
              <w:rPr>
                <w:sz w:val="23"/>
                <w:szCs w:val="23"/>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7,544</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7,222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322</w:t>
            </w:r>
          </w:p>
        </w:tc>
        <w:tc>
          <w:tcPr>
            <w:tcW w:w="0" w:type="dxa"/>
            <w:vAlign w:val="bottom"/>
          </w:tcPr>
          <w:p>
            <w:pPr>
              <w:spacing w:after="0"/>
              <w:rPr>
                <w:sz w:val="1"/>
                <w:szCs w:val="1"/>
                <w:color w:val="auto"/>
              </w:rPr>
            </w:pPr>
          </w:p>
        </w:tc>
      </w:tr>
      <w:tr>
        <w:trPr>
          <w:trHeight w:val="274"/>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526</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6"/>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expense</w:t>
            </w:r>
          </w:p>
        </w:tc>
        <w:tc>
          <w:tcPr>
            <w:tcW w:w="3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199</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154</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53"/>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expenses</w:t>
            </w:r>
          </w:p>
        </w:tc>
        <w:tc>
          <w:tcPr>
            <w:tcW w:w="3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8,269</w:t>
            </w:r>
          </w:p>
        </w:tc>
        <w:tc>
          <w:tcPr>
            <w:tcW w:w="12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7,902</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367</w:t>
            </w:r>
          </w:p>
        </w:tc>
        <w:tc>
          <w:tcPr>
            <w:tcW w:w="0" w:type="dxa"/>
            <w:vAlign w:val="bottom"/>
          </w:tcPr>
          <w:p>
            <w:pPr>
              <w:spacing w:after="0"/>
              <w:rPr>
                <w:sz w:val="1"/>
                <w:szCs w:val="1"/>
                <w:color w:val="auto"/>
              </w:rPr>
            </w:pPr>
          </w:p>
        </w:tc>
      </w:tr>
      <w:tr>
        <w:trPr>
          <w:trHeight w:val="292"/>
        </w:trPr>
        <w:tc>
          <w:tcPr>
            <w:tcW w:w="6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(expense) income</w:t>
            </w: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(Loss) Gain on sale of equipment, net</w:t>
            </w:r>
          </w:p>
        </w:tc>
        <w:tc>
          <w:tcPr>
            <w:tcW w:w="3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210</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253"/>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other (expense) income</w:t>
            </w:r>
          </w:p>
        </w:tc>
        <w:tc>
          <w:tcPr>
            <w:tcW w:w="3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210</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250"/>
        </w:trPr>
        <w:tc>
          <w:tcPr>
            <w:tcW w:w="6400" w:type="dxa"/>
            <w:vAlign w:val="bottom"/>
          </w:tcPr>
          <w:p>
            <w:pPr>
              <w:ind w:left="80"/>
              <w:spacing w:after="0"/>
              <w:rPr>
                <w:sz w:val="20"/>
                <w:szCs w:val="20"/>
                <w:color w:val="auto"/>
              </w:rPr>
            </w:pPr>
            <w:r>
              <w:rPr>
                <w:rFonts w:ascii="Arial" w:cs="Arial" w:eastAsia="Arial" w:hAnsi="Arial"/>
                <w:sz w:val="14"/>
                <w:szCs w:val="14"/>
                <w:b w:val="1"/>
                <w:bCs w:val="1"/>
                <w:color w:val="auto"/>
              </w:rPr>
              <w:t>Income before income taxes</w:t>
            </w:r>
          </w:p>
        </w:tc>
        <w:tc>
          <w:tcPr>
            <w:tcW w:w="380" w:type="dxa"/>
            <w:vAlign w:val="bottom"/>
          </w:tcPr>
          <w:p>
            <w:pPr>
              <w:spacing w:after="0"/>
              <w:rPr>
                <w:sz w:val="21"/>
                <w:szCs w:val="21"/>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b w:val="1"/>
                <w:bCs w:val="1"/>
                <w:color w:val="auto"/>
              </w:rPr>
              <w:t>120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307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 for income taxes</w:t>
            </w:r>
          </w:p>
        </w:tc>
        <w:tc>
          <w:tcPr>
            <w:tcW w:w="38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income</w:t>
            </w:r>
          </w:p>
        </w:tc>
        <w:tc>
          <w:tcPr>
            <w:tcW w:w="38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120</w:t>
            </w:r>
          </w:p>
        </w:tc>
        <w:tc>
          <w:tcPr>
            <w:tcW w:w="12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307</w:t>
            </w: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25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income attributable to non-controlling interest in consolidated subsidiaries</w:t>
            </w: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49"/>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income attributable to shareholders</w:t>
            </w:r>
          </w:p>
        </w:tc>
        <w:tc>
          <w:tcPr>
            <w:tcW w:w="3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116</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294</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25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Provision for income taxes</w:t>
            </w:r>
          </w:p>
        </w:tc>
        <w:tc>
          <w:tcPr>
            <w:tcW w:w="3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6"/>
        </w:trPr>
        <w:tc>
          <w:tcPr>
            <w:tcW w:w="6400" w:type="dxa"/>
            <w:vAlign w:val="bottom"/>
          </w:tcPr>
          <w:p>
            <w:pPr>
              <w:ind w:left="40"/>
              <w:spacing w:after="0"/>
              <w:rPr>
                <w:sz w:val="20"/>
                <w:szCs w:val="20"/>
                <w:color w:val="auto"/>
              </w:rPr>
            </w:pPr>
            <w:r>
              <w:rPr>
                <w:rFonts w:ascii="Arial" w:cs="Arial" w:eastAsia="Arial" w:hAnsi="Arial"/>
                <w:sz w:val="14"/>
                <w:szCs w:val="14"/>
                <w:color w:val="auto"/>
              </w:rPr>
              <w:t>Add: Equity-based compensation expense</w:t>
            </w:r>
          </w:p>
        </w:tc>
        <w:tc>
          <w:tcPr>
            <w:tcW w:w="380" w:type="dxa"/>
            <w:vAlign w:val="bottom"/>
          </w:tcPr>
          <w:p>
            <w:pPr>
              <w:spacing w:after="0"/>
              <w:rPr>
                <w:sz w:val="23"/>
                <w:szCs w:val="23"/>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205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274"/>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38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6"/>
        </w:trPr>
        <w:tc>
          <w:tcPr>
            <w:tcW w:w="6400" w:type="dxa"/>
            <w:vAlign w:val="bottom"/>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380" w:type="dxa"/>
            <w:vAlign w:val="bottom"/>
          </w:tcPr>
          <w:p>
            <w:pPr>
              <w:spacing w:after="0"/>
              <w:rPr>
                <w:sz w:val="23"/>
                <w:szCs w:val="23"/>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4"/>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38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6"/>
        </w:trPr>
        <w:tc>
          <w:tcPr>
            <w:tcW w:w="6400" w:type="dxa"/>
            <w:vAlign w:val="bottom"/>
          </w:tcPr>
          <w:p>
            <w:pPr>
              <w:ind w:left="40"/>
              <w:spacing w:after="0"/>
              <w:rPr>
                <w:sz w:val="20"/>
                <w:szCs w:val="20"/>
                <w:color w:val="auto"/>
              </w:rPr>
            </w:pPr>
            <w:r>
              <w:rPr>
                <w:rFonts w:ascii="Arial" w:cs="Arial" w:eastAsia="Arial" w:hAnsi="Arial"/>
                <w:sz w:val="14"/>
                <w:szCs w:val="14"/>
                <w:color w:val="auto"/>
              </w:rPr>
              <w:t>Add: Asset impairment charges</w:t>
            </w:r>
          </w:p>
        </w:tc>
        <w:tc>
          <w:tcPr>
            <w:tcW w:w="380" w:type="dxa"/>
            <w:vAlign w:val="bottom"/>
          </w:tcPr>
          <w:p>
            <w:pPr>
              <w:spacing w:after="0"/>
              <w:rPr>
                <w:sz w:val="23"/>
                <w:szCs w:val="23"/>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4"/>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Pro-rata share of Adjusted Net Income from unconsolidated entities</w:t>
            </w:r>
          </w:p>
        </w:tc>
        <w:tc>
          <w:tcPr>
            <w:tcW w:w="38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6"/>
        </w:trPr>
        <w:tc>
          <w:tcPr>
            <w:tcW w:w="640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380" w:type="dxa"/>
            <w:vAlign w:val="bottom"/>
          </w:tcPr>
          <w:p>
            <w:pPr>
              <w:spacing w:after="0"/>
              <w:rPr>
                <w:sz w:val="23"/>
                <w:szCs w:val="23"/>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4"/>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Cash payments for income taxes</w:t>
            </w:r>
          </w:p>
        </w:tc>
        <w:tc>
          <w:tcPr>
            <w:tcW w:w="38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6"/>
        </w:trPr>
        <w:tc>
          <w:tcPr>
            <w:tcW w:w="6400" w:type="dxa"/>
            <w:vAlign w:val="bottom"/>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380" w:type="dxa"/>
            <w:vAlign w:val="bottom"/>
          </w:tcPr>
          <w:p>
            <w:pPr>
              <w:spacing w:after="0"/>
              <w:rPr>
                <w:sz w:val="23"/>
                <w:szCs w:val="23"/>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4"/>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Less: Non-controlling share of Adjusted Net Income </w:t>
            </w:r>
            <w:r>
              <w:rPr>
                <w:rFonts w:ascii="Arial" w:cs="Arial" w:eastAsia="Arial" w:hAnsi="Arial"/>
                <w:sz w:val="17"/>
                <w:szCs w:val="17"/>
                <w:color w:val="auto"/>
                <w:vertAlign w:val="superscript"/>
              </w:rPr>
              <w:t>(1)</w:t>
            </w:r>
          </w:p>
        </w:tc>
        <w:tc>
          <w:tcPr>
            <w:tcW w:w="3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Adjusted Net Income</w:t>
            </w:r>
          </w:p>
        </w:tc>
        <w:tc>
          <w:tcPr>
            <w:tcW w:w="3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142</w:t>
            </w:r>
          </w:p>
        </w:tc>
        <w:tc>
          <w:tcPr>
            <w:tcW w:w="120" w:type="dxa"/>
            <w:vAlign w:val="bottom"/>
          </w:tcPr>
          <w:p>
            <w:pPr>
              <w:spacing w:after="0"/>
              <w:rPr>
                <w:sz w:val="20"/>
                <w:szCs w:val="20"/>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491</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w:t>
      </w:r>
    </w:p>
    <w:p>
      <w:pPr>
        <w:spacing w:after="0" w:line="163" w:lineRule="exact"/>
        <w:rPr>
          <w:sz w:val="20"/>
          <w:szCs w:val="20"/>
          <w:color w:val="auto"/>
        </w:rPr>
      </w:pPr>
    </w:p>
    <w:p>
      <w:pPr>
        <w:ind w:left="500" w:hanging="492"/>
        <w:spacing w:after="0"/>
        <w:tabs>
          <w:tab w:leader="none" w:pos="162"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Non-controlling share of Adjusted Net Income is comprised of equity-based compensation of $2 and $8 for the three months ended March 31, 2017 and March 31, 2016, respectively.</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579" w:right="239" w:bottom="1440" w:gutter="0" w:footer="0" w:header="0"/>
        </w:sectPr>
      </w:pPr>
    </w:p>
    <w:bookmarkStart w:id="54" w:name="page55"/>
    <w:bookmarkEnd w:id="54"/>
    <w:p>
      <w:pPr>
        <w:ind w:right="400"/>
        <w:spacing w:after="0" w:line="291" w:lineRule="auto"/>
        <w:rPr>
          <w:sz w:val="20"/>
          <w:szCs w:val="20"/>
          <w:color w:val="auto"/>
        </w:rPr>
      </w:pPr>
      <w:r>
        <w:rPr>
          <w:rFonts w:ascii="Arial" w:cs="Arial" w:eastAsia="Arial" w:hAnsi="Arial"/>
          <w:sz w:val="16"/>
          <w:szCs w:val="16"/>
          <w:color w:val="auto"/>
        </w:rPr>
        <w:t>The following table sets forth a reconciliation of net income attributable to shareholders to Adjusted EBITDA for the Railroad segment for the three months ended March 31, 2017 and March 31, 2016:</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60" w:type="dxa"/>
            <w:vAlign w:val="bottom"/>
            <w:gridSpan w:val="5"/>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04"/>
        </w:trPr>
        <w:tc>
          <w:tcPr>
            <w:tcW w:w="64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March 31,</w:t>
            </w:r>
          </w:p>
        </w:tc>
        <w:tc>
          <w:tcPr>
            <w:tcW w:w="1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ind w:right="448"/>
              <w:spacing w:after="0"/>
              <w:rPr>
                <w:sz w:val="20"/>
                <w:szCs w:val="20"/>
                <w:color w:val="auto"/>
              </w:rPr>
            </w:pPr>
            <w:r>
              <w:rPr>
                <w:rFonts w:ascii="Arial" w:cs="Arial" w:eastAsia="Arial" w:hAnsi="Arial"/>
                <w:sz w:val="14"/>
                <w:szCs w:val="14"/>
                <w:b w:val="1"/>
                <w:bCs w:val="1"/>
                <w:color w:val="auto"/>
              </w:rPr>
              <w:t>Change</w:t>
            </w:r>
          </w:p>
        </w:tc>
      </w:tr>
      <w:tr>
        <w:trPr>
          <w:trHeight w:val="260"/>
        </w:trPr>
        <w:tc>
          <w:tcPr>
            <w:tcW w:w="640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r>
      <w:tr>
        <w:trPr>
          <w:trHeight w:val="253"/>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Net income attributable to shareholders</w:t>
            </w:r>
          </w:p>
        </w:tc>
        <w:tc>
          <w:tcPr>
            <w:tcW w:w="38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68"/>
              <w:spacing w:after="0"/>
              <w:rPr>
                <w:sz w:val="20"/>
                <w:szCs w:val="20"/>
                <w:color w:val="auto"/>
              </w:rPr>
            </w:pPr>
            <w:r>
              <w:rPr>
                <w:rFonts w:ascii="Arial" w:cs="Arial" w:eastAsia="Arial" w:hAnsi="Arial"/>
                <w:sz w:val="14"/>
                <w:szCs w:val="14"/>
                <w:b w:val="1"/>
                <w:bCs w:val="1"/>
                <w:color w:val="auto"/>
              </w:rPr>
              <w:t>116</w:t>
            </w:r>
          </w:p>
        </w:tc>
        <w:tc>
          <w:tcPr>
            <w:tcW w:w="120" w:type="dxa"/>
            <w:vAlign w:val="bottom"/>
          </w:tcPr>
          <w:p>
            <w:pPr>
              <w:spacing w:after="0"/>
              <w:rPr>
                <w:sz w:val="22"/>
                <w:szCs w:val="22"/>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294</w:t>
            </w:r>
          </w:p>
        </w:tc>
        <w:tc>
          <w:tcPr>
            <w:tcW w:w="10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(178)</w:t>
            </w:r>
          </w:p>
        </w:tc>
      </w:tr>
      <w:tr>
        <w:trPr>
          <w:trHeight w:val="27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Provision for income taxes</w:t>
            </w:r>
          </w:p>
        </w:tc>
        <w:tc>
          <w:tcPr>
            <w:tcW w:w="38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9"/>
        </w:trPr>
        <w:tc>
          <w:tcPr>
            <w:tcW w:w="6400" w:type="dxa"/>
            <w:vAlign w:val="bottom"/>
          </w:tcPr>
          <w:p>
            <w:pPr>
              <w:ind w:left="40"/>
              <w:spacing w:after="0"/>
              <w:rPr>
                <w:sz w:val="20"/>
                <w:szCs w:val="20"/>
                <w:color w:val="auto"/>
              </w:rPr>
            </w:pPr>
            <w:r>
              <w:rPr>
                <w:rFonts w:ascii="Arial" w:cs="Arial" w:eastAsia="Arial" w:hAnsi="Arial"/>
                <w:sz w:val="14"/>
                <w:szCs w:val="14"/>
                <w:color w:val="auto"/>
              </w:rPr>
              <w:t>Add: Equity-based compensation expense</w:t>
            </w:r>
          </w:p>
        </w:tc>
        <w:tc>
          <w:tcPr>
            <w:tcW w:w="380" w:type="dxa"/>
            <w:vAlign w:val="bottom"/>
          </w:tcPr>
          <w:p>
            <w:pPr>
              <w:spacing w:after="0"/>
              <w:rPr>
                <w:sz w:val="23"/>
                <w:szCs w:val="23"/>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b w:val="1"/>
                <w:bCs w:val="1"/>
                <w:color w:val="auto"/>
              </w:rPr>
              <w:t>28</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205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(177)</w:t>
            </w:r>
          </w:p>
        </w:tc>
      </w:tr>
      <w:tr>
        <w:trPr>
          <w:trHeight w:val="27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38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9"/>
        </w:trPr>
        <w:tc>
          <w:tcPr>
            <w:tcW w:w="6400" w:type="dxa"/>
            <w:vAlign w:val="bottom"/>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380" w:type="dxa"/>
            <w:vAlign w:val="bottom"/>
          </w:tcPr>
          <w:p>
            <w:pPr>
              <w:spacing w:after="0"/>
              <w:rPr>
                <w:sz w:val="23"/>
                <w:szCs w:val="23"/>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38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9"/>
        </w:trPr>
        <w:tc>
          <w:tcPr>
            <w:tcW w:w="6400" w:type="dxa"/>
            <w:vAlign w:val="bottom"/>
          </w:tcPr>
          <w:p>
            <w:pPr>
              <w:ind w:left="40"/>
              <w:spacing w:after="0"/>
              <w:rPr>
                <w:sz w:val="20"/>
                <w:szCs w:val="20"/>
                <w:color w:val="auto"/>
              </w:rPr>
            </w:pPr>
            <w:r>
              <w:rPr>
                <w:rFonts w:ascii="Arial" w:cs="Arial" w:eastAsia="Arial" w:hAnsi="Arial"/>
                <w:sz w:val="14"/>
                <w:szCs w:val="14"/>
                <w:color w:val="auto"/>
              </w:rPr>
              <w:t>Add: Asset impairment charges</w:t>
            </w:r>
          </w:p>
        </w:tc>
        <w:tc>
          <w:tcPr>
            <w:tcW w:w="380" w:type="dxa"/>
            <w:vAlign w:val="bottom"/>
          </w:tcPr>
          <w:p>
            <w:pPr>
              <w:spacing w:after="0"/>
              <w:rPr>
                <w:sz w:val="23"/>
                <w:szCs w:val="23"/>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Incentive allocations</w:t>
            </w:r>
          </w:p>
        </w:tc>
        <w:tc>
          <w:tcPr>
            <w:tcW w:w="38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9"/>
        </w:trPr>
        <w:tc>
          <w:tcPr>
            <w:tcW w:w="6400" w:type="dxa"/>
            <w:vAlign w:val="bottom"/>
          </w:tcPr>
          <w:p>
            <w:pPr>
              <w:ind w:left="40"/>
              <w:spacing w:after="0"/>
              <w:rPr>
                <w:sz w:val="20"/>
                <w:szCs w:val="20"/>
                <w:color w:val="auto"/>
              </w:rPr>
            </w:pPr>
            <w:r>
              <w:rPr>
                <w:rFonts w:ascii="Arial" w:cs="Arial" w:eastAsia="Arial" w:hAnsi="Arial"/>
                <w:sz w:val="14"/>
                <w:szCs w:val="14"/>
                <w:color w:val="auto"/>
              </w:rPr>
              <w:t>Add: Depreciation and amortization expense</w:t>
            </w:r>
          </w:p>
        </w:tc>
        <w:tc>
          <w:tcPr>
            <w:tcW w:w="380" w:type="dxa"/>
            <w:vAlign w:val="bottom"/>
          </w:tcPr>
          <w:p>
            <w:pPr>
              <w:spacing w:after="0"/>
              <w:rPr>
                <w:sz w:val="23"/>
                <w:szCs w:val="23"/>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b w:val="1"/>
                <w:bCs w:val="1"/>
                <w:color w:val="auto"/>
              </w:rPr>
              <w:t>526</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526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Interest expense</w:t>
            </w: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199</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w:t>
            </w:r>
          </w:p>
        </w:tc>
      </w:tr>
      <w:tr>
        <w:trPr>
          <w:trHeight w:val="269"/>
        </w:trPr>
        <w:tc>
          <w:tcPr>
            <w:tcW w:w="6400" w:type="dxa"/>
            <w:vAlign w:val="bottom"/>
          </w:tcPr>
          <w:p>
            <w:pPr>
              <w:ind w:left="40"/>
              <w:spacing w:after="0"/>
              <w:rPr>
                <w:sz w:val="20"/>
                <w:szCs w:val="20"/>
                <w:color w:val="auto"/>
              </w:rPr>
            </w:pPr>
            <w:r>
              <w:rPr>
                <w:rFonts w:ascii="Arial" w:cs="Arial" w:eastAsia="Arial" w:hAnsi="Arial"/>
                <w:sz w:val="14"/>
                <w:szCs w:val="14"/>
                <w:color w:val="auto"/>
              </w:rPr>
              <w:t>Add: Pro-rata share of Adjusted EBITDA from unconsolidated entities</w:t>
            </w:r>
          </w:p>
        </w:tc>
        <w:tc>
          <w:tcPr>
            <w:tcW w:w="380" w:type="dxa"/>
            <w:vAlign w:val="bottom"/>
          </w:tcPr>
          <w:p>
            <w:pPr>
              <w:spacing w:after="0"/>
              <w:rPr>
                <w:sz w:val="23"/>
                <w:szCs w:val="23"/>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38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7"/>
                <w:szCs w:val="17"/>
                <w:color w:val="auto"/>
                <w:vertAlign w:val="superscript"/>
              </w:rPr>
              <w:t>(2)</w:t>
            </w:r>
          </w:p>
        </w:tc>
        <w:tc>
          <w:tcPr>
            <w:tcW w:w="3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(41)</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r>
      <w:tr>
        <w:trPr>
          <w:trHeight w:val="23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Adjusted EBITDA (non-GAAP)</w:t>
            </w:r>
          </w:p>
        </w:tc>
        <w:tc>
          <w:tcPr>
            <w:tcW w:w="38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828</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1,144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(316)</w:t>
            </w: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45" w:lineRule="exact"/>
        <w:rPr>
          <w:sz w:val="20"/>
          <w:szCs w:val="20"/>
          <w:color w:val="auto"/>
        </w:rPr>
      </w:pPr>
    </w:p>
    <w:p>
      <w:pPr>
        <w:ind w:left="160" w:hanging="152"/>
        <w:spacing w:after="0"/>
        <w:tabs>
          <w:tab w:leader="none" w:pos="16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Non-controlling share of Adjusted EBITDA is comprised of the following items for the three months ended March 31, 2017 and 2016: (i) equity-based compensation of $1 and $8,</w:t>
      </w:r>
    </w:p>
    <w:p>
      <w:pPr>
        <w:ind w:left="700" w:hanging="206"/>
        <w:spacing w:after="0"/>
        <w:tabs>
          <w:tab w:leader="none" w:pos="700" w:val="left"/>
        </w:tabs>
        <w:numPr>
          <w:ilvl w:val="1"/>
          <w:numId w:val="21"/>
        </w:numPr>
        <w:rPr>
          <w:rFonts w:ascii="Arial" w:cs="Arial" w:eastAsia="Arial" w:hAnsi="Arial"/>
          <w:sz w:val="14"/>
          <w:szCs w:val="14"/>
          <w:color w:val="auto"/>
        </w:rPr>
      </w:pPr>
      <w:r>
        <w:rPr>
          <w:rFonts w:ascii="Arial" w:cs="Arial" w:eastAsia="Arial" w:hAnsi="Arial"/>
          <w:sz w:val="14"/>
          <w:szCs w:val="14"/>
          <w:color w:val="auto"/>
        </w:rPr>
        <w:t>interest expense of $11 and $6, and (iii) depreciation and amortization expense of $29 and $21,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Total revenues in the Railroad segment increased by $404, in the three months ended March 31, 2017 due to higher traffic and expanded service offerings to customers. The increase primarily consists of (i) $291 in freight transportation revenue and (ii) $156 in switching and other rail service revenue in the three months ended March 31, 2017, as compared to the three months ended March 31, 2016. Additionally, car hire income decreased by $43 in the three months ended March 31, 2017 as compared to the three months ended March 31, 2016.</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Total expenses in the Railroad segment increased by $367 in the three months ended March 31, 2017, as compared to the three months ended March 31, 2016. The increase of $367 consists of $322 of operating expenses and $45 of interest expense related to borrowings under the CMQR Credit Agreement used to finance construction and improvements to the railroad. The increase in operating expenses was driven by an increase in fuel expense of $244, general operating expense of $144 due to certain tax benefits taken in the three months ended March 31, 2016 not yet available in the three months ended March 31, 2017 and an increase of compensation and benefits of $34, which was offset by a decrease in (i) professional fees of $65, and insurance expense of $35 three months ended March 31, 2017 as compared to the three months ended March 31, 2016.</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Net Income</w:t>
      </w:r>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Adjusted Net Income decreased by $349 in the three months ended March 31, 2017, as compared to the three months ended March 31, 2016. In addition to the changes in net income attributable to shareholders noted above, Adjusted Net Income was impacted by lower equity-based compensation expense of $177 in the three months ended March 31, 2017 as compared to the three months ended March 31, 2016.</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Adjusted EBITDA was $828 in the three months ended March 31, 2017, decreasing by $316 as compared to the three months ended March 31, 2016. In addition to the changes in net income attributable to shareholders noted above, Adjusted EBITDA was also impacted primarily by lower equity-based compensation expense of $177 and an increase in interest expense of $45, in the three months ended March 31, 2017 as compared to the three months ended March 31, 2016.</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527" w:right="239" w:bottom="1440" w:gutter="0" w:footer="0" w:header="0"/>
        </w:sectPr>
      </w:pPr>
    </w:p>
    <w:bookmarkStart w:id="55" w:name="page56"/>
    <w:bookmarkEnd w:id="55"/>
    <w:p>
      <w:pPr>
        <w:spacing w:after="0"/>
        <w:rPr>
          <w:sz w:val="20"/>
          <w:szCs w:val="20"/>
          <w:color w:val="auto"/>
        </w:rPr>
      </w:pPr>
      <w:r>
        <w:rPr>
          <w:rFonts w:ascii="Arial" w:cs="Arial" w:eastAsia="Arial" w:hAnsi="Arial"/>
          <w:sz w:val="16"/>
          <w:szCs w:val="16"/>
          <w:b w:val="1"/>
          <w:bCs w:val="1"/>
          <w:color w:val="00497F"/>
        </w:rPr>
        <w:t>Ports and Terminals</w:t>
      </w:r>
    </w:p>
    <w:p>
      <w:pPr>
        <w:spacing w:after="0" w:line="129" w:lineRule="exact"/>
        <w:rPr>
          <w:sz w:val="20"/>
          <w:szCs w:val="20"/>
          <w:color w:val="auto"/>
        </w:rPr>
      </w:pPr>
    </w:p>
    <w:p>
      <w:pPr>
        <w:ind w:right="20"/>
        <w:spacing w:after="0" w:line="327" w:lineRule="auto"/>
        <w:rPr>
          <w:sz w:val="20"/>
          <w:szCs w:val="20"/>
          <w:color w:val="auto"/>
        </w:rPr>
      </w:pPr>
      <w:r>
        <w:rPr>
          <w:rFonts w:ascii="Arial" w:cs="Arial" w:eastAsia="Arial" w:hAnsi="Arial"/>
          <w:sz w:val="16"/>
          <w:szCs w:val="16"/>
          <w:color w:val="auto"/>
        </w:rPr>
        <w:t>The following table presents our results of operations and reconciliation of net loss attributable to shareholders to Adjusted Net Loss for Ports and Terminals for the three months ended March 31, 2017 and March 31, 2016:</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60" w:type="dxa"/>
            <w:vAlign w:val="bottom"/>
            <w:gridSpan w:val="5"/>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4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March 31,</w:t>
            </w:r>
          </w:p>
        </w:tc>
        <w:tc>
          <w:tcPr>
            <w:tcW w:w="1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ind w:right="44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6"/>
        </w:trPr>
        <w:tc>
          <w:tcPr>
            <w:tcW w:w="640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380" w:type="dxa"/>
            <w:vAlign w:val="bottom"/>
          </w:tcPr>
          <w:p>
            <w:pPr>
              <w:spacing w:after="0"/>
              <w:rPr>
                <w:sz w:val="20"/>
                <w:szCs w:val="20"/>
                <w:color w:val="auto"/>
              </w:rPr>
            </w:pPr>
          </w:p>
        </w:tc>
        <w:tc>
          <w:tcPr>
            <w:tcW w:w="1260" w:type="dxa"/>
            <w:vAlign w:val="bottom"/>
          </w:tcPr>
          <w:p>
            <w:pPr>
              <w:jc w:val="right"/>
              <w:ind w:right="58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ind w:left="180"/>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64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Revenues</w:t>
            </w: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40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Infrastructure revenues</w:t>
            </w: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640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Lease income</w:t>
            </w:r>
          </w:p>
        </w:tc>
        <w:tc>
          <w:tcPr>
            <w:tcW w:w="3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16</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ind w:left="8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5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revenues</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16</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51"/>
        </w:trPr>
        <w:tc>
          <w:tcPr>
            <w:tcW w:w="64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Expenses</w:t>
            </w: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640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380" w:type="dxa"/>
            <w:vAlign w:val="bottom"/>
          </w:tcPr>
          <w:p>
            <w:pPr>
              <w:spacing w:after="0"/>
              <w:rPr>
                <w:sz w:val="18"/>
                <w:szCs w:val="18"/>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b w:val="1"/>
                <w:bCs w:val="1"/>
                <w:color w:val="auto"/>
              </w:rPr>
              <w:t>894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894</w:t>
            </w:r>
          </w:p>
        </w:tc>
        <w:tc>
          <w:tcPr>
            <w:tcW w:w="0" w:type="dxa"/>
            <w:vAlign w:val="bottom"/>
          </w:tcPr>
          <w:p>
            <w:pPr>
              <w:spacing w:after="0"/>
              <w:rPr>
                <w:sz w:val="1"/>
                <w:szCs w:val="1"/>
                <w:color w:val="auto"/>
              </w:rPr>
            </w:pPr>
          </w:p>
        </w:tc>
      </w:tr>
      <w:tr>
        <w:trPr>
          <w:trHeight w:val="27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69"/>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expense</w:t>
            </w:r>
          </w:p>
        </w:tc>
        <w:tc>
          <w:tcPr>
            <w:tcW w:w="3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274</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ind w:left="8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274</w:t>
            </w:r>
          </w:p>
        </w:tc>
        <w:tc>
          <w:tcPr>
            <w:tcW w:w="0" w:type="dxa"/>
            <w:vAlign w:val="bottom"/>
          </w:tcPr>
          <w:p>
            <w:pPr>
              <w:spacing w:after="0"/>
              <w:rPr>
                <w:sz w:val="1"/>
                <w:szCs w:val="1"/>
                <w:color w:val="auto"/>
              </w:rPr>
            </w:pPr>
          </w:p>
        </w:tc>
      </w:tr>
      <w:tr>
        <w:trPr>
          <w:trHeight w:val="25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expenses</w:t>
            </w: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1,172</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1,172</w:t>
            </w:r>
          </w:p>
        </w:tc>
        <w:tc>
          <w:tcPr>
            <w:tcW w:w="0" w:type="dxa"/>
            <w:vAlign w:val="bottom"/>
          </w:tcPr>
          <w:p>
            <w:pPr>
              <w:spacing w:after="0"/>
              <w:rPr>
                <w:sz w:val="1"/>
                <w:szCs w:val="1"/>
                <w:color w:val="auto"/>
              </w:rPr>
            </w:pPr>
          </w:p>
        </w:tc>
      </w:tr>
      <w:tr>
        <w:trPr>
          <w:trHeight w:val="250"/>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Loss before income taxes</w:t>
            </w:r>
          </w:p>
        </w:tc>
        <w:tc>
          <w:tcPr>
            <w:tcW w:w="380" w:type="dxa"/>
            <w:vAlign w:val="bottom"/>
          </w:tcPr>
          <w:p>
            <w:pPr>
              <w:spacing w:after="0"/>
              <w:rPr>
                <w:sz w:val="21"/>
                <w:szCs w:val="21"/>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(1,156)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(1,156)</w:t>
            </w:r>
          </w:p>
        </w:tc>
        <w:tc>
          <w:tcPr>
            <w:tcW w:w="0" w:type="dxa"/>
            <w:vAlign w:val="bottom"/>
          </w:tcPr>
          <w:p>
            <w:pPr>
              <w:spacing w:after="0"/>
              <w:rPr>
                <w:sz w:val="1"/>
                <w:szCs w:val="1"/>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 for income taxes</w:t>
            </w:r>
          </w:p>
        </w:tc>
        <w:tc>
          <w:tcPr>
            <w:tcW w:w="3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loss</w:t>
            </w: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(1,159)</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ind w:left="8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(1,159)</w:t>
            </w:r>
          </w:p>
        </w:tc>
        <w:tc>
          <w:tcPr>
            <w:tcW w:w="0" w:type="dxa"/>
            <w:vAlign w:val="bottom"/>
          </w:tcPr>
          <w:p>
            <w:pPr>
              <w:spacing w:after="0"/>
              <w:rPr>
                <w:sz w:val="1"/>
                <w:szCs w:val="1"/>
                <w:color w:val="auto"/>
              </w:rPr>
            </w:pPr>
          </w:p>
        </w:tc>
      </w:tr>
      <w:tr>
        <w:trPr>
          <w:trHeight w:val="25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loss attributable to non-controlling interest in consolidated subsidiaries</w:t>
            </w: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(114)</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3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(1,045)</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ind w:left="8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(1,045)</w:t>
            </w:r>
          </w:p>
        </w:tc>
        <w:tc>
          <w:tcPr>
            <w:tcW w:w="0" w:type="dxa"/>
            <w:vAlign w:val="bottom"/>
          </w:tcPr>
          <w:p>
            <w:pPr>
              <w:spacing w:after="0"/>
              <w:rPr>
                <w:sz w:val="1"/>
                <w:szCs w:val="1"/>
                <w:color w:val="auto"/>
              </w:rPr>
            </w:pPr>
          </w:p>
        </w:tc>
      </w:tr>
      <w:tr>
        <w:trPr>
          <w:trHeight w:val="25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Provision for income taxes</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69"/>
        </w:trPr>
        <w:tc>
          <w:tcPr>
            <w:tcW w:w="6400" w:type="dxa"/>
            <w:vAlign w:val="bottom"/>
          </w:tcPr>
          <w:p>
            <w:pPr>
              <w:ind w:left="40"/>
              <w:spacing w:after="0"/>
              <w:rPr>
                <w:sz w:val="20"/>
                <w:szCs w:val="20"/>
                <w:color w:val="auto"/>
              </w:rPr>
            </w:pPr>
            <w:r>
              <w:rPr>
                <w:rFonts w:ascii="Arial" w:cs="Arial" w:eastAsia="Arial" w:hAnsi="Arial"/>
                <w:sz w:val="14"/>
                <w:szCs w:val="14"/>
                <w:color w:val="auto"/>
              </w:rPr>
              <w:t>Add: Equity-based compensation expense</w:t>
            </w:r>
          </w:p>
        </w:tc>
        <w:tc>
          <w:tcPr>
            <w:tcW w:w="380" w:type="dxa"/>
            <w:vAlign w:val="bottom"/>
          </w:tcPr>
          <w:p>
            <w:pPr>
              <w:spacing w:after="0"/>
              <w:rPr>
                <w:sz w:val="23"/>
                <w:szCs w:val="23"/>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23"/>
                <w:szCs w:val="23"/>
                <w:color w:val="auto"/>
              </w:rPr>
            </w:pPr>
          </w:p>
        </w:tc>
        <w:tc>
          <w:tcPr>
            <w:tcW w:w="124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38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6400" w:type="dxa"/>
            <w:vAlign w:val="bottom"/>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380" w:type="dxa"/>
            <w:vAlign w:val="bottom"/>
          </w:tcPr>
          <w:p>
            <w:pPr>
              <w:spacing w:after="0"/>
              <w:rPr>
                <w:sz w:val="23"/>
                <w:szCs w:val="23"/>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23"/>
                <w:szCs w:val="23"/>
                <w:color w:val="auto"/>
              </w:rPr>
            </w:pPr>
          </w:p>
        </w:tc>
        <w:tc>
          <w:tcPr>
            <w:tcW w:w="124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38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6400" w:type="dxa"/>
            <w:vAlign w:val="bottom"/>
          </w:tcPr>
          <w:p>
            <w:pPr>
              <w:ind w:left="40"/>
              <w:spacing w:after="0"/>
              <w:rPr>
                <w:sz w:val="20"/>
                <w:szCs w:val="20"/>
                <w:color w:val="auto"/>
              </w:rPr>
            </w:pPr>
            <w:r>
              <w:rPr>
                <w:rFonts w:ascii="Arial" w:cs="Arial" w:eastAsia="Arial" w:hAnsi="Arial"/>
                <w:sz w:val="14"/>
                <w:szCs w:val="14"/>
                <w:color w:val="auto"/>
              </w:rPr>
              <w:t>Add: Asset impairment charges</w:t>
            </w:r>
          </w:p>
        </w:tc>
        <w:tc>
          <w:tcPr>
            <w:tcW w:w="380" w:type="dxa"/>
            <w:vAlign w:val="bottom"/>
          </w:tcPr>
          <w:p>
            <w:pPr>
              <w:spacing w:after="0"/>
              <w:rPr>
                <w:sz w:val="23"/>
                <w:szCs w:val="23"/>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23"/>
                <w:szCs w:val="23"/>
                <w:color w:val="auto"/>
              </w:rPr>
            </w:pPr>
          </w:p>
        </w:tc>
        <w:tc>
          <w:tcPr>
            <w:tcW w:w="124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Pro-rata share of Adjusted Net Income from unconsolidated entities</w:t>
            </w:r>
          </w:p>
        </w:tc>
        <w:tc>
          <w:tcPr>
            <w:tcW w:w="38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640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380" w:type="dxa"/>
            <w:vAlign w:val="bottom"/>
          </w:tcPr>
          <w:p>
            <w:pPr>
              <w:spacing w:after="0"/>
              <w:rPr>
                <w:sz w:val="23"/>
                <w:szCs w:val="23"/>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23"/>
                <w:szCs w:val="23"/>
                <w:color w:val="auto"/>
              </w:rPr>
            </w:pPr>
          </w:p>
        </w:tc>
        <w:tc>
          <w:tcPr>
            <w:tcW w:w="124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Cash payments for income taxes</w:t>
            </w:r>
          </w:p>
        </w:tc>
        <w:tc>
          <w:tcPr>
            <w:tcW w:w="38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6400" w:type="dxa"/>
            <w:vAlign w:val="bottom"/>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380" w:type="dxa"/>
            <w:vAlign w:val="bottom"/>
          </w:tcPr>
          <w:p>
            <w:pPr>
              <w:spacing w:after="0"/>
              <w:rPr>
                <w:sz w:val="23"/>
                <w:szCs w:val="23"/>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23"/>
                <w:szCs w:val="23"/>
                <w:color w:val="auto"/>
              </w:rPr>
            </w:pPr>
          </w:p>
        </w:tc>
        <w:tc>
          <w:tcPr>
            <w:tcW w:w="124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Non-controlling share of Adjusted Net Income</w:t>
            </w:r>
          </w:p>
        </w:tc>
        <w:tc>
          <w:tcPr>
            <w:tcW w:w="3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8"/>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Adjusted Net Loss</w:t>
            </w:r>
          </w:p>
        </w:tc>
        <w:tc>
          <w:tcPr>
            <w:tcW w:w="38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(1,042)</w:t>
            </w:r>
          </w:p>
        </w:tc>
        <w:tc>
          <w:tcPr>
            <w:tcW w:w="120" w:type="dxa"/>
            <w:vAlign w:val="bottom"/>
          </w:tcPr>
          <w:p>
            <w:pPr>
              <w:spacing w:after="0"/>
              <w:rPr>
                <w:sz w:val="20"/>
                <w:szCs w:val="20"/>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24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(1,042)</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579" w:right="239" w:bottom="1440" w:gutter="0" w:footer="0" w:header="0"/>
        </w:sectPr>
      </w:pPr>
    </w:p>
    <w:bookmarkStart w:id="56" w:name="page57"/>
    <w:bookmarkEnd w:id="56"/>
    <w:p>
      <w:pPr>
        <w:spacing w:after="0"/>
        <w:rPr>
          <w:sz w:val="20"/>
          <w:szCs w:val="20"/>
          <w:color w:val="auto"/>
        </w:rPr>
      </w:pPr>
      <w:r>
        <w:rPr>
          <w:rFonts w:ascii="Arial" w:cs="Arial" w:eastAsia="Arial" w:hAnsi="Arial"/>
          <w:sz w:val="16"/>
          <w:szCs w:val="16"/>
          <w:color w:val="auto"/>
        </w:rPr>
        <w:t>The following table sets forth a reconciliation of net loss attributable to shareholders to Adjusted EBITDA for Ports and Terminals for the three months ended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March 31, 2017 and March 31, 2016:</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60" w:type="dxa"/>
            <w:vAlign w:val="bottom"/>
            <w:gridSpan w:val="5"/>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04"/>
        </w:trPr>
        <w:tc>
          <w:tcPr>
            <w:tcW w:w="64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March 31,</w:t>
            </w:r>
          </w:p>
        </w:tc>
        <w:tc>
          <w:tcPr>
            <w:tcW w:w="1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ind w:right="448"/>
              <w:spacing w:after="0"/>
              <w:rPr>
                <w:sz w:val="20"/>
                <w:szCs w:val="20"/>
                <w:color w:val="auto"/>
              </w:rPr>
            </w:pPr>
            <w:r>
              <w:rPr>
                <w:rFonts w:ascii="Arial" w:cs="Arial" w:eastAsia="Arial" w:hAnsi="Arial"/>
                <w:sz w:val="14"/>
                <w:szCs w:val="14"/>
                <w:b w:val="1"/>
                <w:bCs w:val="1"/>
                <w:color w:val="auto"/>
              </w:rPr>
              <w:t>Change</w:t>
            </w:r>
          </w:p>
        </w:tc>
      </w:tr>
      <w:tr>
        <w:trPr>
          <w:trHeight w:val="260"/>
        </w:trPr>
        <w:tc>
          <w:tcPr>
            <w:tcW w:w="640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r>
      <w:tr>
        <w:trPr>
          <w:trHeight w:val="253"/>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38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(1,045)</w:t>
            </w:r>
          </w:p>
        </w:tc>
        <w:tc>
          <w:tcPr>
            <w:tcW w:w="120" w:type="dxa"/>
            <w:vAlign w:val="bottom"/>
          </w:tcPr>
          <w:p>
            <w:pPr>
              <w:spacing w:after="0"/>
              <w:rPr>
                <w:sz w:val="22"/>
                <w:szCs w:val="22"/>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b w:val="1"/>
                <w:bCs w:val="1"/>
                <w:color w:val="auto"/>
              </w:rPr>
              <w:t>$</w:t>
            </w:r>
          </w:p>
        </w:tc>
        <w:tc>
          <w:tcPr>
            <w:tcW w:w="1240" w:type="dxa"/>
            <w:vAlign w:val="bottom"/>
            <w:gridSpan w:val="2"/>
          </w:tcPr>
          <w:p>
            <w:pPr>
              <w:ind w:left="88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(1,045)</w:t>
            </w:r>
          </w:p>
        </w:tc>
      </w:tr>
      <w:tr>
        <w:trPr>
          <w:trHeight w:val="27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Provision for income taxes</w:t>
            </w: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w:t>
            </w:r>
          </w:p>
        </w:tc>
      </w:tr>
      <w:tr>
        <w:trPr>
          <w:trHeight w:val="269"/>
        </w:trPr>
        <w:tc>
          <w:tcPr>
            <w:tcW w:w="6400" w:type="dxa"/>
            <w:vAlign w:val="bottom"/>
          </w:tcPr>
          <w:p>
            <w:pPr>
              <w:ind w:left="40"/>
              <w:spacing w:after="0"/>
              <w:rPr>
                <w:sz w:val="20"/>
                <w:szCs w:val="20"/>
                <w:color w:val="auto"/>
              </w:rPr>
            </w:pPr>
            <w:r>
              <w:rPr>
                <w:rFonts w:ascii="Arial" w:cs="Arial" w:eastAsia="Arial" w:hAnsi="Arial"/>
                <w:sz w:val="14"/>
                <w:szCs w:val="14"/>
                <w:color w:val="auto"/>
              </w:rPr>
              <w:t>Add: Equity-based compensation expense</w:t>
            </w:r>
          </w:p>
        </w:tc>
        <w:tc>
          <w:tcPr>
            <w:tcW w:w="380" w:type="dxa"/>
            <w:vAlign w:val="bottom"/>
          </w:tcPr>
          <w:p>
            <w:pPr>
              <w:spacing w:after="0"/>
              <w:rPr>
                <w:sz w:val="23"/>
                <w:szCs w:val="23"/>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23"/>
                <w:szCs w:val="23"/>
                <w:color w:val="auto"/>
              </w:rPr>
            </w:pPr>
          </w:p>
        </w:tc>
        <w:tc>
          <w:tcPr>
            <w:tcW w:w="1240" w:type="dxa"/>
            <w:vAlign w:val="bottom"/>
            <w:gridSpan w:val="2"/>
          </w:tcPr>
          <w:p>
            <w:pPr>
              <w:ind w:left="88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r>
      <w:tr>
        <w:trPr>
          <w:trHeight w:val="27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38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r>
      <w:tr>
        <w:trPr>
          <w:trHeight w:val="269"/>
        </w:trPr>
        <w:tc>
          <w:tcPr>
            <w:tcW w:w="6400" w:type="dxa"/>
            <w:vAlign w:val="bottom"/>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380" w:type="dxa"/>
            <w:vAlign w:val="bottom"/>
          </w:tcPr>
          <w:p>
            <w:pPr>
              <w:spacing w:after="0"/>
              <w:rPr>
                <w:sz w:val="23"/>
                <w:szCs w:val="23"/>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23"/>
                <w:szCs w:val="23"/>
                <w:color w:val="auto"/>
              </w:rPr>
            </w:pPr>
          </w:p>
        </w:tc>
        <w:tc>
          <w:tcPr>
            <w:tcW w:w="1240" w:type="dxa"/>
            <w:vAlign w:val="bottom"/>
            <w:gridSpan w:val="2"/>
          </w:tcPr>
          <w:p>
            <w:pPr>
              <w:ind w:left="88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r>
      <w:tr>
        <w:trPr>
          <w:trHeight w:val="27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38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r>
      <w:tr>
        <w:trPr>
          <w:trHeight w:val="269"/>
        </w:trPr>
        <w:tc>
          <w:tcPr>
            <w:tcW w:w="6400" w:type="dxa"/>
            <w:vAlign w:val="bottom"/>
          </w:tcPr>
          <w:p>
            <w:pPr>
              <w:ind w:left="40"/>
              <w:spacing w:after="0"/>
              <w:rPr>
                <w:sz w:val="20"/>
                <w:szCs w:val="20"/>
                <w:color w:val="auto"/>
              </w:rPr>
            </w:pPr>
            <w:r>
              <w:rPr>
                <w:rFonts w:ascii="Arial" w:cs="Arial" w:eastAsia="Arial" w:hAnsi="Arial"/>
                <w:sz w:val="14"/>
                <w:szCs w:val="14"/>
                <w:color w:val="auto"/>
              </w:rPr>
              <w:t>Add: Asset impairment charges</w:t>
            </w:r>
          </w:p>
        </w:tc>
        <w:tc>
          <w:tcPr>
            <w:tcW w:w="380" w:type="dxa"/>
            <w:vAlign w:val="bottom"/>
          </w:tcPr>
          <w:p>
            <w:pPr>
              <w:spacing w:after="0"/>
              <w:rPr>
                <w:sz w:val="23"/>
                <w:szCs w:val="23"/>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23"/>
                <w:szCs w:val="23"/>
                <w:color w:val="auto"/>
              </w:rPr>
            </w:pPr>
          </w:p>
        </w:tc>
        <w:tc>
          <w:tcPr>
            <w:tcW w:w="1240" w:type="dxa"/>
            <w:vAlign w:val="bottom"/>
            <w:gridSpan w:val="2"/>
          </w:tcPr>
          <w:p>
            <w:pPr>
              <w:ind w:left="88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r>
      <w:tr>
        <w:trPr>
          <w:trHeight w:val="27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Incentive allocations</w:t>
            </w:r>
          </w:p>
        </w:tc>
        <w:tc>
          <w:tcPr>
            <w:tcW w:w="38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r>
      <w:tr>
        <w:trPr>
          <w:trHeight w:val="269"/>
        </w:trPr>
        <w:tc>
          <w:tcPr>
            <w:tcW w:w="6400" w:type="dxa"/>
            <w:vAlign w:val="bottom"/>
          </w:tcPr>
          <w:p>
            <w:pPr>
              <w:ind w:left="40"/>
              <w:spacing w:after="0"/>
              <w:rPr>
                <w:sz w:val="20"/>
                <w:szCs w:val="20"/>
                <w:color w:val="auto"/>
              </w:rPr>
            </w:pPr>
            <w:r>
              <w:rPr>
                <w:rFonts w:ascii="Arial" w:cs="Arial" w:eastAsia="Arial" w:hAnsi="Arial"/>
                <w:sz w:val="14"/>
                <w:szCs w:val="14"/>
                <w:color w:val="auto"/>
              </w:rPr>
              <w:t>Add: Depreciation and amortization expense</w:t>
            </w:r>
          </w:p>
        </w:tc>
        <w:tc>
          <w:tcPr>
            <w:tcW w:w="380" w:type="dxa"/>
            <w:vAlign w:val="bottom"/>
          </w:tcPr>
          <w:p>
            <w:pPr>
              <w:spacing w:after="0"/>
              <w:rPr>
                <w:sz w:val="23"/>
                <w:szCs w:val="23"/>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40" w:type="dxa"/>
            <w:vAlign w:val="bottom"/>
            <w:gridSpan w:val="2"/>
          </w:tcPr>
          <w:p>
            <w:pPr>
              <w:ind w:left="88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b w:val="1"/>
                <w:bCs w:val="1"/>
                <w:color w:val="auto"/>
              </w:rPr>
              <w:t>4</w:t>
            </w:r>
          </w:p>
        </w:tc>
      </w:tr>
      <w:tr>
        <w:trPr>
          <w:trHeight w:val="27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Interest expense</w:t>
            </w: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274</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274</w:t>
            </w:r>
          </w:p>
        </w:tc>
      </w:tr>
      <w:tr>
        <w:trPr>
          <w:trHeight w:val="269"/>
        </w:trPr>
        <w:tc>
          <w:tcPr>
            <w:tcW w:w="6400" w:type="dxa"/>
            <w:vAlign w:val="bottom"/>
          </w:tcPr>
          <w:p>
            <w:pPr>
              <w:ind w:left="40"/>
              <w:spacing w:after="0"/>
              <w:rPr>
                <w:sz w:val="20"/>
                <w:szCs w:val="20"/>
                <w:color w:val="auto"/>
              </w:rPr>
            </w:pPr>
            <w:r>
              <w:rPr>
                <w:rFonts w:ascii="Arial" w:cs="Arial" w:eastAsia="Arial" w:hAnsi="Arial"/>
                <w:sz w:val="14"/>
                <w:szCs w:val="14"/>
                <w:color w:val="auto"/>
              </w:rPr>
              <w:t>Add: Pro-rata share of Adjusted EBITDA from unconsolidated entities</w:t>
            </w:r>
          </w:p>
        </w:tc>
        <w:tc>
          <w:tcPr>
            <w:tcW w:w="380" w:type="dxa"/>
            <w:vAlign w:val="bottom"/>
          </w:tcPr>
          <w:p>
            <w:pPr>
              <w:spacing w:after="0"/>
              <w:rPr>
                <w:sz w:val="23"/>
                <w:szCs w:val="23"/>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23"/>
                <w:szCs w:val="23"/>
                <w:color w:val="auto"/>
              </w:rPr>
            </w:pPr>
          </w:p>
        </w:tc>
        <w:tc>
          <w:tcPr>
            <w:tcW w:w="1240" w:type="dxa"/>
            <w:vAlign w:val="bottom"/>
            <w:gridSpan w:val="2"/>
          </w:tcPr>
          <w:p>
            <w:pPr>
              <w:ind w:left="88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r>
      <w:tr>
        <w:trPr>
          <w:trHeight w:val="27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38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r>
      <w:tr>
        <w:trPr>
          <w:trHeight w:val="270"/>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7"/>
                <w:szCs w:val="17"/>
                <w:color w:val="auto"/>
                <w:vertAlign w:val="superscript"/>
              </w:rPr>
              <w:t>(1)</w:t>
            </w:r>
          </w:p>
        </w:tc>
        <w:tc>
          <w:tcPr>
            <w:tcW w:w="3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(27)</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w:t>
            </w:r>
          </w:p>
        </w:tc>
      </w:tr>
      <w:tr>
        <w:trPr>
          <w:trHeight w:val="237"/>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Adjusted EBITDA</w:t>
            </w:r>
          </w:p>
        </w:tc>
        <w:tc>
          <w:tcPr>
            <w:tcW w:w="38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(791)</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b w:val="1"/>
                <w:bCs w:val="1"/>
                <w:color w:val="auto"/>
              </w:rPr>
              <w:t>$</w:t>
            </w: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(791)</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23" w:lineRule="exact"/>
        <w:rPr>
          <w:sz w:val="20"/>
          <w:szCs w:val="20"/>
          <w:color w:val="auto"/>
        </w:rPr>
      </w:pPr>
    </w:p>
    <w:p>
      <w:pPr>
        <w:ind w:left="500" w:hanging="492"/>
        <w:spacing w:after="0" w:line="224" w:lineRule="auto"/>
        <w:tabs>
          <w:tab w:leader="none" w:pos="169"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Non-controlling share of Adjusted EBITDA is comprised of the following items for the three months ended March 31, 2017 and March 31, 2016: (i) interest expense of $27 and $0, respectively.</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For the period ended March 31, 2017, we had $16 of lease income as a result of an existing lease agreement acquired with the purchase of Repauno.</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1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Total expenses were $1,172 for the three months ended March 31, 2017. Expense primarily consisted of higher (i) operating expenses of $894, (ii) depreciation expense of $4, and (iii) interest expense of $274 related to the payment obligation to the non-controlling interest as part of the Repauno purchase.</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Net Loss</w:t>
      </w:r>
    </w:p>
    <w:p>
      <w:pPr>
        <w:spacing w:after="0" w:line="113"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Adjusted Net Loss was $1,042 for the three months ended March 31, 2017. In addition to the changes in net loss attributable to shareholders noted above, Adjusted Net Loss was adjusted by the provision for income tax of $3 for the three months ended March 31, 2017.</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1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Adjusted EBITDA was $(791) for the three months ended March 31, 2017. In addition to the changes in net loss attributable to shareholders noted above, Adjusted EBITDA was affected by depreciation expense of $4, as well as interest expense of $274 as a result of interest expense related to the obligation payable to the non-controlling interest as part of the Repauno purchase.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473" w:right="239" w:bottom="1440" w:gutter="0" w:footer="0" w:header="0"/>
        </w:sectPr>
      </w:pPr>
    </w:p>
    <w:bookmarkStart w:id="57" w:name="page58"/>
    <w:bookmarkEnd w:id="57"/>
    <w:p>
      <w:pPr>
        <w:spacing w:after="0"/>
        <w:rPr>
          <w:sz w:val="20"/>
          <w:szCs w:val="20"/>
          <w:color w:val="auto"/>
        </w:rPr>
      </w:pPr>
      <w:r>
        <w:rPr>
          <w:rFonts w:ascii="Arial" w:cs="Arial" w:eastAsia="Arial" w:hAnsi="Arial"/>
          <w:sz w:val="16"/>
          <w:szCs w:val="16"/>
          <w:b w:val="1"/>
          <w:bCs w:val="1"/>
          <w:color w:val="00497F"/>
        </w:rPr>
        <w:t>Corporate</w:t>
      </w:r>
    </w:p>
    <w:p>
      <w:pPr>
        <w:spacing w:after="0" w:line="129" w:lineRule="exact"/>
        <w:rPr>
          <w:sz w:val="20"/>
          <w:szCs w:val="20"/>
          <w:color w:val="auto"/>
        </w:rPr>
      </w:pPr>
    </w:p>
    <w:p>
      <w:pPr>
        <w:ind w:right="60"/>
        <w:spacing w:after="0" w:line="327" w:lineRule="auto"/>
        <w:rPr>
          <w:sz w:val="20"/>
          <w:szCs w:val="20"/>
          <w:color w:val="auto"/>
        </w:rPr>
      </w:pPr>
      <w:r>
        <w:rPr>
          <w:rFonts w:ascii="Arial" w:cs="Arial" w:eastAsia="Arial" w:hAnsi="Arial"/>
          <w:sz w:val="16"/>
          <w:szCs w:val="16"/>
          <w:color w:val="auto"/>
        </w:rPr>
        <w:t>The following table presents our results of operations and reconciliation of net loss attributable to shareholders to Adjusted Net Loss for Corporate for the three months ended March 31, 2017 and March 31, 2016:</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60" w:type="dxa"/>
            <w:vAlign w:val="bottom"/>
            <w:gridSpan w:val="5"/>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4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March 31,</w:t>
            </w:r>
          </w:p>
        </w:tc>
        <w:tc>
          <w:tcPr>
            <w:tcW w:w="1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ind w:right="44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6"/>
        </w:trPr>
        <w:tc>
          <w:tcPr>
            <w:tcW w:w="640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380" w:type="dxa"/>
            <w:vAlign w:val="bottom"/>
          </w:tcPr>
          <w:p>
            <w:pPr>
              <w:spacing w:after="0"/>
              <w:rPr>
                <w:sz w:val="20"/>
                <w:szCs w:val="20"/>
                <w:color w:val="auto"/>
              </w:rPr>
            </w:pPr>
          </w:p>
        </w:tc>
        <w:tc>
          <w:tcPr>
            <w:tcW w:w="1260" w:type="dxa"/>
            <w:vAlign w:val="bottom"/>
          </w:tcPr>
          <w:p>
            <w:pPr>
              <w:jc w:val="right"/>
              <w:ind w:right="58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ind w:right="568"/>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64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Expenses</w:t>
            </w: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400" w:type="dxa"/>
            <w:vAlign w:val="bottom"/>
            <w:vMerge w:val="continue"/>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38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6400" w:type="dxa"/>
            <w:vAlign w:val="bottom"/>
          </w:tcPr>
          <w:p>
            <w:pPr>
              <w:ind w:left="40"/>
              <w:spacing w:after="0"/>
              <w:rPr>
                <w:sz w:val="20"/>
                <w:szCs w:val="20"/>
                <w:color w:val="auto"/>
              </w:rPr>
            </w:pPr>
            <w:r>
              <w:rPr>
                <w:rFonts w:ascii="Arial" w:cs="Arial" w:eastAsia="Arial" w:hAnsi="Arial"/>
                <w:sz w:val="14"/>
                <w:szCs w:val="14"/>
                <w:color w:val="auto"/>
              </w:rPr>
              <w:t>General and administrative</w:t>
            </w:r>
          </w:p>
        </w:tc>
        <w:tc>
          <w:tcPr>
            <w:tcW w:w="380" w:type="dxa"/>
            <w:vAlign w:val="bottom"/>
          </w:tcPr>
          <w:p>
            <w:pPr>
              <w:spacing w:after="0"/>
              <w:rPr>
                <w:sz w:val="23"/>
                <w:szCs w:val="23"/>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b w:val="1"/>
                <w:bCs w:val="1"/>
                <w:color w:val="auto"/>
              </w:rPr>
              <w:t>3,835</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2,588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1,247</w:t>
            </w:r>
          </w:p>
        </w:tc>
        <w:tc>
          <w:tcPr>
            <w:tcW w:w="0" w:type="dxa"/>
            <w:vAlign w:val="bottom"/>
          </w:tcPr>
          <w:p>
            <w:pPr>
              <w:spacing w:after="0"/>
              <w:rPr>
                <w:sz w:val="1"/>
                <w:szCs w:val="1"/>
                <w:color w:val="auto"/>
              </w:rPr>
            </w:pPr>
          </w:p>
        </w:tc>
      </w:tr>
      <w:tr>
        <w:trPr>
          <w:trHeight w:val="27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 and transaction expenses</w:t>
            </w: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1,237</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269"/>
        </w:trPr>
        <w:tc>
          <w:tcPr>
            <w:tcW w:w="6400" w:type="dxa"/>
            <w:vAlign w:val="bottom"/>
          </w:tcPr>
          <w:p>
            <w:pPr>
              <w:ind w:left="40"/>
              <w:spacing w:after="0"/>
              <w:rPr>
                <w:sz w:val="20"/>
                <w:szCs w:val="20"/>
                <w:color w:val="auto"/>
              </w:rPr>
            </w:pPr>
            <w:r>
              <w:rPr>
                <w:rFonts w:ascii="Arial" w:cs="Arial" w:eastAsia="Arial" w:hAnsi="Arial"/>
                <w:sz w:val="14"/>
                <w:szCs w:val="14"/>
                <w:color w:val="auto"/>
              </w:rPr>
              <w:t>Management fees and incentive allocation to affiliate</w:t>
            </w:r>
          </w:p>
        </w:tc>
        <w:tc>
          <w:tcPr>
            <w:tcW w:w="380" w:type="dxa"/>
            <w:vAlign w:val="bottom"/>
          </w:tcPr>
          <w:p>
            <w:pPr>
              <w:spacing w:after="0"/>
              <w:rPr>
                <w:sz w:val="23"/>
                <w:szCs w:val="23"/>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b w:val="1"/>
                <w:bCs w:val="1"/>
                <w:color w:val="auto"/>
              </w:rPr>
              <w:t>3,893</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4,348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(455)</w:t>
            </w:r>
          </w:p>
        </w:tc>
        <w:tc>
          <w:tcPr>
            <w:tcW w:w="0" w:type="dxa"/>
            <w:vAlign w:val="bottom"/>
          </w:tcPr>
          <w:p>
            <w:pPr>
              <w:spacing w:after="0"/>
              <w:rPr>
                <w:sz w:val="1"/>
                <w:szCs w:val="1"/>
                <w:color w:val="auto"/>
              </w:rPr>
            </w:pPr>
          </w:p>
        </w:tc>
      </w:tr>
      <w:tr>
        <w:trPr>
          <w:trHeight w:val="27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38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640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380" w:type="dxa"/>
            <w:vAlign w:val="bottom"/>
          </w:tcPr>
          <w:p>
            <w:pPr>
              <w:spacing w:after="0"/>
              <w:rPr>
                <w:sz w:val="23"/>
                <w:szCs w:val="23"/>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b w:val="1"/>
                <w:bCs w:val="1"/>
                <w:color w:val="auto"/>
              </w:rPr>
              <w:t>1,860</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1,860</w:t>
            </w:r>
          </w:p>
        </w:tc>
        <w:tc>
          <w:tcPr>
            <w:tcW w:w="0" w:type="dxa"/>
            <w:vAlign w:val="bottom"/>
          </w:tcPr>
          <w:p>
            <w:pPr>
              <w:spacing w:after="0"/>
              <w:rPr>
                <w:sz w:val="1"/>
                <w:szCs w:val="1"/>
                <w:color w:val="auto"/>
              </w:rPr>
            </w:pPr>
          </w:p>
        </w:tc>
      </w:tr>
      <w:tr>
        <w:trPr>
          <w:trHeight w:val="250"/>
        </w:trPr>
        <w:tc>
          <w:tcPr>
            <w:tcW w:w="64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expenses</w:t>
            </w: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10,825</w:t>
            </w:r>
          </w:p>
        </w:tc>
        <w:tc>
          <w:tcPr>
            <w:tcW w:w="12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7,995</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2,830</w:t>
            </w:r>
          </w:p>
        </w:tc>
        <w:tc>
          <w:tcPr>
            <w:tcW w:w="0" w:type="dxa"/>
            <w:vAlign w:val="bottom"/>
          </w:tcPr>
          <w:p>
            <w:pPr>
              <w:spacing w:after="0"/>
              <w:rPr>
                <w:sz w:val="1"/>
                <w:szCs w:val="1"/>
                <w:color w:val="auto"/>
              </w:rPr>
            </w:pPr>
          </w:p>
        </w:tc>
      </w:tr>
      <w:tr>
        <w:trPr>
          <w:trHeight w:val="292"/>
        </w:trPr>
        <w:tc>
          <w:tcPr>
            <w:tcW w:w="6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expense</w:t>
            </w: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Loss on extinguishment of debt</w:t>
            </w:r>
          </w:p>
        </w:tc>
        <w:tc>
          <w:tcPr>
            <w:tcW w:w="3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(2,456)</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(2,456)</w:t>
            </w:r>
          </w:p>
        </w:tc>
        <w:tc>
          <w:tcPr>
            <w:tcW w:w="0" w:type="dxa"/>
            <w:vAlign w:val="bottom"/>
          </w:tcPr>
          <w:p>
            <w:pPr>
              <w:spacing w:after="0"/>
              <w:rPr>
                <w:sz w:val="1"/>
                <w:szCs w:val="1"/>
                <w:color w:val="auto"/>
              </w:rPr>
            </w:pPr>
          </w:p>
        </w:tc>
      </w:tr>
      <w:tr>
        <w:trPr>
          <w:trHeight w:val="25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other expense</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(2,456)</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(2,456)</w:t>
            </w:r>
          </w:p>
        </w:tc>
        <w:tc>
          <w:tcPr>
            <w:tcW w:w="0" w:type="dxa"/>
            <w:vAlign w:val="bottom"/>
          </w:tcPr>
          <w:p>
            <w:pPr>
              <w:spacing w:after="0"/>
              <w:rPr>
                <w:sz w:val="1"/>
                <w:szCs w:val="1"/>
                <w:color w:val="auto"/>
              </w:rPr>
            </w:pPr>
          </w:p>
        </w:tc>
      </w:tr>
      <w:tr>
        <w:trPr>
          <w:trHeight w:val="250"/>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Loss before income taxes</w:t>
            </w:r>
          </w:p>
        </w:tc>
        <w:tc>
          <w:tcPr>
            <w:tcW w:w="38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(13,281)</w:t>
            </w:r>
          </w:p>
        </w:tc>
        <w:tc>
          <w:tcPr>
            <w:tcW w:w="12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(7,995)</w:t>
            </w: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(5,286)</w:t>
            </w:r>
          </w:p>
        </w:tc>
        <w:tc>
          <w:tcPr>
            <w:tcW w:w="0" w:type="dxa"/>
            <w:vAlign w:val="bottom"/>
          </w:tcPr>
          <w:p>
            <w:pPr>
              <w:spacing w:after="0"/>
              <w:rPr>
                <w:sz w:val="1"/>
                <w:szCs w:val="1"/>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 for income taxes</w:t>
            </w:r>
          </w:p>
        </w:tc>
        <w:tc>
          <w:tcPr>
            <w:tcW w:w="38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loss</w:t>
            </w:r>
          </w:p>
        </w:tc>
        <w:tc>
          <w:tcPr>
            <w:tcW w:w="38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(13,281)</w:t>
            </w:r>
          </w:p>
        </w:tc>
        <w:tc>
          <w:tcPr>
            <w:tcW w:w="12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(7,995)</w:t>
            </w: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(5,286)</w:t>
            </w:r>
          </w:p>
        </w:tc>
        <w:tc>
          <w:tcPr>
            <w:tcW w:w="0" w:type="dxa"/>
            <w:vAlign w:val="bottom"/>
          </w:tcPr>
          <w:p>
            <w:pPr>
              <w:spacing w:after="0"/>
              <w:rPr>
                <w:sz w:val="1"/>
                <w:szCs w:val="1"/>
                <w:color w:val="auto"/>
              </w:rPr>
            </w:pPr>
          </w:p>
        </w:tc>
      </w:tr>
      <w:tr>
        <w:trPr>
          <w:trHeight w:val="25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income attributable to non-controlling interest in consolidated subsidiaries</w:t>
            </w:r>
          </w:p>
        </w:tc>
        <w:tc>
          <w:tcPr>
            <w:tcW w:w="3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38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(13,281)</w:t>
            </w:r>
          </w:p>
        </w:tc>
        <w:tc>
          <w:tcPr>
            <w:tcW w:w="12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(7,993)</w:t>
            </w: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(5,288)</w:t>
            </w:r>
          </w:p>
        </w:tc>
        <w:tc>
          <w:tcPr>
            <w:tcW w:w="0" w:type="dxa"/>
            <w:vAlign w:val="bottom"/>
          </w:tcPr>
          <w:p>
            <w:pPr>
              <w:spacing w:after="0"/>
              <w:rPr>
                <w:sz w:val="1"/>
                <w:szCs w:val="1"/>
                <w:color w:val="auto"/>
              </w:rPr>
            </w:pPr>
          </w:p>
        </w:tc>
      </w:tr>
      <w:tr>
        <w:trPr>
          <w:trHeight w:val="25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Provision for income taxes</w:t>
            </w:r>
          </w:p>
        </w:tc>
        <w:tc>
          <w:tcPr>
            <w:tcW w:w="3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6400" w:type="dxa"/>
            <w:vAlign w:val="bottom"/>
          </w:tcPr>
          <w:p>
            <w:pPr>
              <w:ind w:left="40"/>
              <w:spacing w:after="0"/>
              <w:rPr>
                <w:sz w:val="20"/>
                <w:szCs w:val="20"/>
                <w:color w:val="auto"/>
              </w:rPr>
            </w:pPr>
            <w:r>
              <w:rPr>
                <w:rFonts w:ascii="Arial" w:cs="Arial" w:eastAsia="Arial" w:hAnsi="Arial"/>
                <w:sz w:val="14"/>
                <w:szCs w:val="14"/>
                <w:color w:val="auto"/>
              </w:rPr>
              <w:t>Add: Equity-based compensation expense</w:t>
            </w:r>
          </w:p>
        </w:tc>
        <w:tc>
          <w:tcPr>
            <w:tcW w:w="380" w:type="dxa"/>
            <w:vAlign w:val="bottom"/>
          </w:tcPr>
          <w:p>
            <w:pPr>
              <w:spacing w:after="0"/>
              <w:rPr>
                <w:sz w:val="23"/>
                <w:szCs w:val="23"/>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1,237</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269"/>
        </w:trPr>
        <w:tc>
          <w:tcPr>
            <w:tcW w:w="6400" w:type="dxa"/>
            <w:vAlign w:val="bottom"/>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380" w:type="dxa"/>
            <w:vAlign w:val="bottom"/>
          </w:tcPr>
          <w:p>
            <w:pPr>
              <w:spacing w:after="0"/>
              <w:rPr>
                <w:sz w:val="23"/>
                <w:szCs w:val="23"/>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b w:val="1"/>
                <w:bCs w:val="1"/>
                <w:color w:val="auto"/>
              </w:rPr>
              <w:t>2,456</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2,456</w:t>
            </w:r>
          </w:p>
        </w:tc>
        <w:tc>
          <w:tcPr>
            <w:tcW w:w="0" w:type="dxa"/>
            <w:vAlign w:val="bottom"/>
          </w:tcPr>
          <w:p>
            <w:pPr>
              <w:spacing w:after="0"/>
              <w:rPr>
                <w:sz w:val="1"/>
                <w:szCs w:val="1"/>
                <w:color w:val="auto"/>
              </w:rPr>
            </w:pPr>
          </w:p>
        </w:tc>
      </w:tr>
      <w:tr>
        <w:trPr>
          <w:trHeight w:val="27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38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6400" w:type="dxa"/>
            <w:vAlign w:val="bottom"/>
          </w:tcPr>
          <w:p>
            <w:pPr>
              <w:ind w:left="40"/>
              <w:spacing w:after="0"/>
              <w:rPr>
                <w:sz w:val="20"/>
                <w:szCs w:val="20"/>
                <w:color w:val="auto"/>
              </w:rPr>
            </w:pPr>
            <w:r>
              <w:rPr>
                <w:rFonts w:ascii="Arial" w:cs="Arial" w:eastAsia="Arial" w:hAnsi="Arial"/>
                <w:sz w:val="14"/>
                <w:szCs w:val="14"/>
                <w:color w:val="auto"/>
              </w:rPr>
              <w:t>Add: Asset impairment charges</w:t>
            </w:r>
          </w:p>
        </w:tc>
        <w:tc>
          <w:tcPr>
            <w:tcW w:w="380" w:type="dxa"/>
            <w:vAlign w:val="bottom"/>
          </w:tcPr>
          <w:p>
            <w:pPr>
              <w:spacing w:after="0"/>
              <w:rPr>
                <w:sz w:val="23"/>
                <w:szCs w:val="23"/>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Pro-rata share of Adjusted Net Income from unconsolidated entities</w:t>
            </w:r>
          </w:p>
        </w:tc>
        <w:tc>
          <w:tcPr>
            <w:tcW w:w="38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640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380" w:type="dxa"/>
            <w:vAlign w:val="bottom"/>
          </w:tcPr>
          <w:p>
            <w:pPr>
              <w:spacing w:after="0"/>
              <w:rPr>
                <w:sz w:val="23"/>
                <w:szCs w:val="23"/>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Cash payments for income taxes</w:t>
            </w:r>
          </w:p>
        </w:tc>
        <w:tc>
          <w:tcPr>
            <w:tcW w:w="38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69"/>
        </w:trPr>
        <w:tc>
          <w:tcPr>
            <w:tcW w:w="6400" w:type="dxa"/>
            <w:vAlign w:val="bottom"/>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380" w:type="dxa"/>
            <w:vAlign w:val="bottom"/>
          </w:tcPr>
          <w:p>
            <w:pPr>
              <w:spacing w:after="0"/>
              <w:rPr>
                <w:sz w:val="23"/>
                <w:szCs w:val="23"/>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Non-controlling share of Adjusted Net Income</w:t>
            </w:r>
          </w:p>
        </w:tc>
        <w:tc>
          <w:tcPr>
            <w:tcW w:w="38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8"/>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Adjusted Net Loss</w:t>
            </w:r>
          </w:p>
        </w:tc>
        <w:tc>
          <w:tcPr>
            <w:tcW w:w="38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(9,588)</w:t>
            </w:r>
          </w:p>
        </w:tc>
        <w:tc>
          <w:tcPr>
            <w:tcW w:w="12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(6,938)</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(2,650)</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579" w:right="239" w:bottom="1440" w:gutter="0" w:footer="0" w:header="0"/>
        </w:sectPr>
      </w:pPr>
    </w:p>
    <w:bookmarkStart w:id="58" w:name="page59"/>
    <w:bookmarkEnd w:id="58"/>
    <w:p>
      <w:pPr>
        <w:ind w:right="180"/>
        <w:spacing w:after="0" w:line="291" w:lineRule="auto"/>
        <w:rPr>
          <w:sz w:val="20"/>
          <w:szCs w:val="20"/>
          <w:color w:val="auto"/>
        </w:rPr>
      </w:pPr>
      <w:r>
        <w:rPr>
          <w:rFonts w:ascii="Arial" w:cs="Arial" w:eastAsia="Arial" w:hAnsi="Arial"/>
          <w:sz w:val="16"/>
          <w:szCs w:val="16"/>
          <w:color w:val="auto"/>
        </w:rPr>
        <w:t>The following table sets forth a reconciliation of net loss attributable to shareholders to Adjusted EBITDA for Corporate for the three months ended March 31, 2017 and March 31, 2016:</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60" w:type="dxa"/>
            <w:vAlign w:val="bottom"/>
            <w:gridSpan w:val="5"/>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04"/>
        </w:trPr>
        <w:tc>
          <w:tcPr>
            <w:tcW w:w="64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March 31,</w:t>
            </w:r>
          </w:p>
        </w:tc>
        <w:tc>
          <w:tcPr>
            <w:tcW w:w="1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ind w:right="448"/>
              <w:spacing w:after="0"/>
              <w:rPr>
                <w:sz w:val="20"/>
                <w:szCs w:val="20"/>
                <w:color w:val="auto"/>
              </w:rPr>
            </w:pPr>
            <w:r>
              <w:rPr>
                <w:rFonts w:ascii="Arial" w:cs="Arial" w:eastAsia="Arial" w:hAnsi="Arial"/>
                <w:sz w:val="14"/>
                <w:szCs w:val="14"/>
                <w:b w:val="1"/>
                <w:bCs w:val="1"/>
                <w:color w:val="auto"/>
              </w:rPr>
              <w:t>Change</w:t>
            </w:r>
          </w:p>
        </w:tc>
      </w:tr>
      <w:tr>
        <w:trPr>
          <w:trHeight w:val="260"/>
        </w:trPr>
        <w:tc>
          <w:tcPr>
            <w:tcW w:w="640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r>
      <w:tr>
        <w:trPr>
          <w:trHeight w:val="253"/>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38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(13,281)</w:t>
            </w:r>
          </w:p>
        </w:tc>
        <w:tc>
          <w:tcPr>
            <w:tcW w:w="120" w:type="dxa"/>
            <w:vAlign w:val="bottom"/>
          </w:tcPr>
          <w:p>
            <w:pPr>
              <w:spacing w:after="0"/>
              <w:rPr>
                <w:sz w:val="22"/>
                <w:szCs w:val="22"/>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(7,993)</w:t>
            </w:r>
          </w:p>
        </w:tc>
        <w:tc>
          <w:tcPr>
            <w:tcW w:w="10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(5,288)</w:t>
            </w:r>
          </w:p>
        </w:tc>
      </w:tr>
      <w:tr>
        <w:trPr>
          <w:trHeight w:val="27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Provision for income taxes</w:t>
            </w:r>
          </w:p>
        </w:tc>
        <w:tc>
          <w:tcPr>
            <w:tcW w:w="38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9"/>
        </w:trPr>
        <w:tc>
          <w:tcPr>
            <w:tcW w:w="6400" w:type="dxa"/>
            <w:vAlign w:val="bottom"/>
          </w:tcPr>
          <w:p>
            <w:pPr>
              <w:ind w:left="40"/>
              <w:spacing w:after="0"/>
              <w:rPr>
                <w:sz w:val="20"/>
                <w:szCs w:val="20"/>
                <w:color w:val="auto"/>
              </w:rPr>
            </w:pPr>
            <w:r>
              <w:rPr>
                <w:rFonts w:ascii="Arial" w:cs="Arial" w:eastAsia="Arial" w:hAnsi="Arial"/>
                <w:sz w:val="14"/>
                <w:szCs w:val="14"/>
                <w:color w:val="auto"/>
              </w:rPr>
              <w:t>Add: Equity-based compensation expense</w:t>
            </w:r>
          </w:p>
        </w:tc>
        <w:tc>
          <w:tcPr>
            <w:tcW w:w="380" w:type="dxa"/>
            <w:vAlign w:val="bottom"/>
          </w:tcPr>
          <w:p>
            <w:pPr>
              <w:spacing w:after="0"/>
              <w:rPr>
                <w:sz w:val="23"/>
                <w:szCs w:val="23"/>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1,237</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178</w:t>
            </w:r>
          </w:p>
        </w:tc>
      </w:tr>
      <w:tr>
        <w:trPr>
          <w:trHeight w:val="269"/>
        </w:trPr>
        <w:tc>
          <w:tcPr>
            <w:tcW w:w="6400" w:type="dxa"/>
            <w:vAlign w:val="bottom"/>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 obligations</w:t>
            </w:r>
          </w:p>
        </w:tc>
        <w:tc>
          <w:tcPr>
            <w:tcW w:w="380" w:type="dxa"/>
            <w:vAlign w:val="bottom"/>
          </w:tcPr>
          <w:p>
            <w:pPr>
              <w:spacing w:after="0"/>
              <w:rPr>
                <w:sz w:val="23"/>
                <w:szCs w:val="23"/>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b w:val="1"/>
                <w:bCs w:val="1"/>
                <w:color w:val="auto"/>
              </w:rPr>
              <w:t>2,456</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2,456</w:t>
            </w:r>
          </w:p>
        </w:tc>
      </w:tr>
      <w:tr>
        <w:trPr>
          <w:trHeight w:val="27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38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9"/>
        </w:trPr>
        <w:tc>
          <w:tcPr>
            <w:tcW w:w="6400" w:type="dxa"/>
            <w:vAlign w:val="bottom"/>
          </w:tcPr>
          <w:p>
            <w:pPr>
              <w:ind w:left="40"/>
              <w:spacing w:after="0"/>
              <w:rPr>
                <w:sz w:val="20"/>
                <w:szCs w:val="20"/>
                <w:color w:val="auto"/>
              </w:rPr>
            </w:pPr>
            <w:r>
              <w:rPr>
                <w:rFonts w:ascii="Arial" w:cs="Arial" w:eastAsia="Arial" w:hAnsi="Arial"/>
                <w:sz w:val="14"/>
                <w:szCs w:val="14"/>
                <w:color w:val="auto"/>
              </w:rPr>
              <w:t>Add: Asset impairment charges</w:t>
            </w:r>
          </w:p>
        </w:tc>
        <w:tc>
          <w:tcPr>
            <w:tcW w:w="380" w:type="dxa"/>
            <w:vAlign w:val="bottom"/>
          </w:tcPr>
          <w:p>
            <w:pPr>
              <w:spacing w:after="0"/>
              <w:rPr>
                <w:sz w:val="23"/>
                <w:szCs w:val="23"/>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Incentive allocations</w:t>
            </w:r>
          </w:p>
        </w:tc>
        <w:tc>
          <w:tcPr>
            <w:tcW w:w="38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9"/>
        </w:trPr>
        <w:tc>
          <w:tcPr>
            <w:tcW w:w="6400" w:type="dxa"/>
            <w:vAlign w:val="bottom"/>
          </w:tcPr>
          <w:p>
            <w:pPr>
              <w:ind w:left="40"/>
              <w:spacing w:after="0"/>
              <w:rPr>
                <w:sz w:val="20"/>
                <w:szCs w:val="20"/>
                <w:color w:val="auto"/>
              </w:rPr>
            </w:pPr>
            <w:r>
              <w:rPr>
                <w:rFonts w:ascii="Arial" w:cs="Arial" w:eastAsia="Arial" w:hAnsi="Arial"/>
                <w:sz w:val="14"/>
                <w:szCs w:val="14"/>
                <w:color w:val="auto"/>
              </w:rPr>
              <w:t>Add: Depreciation and amortization expense</w:t>
            </w:r>
          </w:p>
        </w:tc>
        <w:tc>
          <w:tcPr>
            <w:tcW w:w="380" w:type="dxa"/>
            <w:vAlign w:val="bottom"/>
          </w:tcPr>
          <w:p>
            <w:pPr>
              <w:spacing w:after="0"/>
              <w:rPr>
                <w:sz w:val="23"/>
                <w:szCs w:val="23"/>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Interest expense</w:t>
            </w: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1,860</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1,860</w:t>
            </w:r>
          </w:p>
        </w:tc>
      </w:tr>
      <w:tr>
        <w:trPr>
          <w:trHeight w:val="269"/>
        </w:trPr>
        <w:tc>
          <w:tcPr>
            <w:tcW w:w="6400" w:type="dxa"/>
            <w:vAlign w:val="bottom"/>
          </w:tcPr>
          <w:p>
            <w:pPr>
              <w:ind w:left="40"/>
              <w:spacing w:after="0"/>
              <w:rPr>
                <w:sz w:val="20"/>
                <w:szCs w:val="20"/>
                <w:color w:val="auto"/>
              </w:rPr>
            </w:pPr>
            <w:r>
              <w:rPr>
                <w:rFonts w:ascii="Arial" w:cs="Arial" w:eastAsia="Arial" w:hAnsi="Arial"/>
                <w:sz w:val="14"/>
                <w:szCs w:val="14"/>
                <w:color w:val="auto"/>
              </w:rPr>
              <w:t>Add: Pro-rata share of Adjusted EBITDA from unconsolidated entities</w:t>
            </w:r>
          </w:p>
        </w:tc>
        <w:tc>
          <w:tcPr>
            <w:tcW w:w="380" w:type="dxa"/>
            <w:vAlign w:val="bottom"/>
          </w:tcPr>
          <w:p>
            <w:pPr>
              <w:spacing w:after="0"/>
              <w:rPr>
                <w:sz w:val="23"/>
                <w:szCs w:val="23"/>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38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9"/>
        </w:trPr>
        <w:tc>
          <w:tcPr>
            <w:tcW w:w="6400" w:type="dxa"/>
            <w:vAlign w:val="bottom"/>
          </w:tcPr>
          <w:p>
            <w:pPr>
              <w:ind w:left="40"/>
              <w:spacing w:after="0"/>
              <w:rPr>
                <w:sz w:val="20"/>
                <w:szCs w:val="20"/>
                <w:color w:val="auto"/>
              </w:rPr>
            </w:pPr>
            <w:r>
              <w:rPr>
                <w:rFonts w:ascii="Arial" w:cs="Arial" w:eastAsia="Arial" w:hAnsi="Arial"/>
                <w:sz w:val="14"/>
                <w:szCs w:val="14"/>
                <w:color w:val="auto"/>
              </w:rPr>
              <w:t>Less: Non-controlling share of Adjusted EBITDA</w:t>
            </w:r>
          </w:p>
        </w:tc>
        <w:tc>
          <w:tcPr>
            <w:tcW w:w="380" w:type="dxa"/>
            <w:vAlign w:val="bottom"/>
          </w:tcPr>
          <w:p>
            <w:pPr>
              <w:spacing w:after="0"/>
              <w:rPr>
                <w:sz w:val="23"/>
                <w:szCs w:val="23"/>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38"/>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Adjusted EBITDA</w:t>
            </w:r>
          </w:p>
        </w:tc>
        <w:tc>
          <w:tcPr>
            <w:tcW w:w="38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(7,728)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(794)</w:t>
            </w: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Total expenses increased by $2,830 in the three months ended March 31, 2017 as compared to the three months ended March 31, 2016, respectively. For the three months ended March 31, 2017, the increase primarily consists of higher general and administrative expenses of $1,247, including $446 of reimbursement expenses to our manager, $364 of general corporate costs required for a stand-alone public company including insurance and director fees, $452 of professional fees, and interest expense of $1,860 related to the bond offering issued, offset by a decrease in management fees of $455.</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Expenses</w:t>
      </w:r>
    </w:p>
    <w:p>
      <w:pPr>
        <w:spacing w:after="0" w:line="11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Total other expenses increased by $2,456 in the three months ended March 31, 2017 as compared to the three months ended March 31, 2016. The increase is due to a loss on extinguishment of debt.</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Net Loss</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Adjusted Net Loss was $9,588 in the three months ended March 31, 2017, increasing by $2,650, as compared to the three months ended March 31, 2016. In addition to the changes in net loss attributable to shareholders noted above, Adjusted Net Loss was adjusted by acquisition and transaction expenses, incurred for potential acquisition opportunities, and a loss on the extinguishment of debt, which were higher for the three months ended March 31, 2017, as compared to the three months ended March 31, 2016.</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Adjusted EBITDA was $(7,728) in the three months ended March 31, 2017, decreasing by $794 as compared to the three months ended March 31, 2016. In addition to the changes in net loss attributable to shareholders noted above, Adjusted EBITDA was affected by acquisition and transaction expenses, incurred for potential acquisition opportunities, interest expense of $1,860 related to the bond offering, and a loss on extinguishment of debt of $2,456, in the three months ended March 31, 2017 as compared to the three months ended March 31, 2016,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Transactions with Affiliates and Affiliated Entities</w:t>
      </w:r>
    </w:p>
    <w:p>
      <w:pPr>
        <w:spacing w:after="0" w:line="16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We are managed by FIG LLC (the “Manager”), an affiliate of Fortress, pursuant to a management agreement (the “Management Agreement”) which provides for us to bear obligations for management fees and expense reimbursements payable to the Manager. Our Management Agreement requires our Manager to manage our business affairs in conformity with a broad asset acquisition strategy adopted and monitored by our board of directors. From time to time, we may engage (subject to our strategy) in material transactions with our Manager or another entity managed by our Manager or one of its affiliates or other affiliates of Fortress, which may include, but are not limited to, certain financing arrangements, acquisition of assets, acquisition of debt obligations, debt, co-investments, and other assets that present an actual, potential or perceived conflict of interest. Please see Note 13 to our consolidated financial statements included elsewhere in this filing for more information.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473" w:right="239" w:bottom="1440" w:gutter="0" w:footer="0" w:header="0"/>
        </w:sectPr>
      </w:pPr>
    </w:p>
    <w:bookmarkStart w:id="59" w:name="page60"/>
    <w:bookmarkEnd w:id="59"/>
    <w:p>
      <w:pPr>
        <w:spacing w:after="0"/>
        <w:rPr>
          <w:sz w:val="20"/>
          <w:szCs w:val="20"/>
          <w:color w:val="auto"/>
        </w:rPr>
      </w:pPr>
      <w:r>
        <w:rPr>
          <w:rFonts w:ascii="Arial" w:cs="Arial" w:eastAsia="Arial" w:hAnsi="Arial"/>
          <w:sz w:val="16"/>
          <w:szCs w:val="16"/>
          <w:b w:val="1"/>
          <w:bCs w:val="1"/>
          <w:color w:val="00497F"/>
        </w:rPr>
        <w:t>Subsequent Events</w:t>
      </w:r>
    </w:p>
    <w:p>
      <w:pPr>
        <w:spacing w:after="0" w:line="16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May 4, 2017, the Company’s Board of Directors declared a cash dividend on its common shares of $0.33 per share for the quarter ended March 31, 2017, payable on May 26, 2017 to the holders of record on May 18, 2017.</w:t>
      </w: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Liquidity and Capital Resources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Our principal uses of liquidity have been and continue to be (i) acquisitions of transportation infrastructure and equipment, (ii) distributions to our shareholders,</w:t>
      </w:r>
    </w:p>
    <w:p>
      <w:pPr>
        <w:spacing w:after="0" w:line="25" w:lineRule="exact"/>
        <w:rPr>
          <w:sz w:val="20"/>
          <w:szCs w:val="20"/>
          <w:color w:val="auto"/>
        </w:rPr>
      </w:pPr>
    </w:p>
    <w:p>
      <w:pPr>
        <w:ind w:firstLine="8"/>
        <w:spacing w:after="0" w:line="265" w:lineRule="auto"/>
        <w:tabs>
          <w:tab w:leader="none" w:pos="278" w:val="left"/>
        </w:tabs>
        <w:numPr>
          <w:ilvl w:val="0"/>
          <w:numId w:val="23"/>
        </w:numPr>
        <w:rPr>
          <w:rFonts w:ascii="Arial" w:cs="Arial" w:eastAsia="Arial" w:hAnsi="Arial"/>
          <w:sz w:val="16"/>
          <w:szCs w:val="16"/>
          <w:color w:val="auto"/>
        </w:rPr>
      </w:pPr>
      <w:r>
        <w:rPr>
          <w:rFonts w:ascii="Arial" w:cs="Arial" w:eastAsia="Arial" w:hAnsi="Arial"/>
          <w:sz w:val="16"/>
          <w:szCs w:val="16"/>
          <w:color w:val="auto"/>
        </w:rPr>
        <w:t>expenses associated with our operating activities and (iv) debt service obligations associated with our investments (all dollar amounts are expressed in thousands).</w:t>
      </w:r>
    </w:p>
    <w:p>
      <w:pPr>
        <w:spacing w:after="0" w:line="113" w:lineRule="exact"/>
        <w:rPr>
          <w:rFonts w:ascii="Arial" w:cs="Arial" w:eastAsia="Arial" w:hAnsi="Arial"/>
          <w:sz w:val="16"/>
          <w:szCs w:val="16"/>
          <w:color w:val="auto"/>
        </w:rPr>
      </w:pPr>
    </w:p>
    <w:p>
      <w:pPr>
        <w:ind w:left="660" w:hanging="328"/>
        <w:spacing w:after="0"/>
        <w:tabs>
          <w:tab w:leader="none" w:pos="6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In the three months ended March 31, 2017 and 2016, cash used for the purpose of making investments was $98,265, and $39,622, respectively.</w:t>
      </w:r>
    </w:p>
    <w:p>
      <w:pPr>
        <w:spacing w:after="0" w:line="167" w:lineRule="exact"/>
        <w:rPr>
          <w:rFonts w:ascii="Arial" w:cs="Arial" w:eastAsia="Arial" w:hAnsi="Arial"/>
          <w:sz w:val="16"/>
          <w:szCs w:val="16"/>
          <w:color w:val="auto"/>
        </w:rPr>
      </w:pPr>
    </w:p>
    <w:p>
      <w:pPr>
        <w:ind w:left="660" w:hanging="328"/>
        <w:spacing w:after="0" w:line="291" w:lineRule="auto"/>
        <w:tabs>
          <w:tab w:leader="none" w:pos="6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In three months ended March 31, 2017 and 2016, distributions to shareholders were $25,013 and $24,177 respectively, and no distributions were made to non-controlling interests.</w:t>
      </w:r>
    </w:p>
    <w:p>
      <w:pPr>
        <w:spacing w:after="0" w:line="94" w:lineRule="exact"/>
        <w:rPr>
          <w:rFonts w:ascii="Arial" w:cs="Arial" w:eastAsia="Arial" w:hAnsi="Arial"/>
          <w:sz w:val="16"/>
          <w:szCs w:val="16"/>
          <w:color w:val="auto"/>
        </w:rPr>
      </w:pPr>
    </w:p>
    <w:p>
      <w:pPr>
        <w:ind w:left="660" w:hanging="328"/>
        <w:spacing w:after="0" w:line="291" w:lineRule="auto"/>
        <w:tabs>
          <w:tab w:leader="none" w:pos="6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Uses of liquidity associated with our operating expenses are captured on a net basis in our cash flows from operating activities. Uses of liquidity associated with our debt obligations are captured in our cash flows from financing activities.</w:t>
      </w:r>
    </w:p>
    <w:p>
      <w:pPr>
        <w:spacing w:after="0" w:line="94"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Our principal sources of liquidity to fund these uses have been and continue to be (i) revenues from our transportation infrastructure and equipment assets (including finance lease collections and maintenance reserve collections) net of operating expenses, (ii) proceeds from borrowings or the issuance of debt securities, (iii) distributions received from unconsolidated investees, (iv) proceeds from asset sales and (v) proceeds from the issuance of common shares.</w:t>
      </w:r>
    </w:p>
    <w:p>
      <w:pPr>
        <w:spacing w:after="0" w:line="111" w:lineRule="exact"/>
        <w:rPr>
          <w:sz w:val="20"/>
          <w:szCs w:val="20"/>
          <w:color w:val="auto"/>
        </w:rPr>
      </w:pPr>
    </w:p>
    <w:p>
      <w:pPr>
        <w:ind w:left="660" w:hanging="328"/>
        <w:spacing w:after="0" w:line="291"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During the three months ended March 31, 2017 and 2016, cash flows from operating activities, plus the principal collections on finance leases and maintenance reserve collections were $22,214 and $1,476, respectively.</w:t>
      </w:r>
    </w:p>
    <w:p>
      <w:pPr>
        <w:spacing w:after="0" w:line="94" w:lineRule="exact"/>
        <w:rPr>
          <w:rFonts w:ascii="Arial" w:cs="Arial" w:eastAsia="Arial" w:hAnsi="Arial"/>
          <w:sz w:val="16"/>
          <w:szCs w:val="16"/>
          <w:color w:val="auto"/>
        </w:rPr>
      </w:pPr>
    </w:p>
    <w:p>
      <w:pPr>
        <w:jc w:val="both"/>
        <w:ind w:left="660" w:hanging="328"/>
        <w:spacing w:after="0" w:line="257"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During the three months ended March 31, 2017, additional borrowings were obtained in connection with the Term Loan of $97,163, net of deferred financing costs and the Senior Notes of $137,248, net of deferred financing costs and repayment of the Term Loan. We made total principal repayments of $1,562, primarily relating to the FTAI Pride Credit Agreement. During three months ended March 31, 2016, additional borrowings of were obtained in connection with the Series 2016 Bonds of $99,858 and the CMQR Credit Agreement of $3,300. We made total principal repayments of $146,410 primarily related to the termination of the Jefferson Terminal Credit Agreement, Container Loan #1 and Container Loan #2.</w:t>
      </w:r>
    </w:p>
    <w:p>
      <w:pPr>
        <w:spacing w:after="0" w:line="122" w:lineRule="exact"/>
        <w:rPr>
          <w:rFonts w:ascii="Arial" w:cs="Arial" w:eastAsia="Arial" w:hAnsi="Arial"/>
          <w:sz w:val="16"/>
          <w:szCs w:val="16"/>
          <w:color w:val="auto"/>
        </w:rPr>
      </w:pPr>
    </w:p>
    <w:p>
      <w:pPr>
        <w:ind w:left="660" w:hanging="328"/>
        <w:spacing w:after="0" w:line="291"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During the three months ended March 31, 2017 and 2016, we received $0 and $431 in cash distributions from our unconsolidated investees, respectively, of which $0, and $30 was included in cash flows from operating activities, respectively.</w:t>
      </w:r>
    </w:p>
    <w:p>
      <w:pPr>
        <w:spacing w:after="0" w:line="94" w:lineRule="exact"/>
        <w:rPr>
          <w:rFonts w:ascii="Arial" w:cs="Arial" w:eastAsia="Arial" w:hAnsi="Arial"/>
          <w:sz w:val="16"/>
          <w:szCs w:val="16"/>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During the three months ended March 31, 2017 and 2016, proceeds from the sale of assets were $9,886 and $75,428, respectively.</w:t>
      </w:r>
    </w:p>
    <w:p>
      <w:pPr>
        <w:spacing w:after="0" w:line="167" w:lineRule="exact"/>
        <w:rPr>
          <w:rFonts w:ascii="Arial" w:cs="Arial" w:eastAsia="Arial" w:hAnsi="Arial"/>
          <w:sz w:val="16"/>
          <w:szCs w:val="16"/>
          <w:color w:val="auto"/>
        </w:rPr>
      </w:pPr>
    </w:p>
    <w:p>
      <w:pPr>
        <w:ind w:left="660" w:hanging="328"/>
        <w:spacing w:after="0" w:line="291"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During the three months ended March 31, 2017 and 2016, there were no capital contributions from shareholders and capital contributions from non-controlling interests were $0 and $6,420, respectively.</w:t>
      </w:r>
    </w:p>
    <w:p>
      <w:pPr>
        <w:spacing w:after="0" w:line="94"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Our net cash provided by operating activities has been less than the amount of distributions to our shareholders. Our board of directors takes this and other factors into account as part of any decision to pay a dividend, and the timing and amount of any future dividend is subject to change at the discretion of our board of directors.</w:t>
      </w:r>
    </w:p>
    <w:p>
      <w:pPr>
        <w:spacing w:after="0" w:line="11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Company is currently evaluating several potential Infrastructure and Equipment Leasing transactions, which could occur within the next 12 months. However, as of the date of this filing, none of these pipeline transactions or negotiations are definitive or included within the planned liquidity needs of the Company. We cannot assure you if or when any such transaction will be consummated or the terms of any such transaction.</w:t>
      </w:r>
    </w:p>
    <w:p>
      <w:pPr>
        <w:spacing w:after="0" w:line="11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On May 3, 2016, the Company’s Board of Directors also authorized the repurchase of up to $50 million of the Company’s common shares over the succeeding 12 months. Under the program, the Company may purchase its shares from time to time in the open market or in privately negotiated transactions. The amount and timing of the purchases will depend on a number of factors including the price and availability of the Company’s shares, trading volume, capital availability, Company performance and general economic and market conditions. The share repurchase program may be suspended or discontinued at any time. The Company may also from time to time establish a trading plan under Rule 10b5-1 of the Securities Exchange Act of 1934 or effect one or more tender offers to facilitate purchases of its shares under this authorization.</w:t>
      </w:r>
    </w:p>
    <w:p>
      <w:pPr>
        <w:spacing w:after="0" w:line="12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has a dividend reinvestment plan in place which allows shareholders to automatically reinvest dividends in the Company’s common shares. The plan became effective on February 24, 2017.</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525" w:right="239" w:bottom="1440" w:gutter="0" w:footer="0" w:header="0"/>
        </w:sectPr>
      </w:pPr>
    </w:p>
    <w:bookmarkStart w:id="60" w:name="page61"/>
    <w:bookmarkEnd w:id="60"/>
    <w:p>
      <w:pPr>
        <w:spacing w:after="0"/>
        <w:rPr>
          <w:sz w:val="20"/>
          <w:szCs w:val="20"/>
          <w:color w:val="auto"/>
        </w:rPr>
      </w:pPr>
      <w:r>
        <w:rPr>
          <w:rFonts w:ascii="Arial" w:cs="Arial" w:eastAsia="Arial" w:hAnsi="Arial"/>
          <w:sz w:val="16"/>
          <w:szCs w:val="16"/>
          <w:b w:val="1"/>
          <w:bCs w:val="1"/>
          <w:color w:val="00497F"/>
        </w:rPr>
        <w:t>Historical Cash Flow</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Comparison of the three months ended March 31, 2017 and March 31, 2016</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compares the historical cash flow for the three months ended March 31, 2017 and March 31, 2016:</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860" w:type="dxa"/>
            <w:vAlign w:val="bottom"/>
            <w:tcBorders>
              <w:bottom w:val="single" w:sz="8" w:color="auto"/>
            </w:tcBorders>
            <w:gridSpan w:val="3"/>
          </w:tcPr>
          <w:p>
            <w:pPr>
              <w:jc w:val="right"/>
              <w:ind w:right="1248"/>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720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340" w:type="dxa"/>
            <w:vAlign w:val="bottom"/>
          </w:tcPr>
          <w:p>
            <w:pPr>
              <w:spacing w:after="0"/>
              <w:rPr>
                <w:sz w:val="22"/>
                <w:szCs w:val="22"/>
                <w:color w:val="auto"/>
              </w:rPr>
            </w:pPr>
          </w:p>
        </w:tc>
        <w:tc>
          <w:tcPr>
            <w:tcW w:w="1820" w:type="dxa"/>
            <w:vAlign w:val="bottom"/>
            <w:gridSpan w:val="2"/>
          </w:tcPr>
          <w:p>
            <w:pPr>
              <w:ind w:left="220"/>
              <w:spacing w:after="0"/>
              <w:rPr>
                <w:sz w:val="20"/>
                <w:szCs w:val="20"/>
                <w:color w:val="auto"/>
              </w:rPr>
            </w:pPr>
            <w:r>
              <w:rPr>
                <w:rFonts w:ascii="Arial" w:cs="Arial" w:eastAsia="Arial" w:hAnsi="Arial"/>
                <w:sz w:val="14"/>
                <w:szCs w:val="14"/>
                <w:b w:val="1"/>
                <w:bCs w:val="1"/>
                <w:color w:val="auto"/>
              </w:rPr>
              <w:t>March 31, 2017</w:t>
            </w:r>
          </w:p>
        </w:tc>
        <w:tc>
          <w:tcPr>
            <w:tcW w:w="2040" w:type="dxa"/>
            <w:vAlign w:val="bottom"/>
          </w:tcPr>
          <w:p>
            <w:pPr>
              <w:jc w:val="right"/>
              <w:ind w:right="388"/>
              <w:spacing w:after="0"/>
              <w:rPr>
                <w:sz w:val="20"/>
                <w:szCs w:val="20"/>
                <w:color w:val="auto"/>
              </w:rPr>
            </w:pPr>
            <w:r>
              <w:rPr>
                <w:rFonts w:ascii="Arial" w:cs="Arial" w:eastAsia="Arial" w:hAnsi="Arial"/>
                <w:sz w:val="14"/>
                <w:szCs w:val="14"/>
                <w:color w:val="auto"/>
              </w:rPr>
              <w:t>March 31, 2016</w:t>
            </w:r>
          </w:p>
        </w:tc>
      </w:tr>
      <w:tr>
        <w:trPr>
          <w:trHeight w:val="265"/>
        </w:trPr>
        <w:tc>
          <w:tcPr>
            <w:tcW w:w="7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Cash Flow Data:</w:t>
            </w:r>
          </w:p>
        </w:tc>
        <w:tc>
          <w:tcPr>
            <w:tcW w:w="340" w:type="dxa"/>
            <w:vAlign w:val="bottom"/>
            <w:tcBorders>
              <w:top w:val="single" w:sz="8" w:color="auto"/>
            </w:tcBorders>
            <w:shd w:val="clear" w:color="auto" w:fill="CCEEFF"/>
          </w:tcPr>
          <w:p>
            <w:pPr>
              <w:spacing w:after="0"/>
              <w:rPr>
                <w:sz w:val="23"/>
                <w:szCs w:val="23"/>
                <w:color w:val="auto"/>
              </w:rPr>
            </w:pPr>
          </w:p>
        </w:tc>
        <w:tc>
          <w:tcPr>
            <w:tcW w:w="17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40" w:type="dxa"/>
            <w:vAlign w:val="bottom"/>
            <w:tcBorders>
              <w:top w:val="single" w:sz="8" w:color="auto"/>
            </w:tcBorders>
            <w:shd w:val="clear" w:color="auto" w:fill="CCEEFF"/>
          </w:tcPr>
          <w:p>
            <w:pPr>
              <w:spacing w:after="0"/>
              <w:rPr>
                <w:sz w:val="23"/>
                <w:szCs w:val="23"/>
                <w:color w:val="auto"/>
              </w:rPr>
            </w:pPr>
          </w:p>
        </w:tc>
      </w:tr>
      <w:tr>
        <w:trPr>
          <w:trHeight w:val="269"/>
        </w:trPr>
        <w:tc>
          <w:tcPr>
            <w:tcW w:w="7200" w:type="dxa"/>
            <w:vAlign w:val="bottom"/>
          </w:tcPr>
          <w:p>
            <w:pPr>
              <w:ind w:left="500"/>
              <w:spacing w:after="0"/>
              <w:rPr>
                <w:sz w:val="20"/>
                <w:szCs w:val="20"/>
                <w:color w:val="auto"/>
              </w:rPr>
            </w:pPr>
            <w:r>
              <w:rPr>
                <w:rFonts w:ascii="Arial" w:cs="Arial" w:eastAsia="Arial" w:hAnsi="Arial"/>
                <w:sz w:val="14"/>
                <w:szCs w:val="14"/>
                <w:color w:val="auto"/>
              </w:rPr>
              <w:t>Net cash provided by (used in) operating activities</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720" w:type="dxa"/>
            <w:vAlign w:val="bottom"/>
          </w:tcPr>
          <w:p>
            <w:pPr>
              <w:jc w:val="right"/>
              <w:ind w:right="28"/>
              <w:spacing w:after="0"/>
              <w:rPr>
                <w:sz w:val="20"/>
                <w:szCs w:val="20"/>
                <w:color w:val="auto"/>
              </w:rPr>
            </w:pPr>
            <w:r>
              <w:rPr>
                <w:rFonts w:ascii="Arial" w:cs="Arial" w:eastAsia="Arial" w:hAnsi="Arial"/>
                <w:sz w:val="14"/>
                <w:szCs w:val="14"/>
                <w:b w:val="1"/>
                <w:bCs w:val="1"/>
                <w:color w:val="auto"/>
              </w:rPr>
              <w:t>17,680</w:t>
            </w:r>
          </w:p>
        </w:tc>
        <w:tc>
          <w:tcPr>
            <w:tcW w:w="100" w:type="dxa"/>
            <w:vAlign w:val="bottom"/>
          </w:tcPr>
          <w:p>
            <w:pPr>
              <w:spacing w:after="0"/>
              <w:rPr>
                <w:sz w:val="23"/>
                <w:szCs w:val="23"/>
                <w:color w:val="auto"/>
              </w:rPr>
            </w:pPr>
          </w:p>
        </w:tc>
        <w:tc>
          <w:tcPr>
            <w:tcW w:w="2040" w:type="dxa"/>
            <w:vAlign w:val="bottom"/>
          </w:tcPr>
          <w:p>
            <w:pPr>
              <w:jc w:val="right"/>
              <w:spacing w:after="0"/>
              <w:rPr>
                <w:sz w:val="20"/>
                <w:szCs w:val="20"/>
                <w:color w:val="auto"/>
              </w:rPr>
            </w:pPr>
            <w:r>
              <w:rPr>
                <w:rFonts w:ascii="Arial" w:cs="Arial" w:eastAsia="Arial" w:hAnsi="Arial"/>
                <w:sz w:val="14"/>
                <w:szCs w:val="14"/>
                <w:color w:val="auto"/>
              </w:rPr>
              <w:t>(3,799)</w:t>
            </w:r>
          </w:p>
        </w:tc>
      </w:tr>
      <w:tr>
        <w:trPr>
          <w:trHeight w:val="271"/>
        </w:trPr>
        <w:tc>
          <w:tcPr>
            <w:tcW w:w="72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Net cash used in investing activities</w:t>
            </w:r>
          </w:p>
        </w:tc>
        <w:tc>
          <w:tcPr>
            <w:tcW w:w="34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(78,800)</w:t>
            </w:r>
          </w:p>
        </w:tc>
        <w:tc>
          <w:tcPr>
            <w:tcW w:w="100" w:type="dxa"/>
            <w:vAlign w:val="bottom"/>
            <w:shd w:val="clear" w:color="auto" w:fill="CCEEFF"/>
          </w:tcPr>
          <w:p>
            <w:pPr>
              <w:spacing w:after="0"/>
              <w:rPr>
                <w:sz w:val="23"/>
                <w:szCs w:val="23"/>
                <w:color w:val="auto"/>
              </w:rPr>
            </w:pPr>
          </w:p>
        </w:tc>
        <w:tc>
          <w:tcPr>
            <w:tcW w:w="2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35,494</w:t>
            </w:r>
          </w:p>
        </w:tc>
      </w:tr>
      <w:tr>
        <w:trPr>
          <w:trHeight w:val="268"/>
        </w:trPr>
        <w:tc>
          <w:tcPr>
            <w:tcW w:w="7200" w:type="dxa"/>
            <w:vAlign w:val="bottom"/>
          </w:tcPr>
          <w:p>
            <w:pPr>
              <w:ind w:left="500"/>
              <w:spacing w:after="0"/>
              <w:rPr>
                <w:sz w:val="20"/>
                <w:szCs w:val="20"/>
                <w:color w:val="auto"/>
              </w:rPr>
            </w:pPr>
            <w:r>
              <w:rPr>
                <w:rFonts w:ascii="Arial" w:cs="Arial" w:eastAsia="Arial" w:hAnsi="Arial"/>
                <w:sz w:val="14"/>
                <w:szCs w:val="14"/>
                <w:color w:val="auto"/>
              </w:rPr>
              <w:t>Net cash (used in) provided by financing activities</w:t>
            </w:r>
          </w:p>
        </w:tc>
        <w:tc>
          <w:tcPr>
            <w:tcW w:w="340" w:type="dxa"/>
            <w:vAlign w:val="bottom"/>
          </w:tcPr>
          <w:p>
            <w:pPr>
              <w:spacing w:after="0"/>
              <w:rPr>
                <w:sz w:val="23"/>
                <w:szCs w:val="23"/>
                <w:color w:val="auto"/>
              </w:rPr>
            </w:pPr>
          </w:p>
        </w:tc>
        <w:tc>
          <w:tcPr>
            <w:tcW w:w="1720" w:type="dxa"/>
            <w:vAlign w:val="bottom"/>
          </w:tcPr>
          <w:p>
            <w:pPr>
              <w:jc w:val="right"/>
              <w:ind w:right="28"/>
              <w:spacing w:after="0"/>
              <w:rPr>
                <w:sz w:val="20"/>
                <w:szCs w:val="20"/>
                <w:color w:val="auto"/>
              </w:rPr>
            </w:pPr>
            <w:r>
              <w:rPr>
                <w:rFonts w:ascii="Arial" w:cs="Arial" w:eastAsia="Arial" w:hAnsi="Arial"/>
                <w:sz w:val="14"/>
                <w:szCs w:val="14"/>
                <w:b w:val="1"/>
                <w:bCs w:val="1"/>
                <w:color w:val="auto"/>
              </w:rPr>
              <w:t>214,287</w:t>
            </w:r>
          </w:p>
        </w:tc>
        <w:tc>
          <w:tcPr>
            <w:tcW w:w="100" w:type="dxa"/>
            <w:vAlign w:val="bottom"/>
          </w:tcPr>
          <w:p>
            <w:pPr>
              <w:spacing w:after="0"/>
              <w:rPr>
                <w:sz w:val="23"/>
                <w:szCs w:val="23"/>
                <w:color w:val="auto"/>
              </w:rPr>
            </w:pPr>
          </w:p>
        </w:tc>
        <w:tc>
          <w:tcPr>
            <w:tcW w:w="2040" w:type="dxa"/>
            <w:vAlign w:val="bottom"/>
          </w:tcPr>
          <w:p>
            <w:pPr>
              <w:jc w:val="right"/>
              <w:spacing w:after="0"/>
              <w:rPr>
                <w:sz w:val="20"/>
                <w:szCs w:val="20"/>
                <w:color w:val="auto"/>
              </w:rPr>
            </w:pPr>
            <w:r>
              <w:rPr>
                <w:rFonts w:ascii="Arial" w:cs="Arial" w:eastAsia="Arial" w:hAnsi="Arial"/>
                <w:sz w:val="14"/>
                <w:szCs w:val="14"/>
                <w:color w:val="auto"/>
              </w:rPr>
              <w:t>(65,486)</w:t>
            </w:r>
          </w:p>
        </w:tc>
      </w:tr>
    </w:tbl>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Net cash provided by operating activities was $17,680 in the three months ended March 31, 2017 as compared to net cash used in operating activities of $3,799 in the three months ended March 31, 2016, representing a $21,479 increase. Net loss was $9,212 for the three months ended March 31, 2017, compared $9,077 for the three months ended March 31, 2016, an increase of $135. The increase was offset by non-cash adjustments to reconcile net income which include an increase of (i) $4,050 of equity based compensation, (ii) $4,160 relating to depreciation and amortization, and (iii) $1,351 of equity losses from unconsolidated entities. The increase was further offset by the change in other assets due to cash receipts in the three months ended March 31, 2017 for a maintenance right asset that was settled upon the redelivery of an aircraft.</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Net cash used in investing activities was $78,800 in the three months ended March 31, 2017 as compared to cash provided by investing activities of $35,494 in three months ended 2016, representing a $114,294 decrease. Cash used in investing activities decreased due to cash received for the sale of two finance leases, resulting in proceeds of $71,000 in the three months ended March 31, 2016, offset by an increase in proceeds from the sale of leasing equipment of $5,442 and change in restricted cash of $12,326 in three months ended March 31, 2017 as compared to the three months ended March 31, 2016. Additionally, there was an increase in cash used for the acquisition of leasing equipment of $40,378, cash used for investments of $14,654, and cash used in the acquisition of property, plant and equipment of $6,174, as well as a decrease principal collections on finance leases of $2,094 in the three months ended March 31, 2017 as compared to the three months ended March 31, 2016.</w:t>
      </w:r>
    </w:p>
    <w:p>
      <w:pPr>
        <w:spacing w:after="0" w:line="123"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Net cash provided by financing activities was $214,287 in the three months ended March 31, 2017 as compared to cash used in financing activities of $65,486 in the three months ended March 31, 2016, representing a $279,773 increase. Such increase was attributable to (i) proceeds from borrowings under the Term Loan of $97,163, net of deferred financing costs and the Senior Notes of $137,248, net of deferred financing costs and repayment of the Term Loan, (ii) a decrease in the repayment of debt related to the termination of the Jefferson Terminal Credit Agreement, Container Loan #1 and Container Loan #2 in the three months ended March 31, 2016, and (iii) a decrease in payment of maintenance deposits of $5,385, offset by a decrease in cash contributions from non-controlling interests of $6,420.</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Funds Available for Distribution (Non-GAAP)</w:t>
      </w:r>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Company uses Funds Available for Distribution (“FAD”) in evaluating its ability to meet its stated dividend policy. FAD is not a financial measure in accordance with GAAP. The GAAP measure most directly comparable to FAD is net cash provided by operating activities. The Company believes FAD is a useful metric for investors and analysts for similar purposes.</w:t>
      </w:r>
    </w:p>
    <w:p>
      <w:pPr>
        <w:spacing w:after="0" w:line="11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Company defines FAD as: net cash provided by operating activities plus principal collections on finance leases, proceeds from sale of assets, and return of capital distributions from unconsolidated entities, less required payments on debt obligations and capital distributions to non-controlling interest, and excluding changes in working capital. The following table sets forth a reconciliation of Net Cash Provided by Operating Activities to FAD:</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900" w:type="dxa"/>
            <w:vAlign w:val="bottom"/>
            <w:tcBorders>
              <w:bottom w:val="single" w:sz="8" w:color="auto"/>
            </w:tcBorders>
            <w:gridSpan w:val="4"/>
          </w:tcPr>
          <w:p>
            <w:pPr>
              <w:jc w:val="right"/>
              <w:ind w:right="1308"/>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720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300" w:type="dxa"/>
            <w:vAlign w:val="bottom"/>
          </w:tcPr>
          <w:p>
            <w:pPr>
              <w:spacing w:after="0"/>
              <w:rPr>
                <w:sz w:val="22"/>
                <w:szCs w:val="22"/>
                <w:color w:val="auto"/>
              </w:rPr>
            </w:pPr>
          </w:p>
        </w:tc>
        <w:tc>
          <w:tcPr>
            <w:tcW w:w="1860" w:type="dxa"/>
            <w:vAlign w:val="bottom"/>
            <w:gridSpan w:val="2"/>
          </w:tcPr>
          <w:p>
            <w:pPr>
              <w:ind w:left="220"/>
              <w:spacing w:after="0"/>
              <w:rPr>
                <w:sz w:val="20"/>
                <w:szCs w:val="20"/>
                <w:color w:val="auto"/>
              </w:rPr>
            </w:pPr>
            <w:r>
              <w:rPr>
                <w:rFonts w:ascii="Arial" w:cs="Arial" w:eastAsia="Arial" w:hAnsi="Arial"/>
                <w:sz w:val="14"/>
                <w:szCs w:val="14"/>
                <w:b w:val="1"/>
                <w:bCs w:val="1"/>
                <w:color w:val="auto"/>
              </w:rPr>
              <w:t>March 31, 2017</w:t>
            </w:r>
          </w:p>
        </w:tc>
        <w:tc>
          <w:tcPr>
            <w:tcW w:w="320" w:type="dxa"/>
            <w:vAlign w:val="bottom"/>
          </w:tcPr>
          <w:p>
            <w:pPr>
              <w:spacing w:after="0"/>
              <w:rPr>
                <w:sz w:val="22"/>
                <w:szCs w:val="22"/>
                <w:color w:val="auto"/>
              </w:rPr>
            </w:pPr>
          </w:p>
        </w:tc>
        <w:tc>
          <w:tcPr>
            <w:tcW w:w="1720" w:type="dxa"/>
            <w:vAlign w:val="bottom"/>
          </w:tcPr>
          <w:p>
            <w:pPr>
              <w:jc w:val="right"/>
              <w:ind w:right="448"/>
              <w:spacing w:after="0"/>
              <w:rPr>
                <w:sz w:val="20"/>
                <w:szCs w:val="20"/>
                <w:color w:val="auto"/>
              </w:rPr>
            </w:pPr>
            <w:r>
              <w:rPr>
                <w:rFonts w:ascii="Arial" w:cs="Arial" w:eastAsia="Arial" w:hAnsi="Arial"/>
                <w:sz w:val="14"/>
                <w:szCs w:val="14"/>
                <w:color w:val="auto"/>
              </w:rPr>
              <w:t>March 31, 2016</w:t>
            </w:r>
          </w:p>
        </w:tc>
      </w:tr>
      <w:tr>
        <w:trPr>
          <w:trHeight w:val="211"/>
        </w:trPr>
        <w:tc>
          <w:tcPr>
            <w:tcW w:w="7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Cash Provided by (Used in) Operating Activities</w:t>
            </w: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7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17,680</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(3,799)</w:t>
            </w:r>
          </w:p>
        </w:tc>
      </w:tr>
      <w:tr>
        <w:trPr>
          <w:trHeight w:val="215"/>
        </w:trPr>
        <w:tc>
          <w:tcPr>
            <w:tcW w:w="7200" w:type="dxa"/>
            <w:vAlign w:val="bottom"/>
          </w:tcPr>
          <w:p>
            <w:pPr>
              <w:ind w:left="40"/>
              <w:spacing w:after="0"/>
              <w:rPr>
                <w:sz w:val="20"/>
                <w:szCs w:val="20"/>
                <w:color w:val="auto"/>
              </w:rPr>
            </w:pPr>
            <w:r>
              <w:rPr>
                <w:rFonts w:ascii="Arial" w:cs="Arial" w:eastAsia="Arial" w:hAnsi="Arial"/>
                <w:sz w:val="14"/>
                <w:szCs w:val="14"/>
                <w:color w:val="auto"/>
              </w:rPr>
              <w:t>Add: Principal Collections on Finance Leases</w:t>
            </w:r>
          </w:p>
        </w:tc>
        <w:tc>
          <w:tcPr>
            <w:tcW w:w="300" w:type="dxa"/>
            <w:vAlign w:val="bottom"/>
          </w:tcPr>
          <w:p>
            <w:pPr>
              <w:spacing w:after="0"/>
              <w:rPr>
                <w:sz w:val="18"/>
                <w:szCs w:val="18"/>
                <w:color w:val="auto"/>
              </w:rPr>
            </w:pPr>
          </w:p>
        </w:tc>
        <w:tc>
          <w:tcPr>
            <w:tcW w:w="1760" w:type="dxa"/>
            <w:vAlign w:val="bottom"/>
          </w:tcPr>
          <w:p>
            <w:pPr>
              <w:jc w:val="right"/>
              <w:ind w:right="28"/>
              <w:spacing w:after="0"/>
              <w:rPr>
                <w:sz w:val="20"/>
                <w:szCs w:val="20"/>
                <w:color w:val="auto"/>
              </w:rPr>
            </w:pPr>
            <w:r>
              <w:rPr>
                <w:rFonts w:ascii="Arial" w:cs="Arial" w:eastAsia="Arial" w:hAnsi="Arial"/>
                <w:sz w:val="14"/>
                <w:szCs w:val="14"/>
                <w:b w:val="1"/>
                <w:bCs w:val="1"/>
                <w:color w:val="auto"/>
              </w:rPr>
              <w:t>110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jc w:val="right"/>
              <w:ind w:right="28"/>
              <w:spacing w:after="0"/>
              <w:rPr>
                <w:sz w:val="20"/>
                <w:szCs w:val="20"/>
                <w:color w:val="auto"/>
              </w:rPr>
            </w:pPr>
            <w:r>
              <w:rPr>
                <w:rFonts w:ascii="Arial" w:cs="Arial" w:eastAsia="Arial" w:hAnsi="Arial"/>
                <w:sz w:val="14"/>
                <w:szCs w:val="14"/>
                <w:color w:val="auto"/>
              </w:rPr>
              <w:t>2,204</w:t>
            </w:r>
          </w:p>
        </w:tc>
      </w:tr>
      <w:tr>
        <w:trPr>
          <w:trHeight w:val="217"/>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Add: Proceeds from sale of assets </w:t>
            </w:r>
            <w:r>
              <w:rPr>
                <w:rFonts w:ascii="Arial" w:cs="Arial" w:eastAsia="Arial" w:hAnsi="Arial"/>
                <w:sz w:val="17"/>
                <w:szCs w:val="17"/>
                <w:color w:val="auto"/>
                <w:vertAlign w:val="superscript"/>
              </w:rPr>
              <w:t>(1)</w:t>
            </w:r>
          </w:p>
        </w:tc>
        <w:tc>
          <w:tcPr>
            <w:tcW w:w="30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9,885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75,928</w:t>
            </w:r>
          </w:p>
        </w:tc>
      </w:tr>
      <w:tr>
        <w:trPr>
          <w:trHeight w:val="215"/>
        </w:trPr>
        <w:tc>
          <w:tcPr>
            <w:tcW w:w="7200" w:type="dxa"/>
            <w:vAlign w:val="bottom"/>
          </w:tcPr>
          <w:p>
            <w:pPr>
              <w:ind w:left="40"/>
              <w:spacing w:after="0"/>
              <w:rPr>
                <w:sz w:val="20"/>
                <w:szCs w:val="20"/>
                <w:color w:val="auto"/>
              </w:rPr>
            </w:pPr>
            <w:r>
              <w:rPr>
                <w:rFonts w:ascii="Arial" w:cs="Arial" w:eastAsia="Arial" w:hAnsi="Arial"/>
                <w:sz w:val="14"/>
                <w:szCs w:val="14"/>
                <w:color w:val="auto"/>
              </w:rPr>
              <w:t>Add: Return of Capital Distributions from Unconsolidated Entities</w:t>
            </w:r>
          </w:p>
        </w:tc>
        <w:tc>
          <w:tcPr>
            <w:tcW w:w="300" w:type="dxa"/>
            <w:vAlign w:val="bottom"/>
          </w:tcPr>
          <w:p>
            <w:pPr>
              <w:spacing w:after="0"/>
              <w:rPr>
                <w:sz w:val="18"/>
                <w:szCs w:val="18"/>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8"/>
                <w:szCs w:val="18"/>
                <w:color w:val="auto"/>
              </w:rPr>
            </w:pPr>
          </w:p>
        </w:tc>
        <w:tc>
          <w:tcPr>
            <w:tcW w:w="1720" w:type="dxa"/>
            <w:vAlign w:val="bottom"/>
          </w:tcPr>
          <w:p>
            <w:pPr>
              <w:jc w:val="right"/>
              <w:ind w:right="28"/>
              <w:spacing w:after="0"/>
              <w:rPr>
                <w:sz w:val="20"/>
                <w:szCs w:val="20"/>
                <w:color w:val="auto"/>
              </w:rPr>
            </w:pPr>
            <w:r>
              <w:rPr>
                <w:rFonts w:ascii="Arial" w:cs="Arial" w:eastAsia="Arial" w:hAnsi="Arial"/>
                <w:sz w:val="14"/>
                <w:szCs w:val="14"/>
                <w:color w:val="auto"/>
              </w:rPr>
              <w:t>401</w:t>
            </w:r>
          </w:p>
        </w:tc>
      </w:tr>
      <w:tr>
        <w:trPr>
          <w:trHeight w:val="217"/>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Less: Required Payments on Debt Obligations </w:t>
            </w:r>
            <w:r>
              <w:rPr>
                <w:rFonts w:ascii="Arial" w:cs="Arial" w:eastAsia="Arial" w:hAnsi="Arial"/>
                <w:sz w:val="17"/>
                <w:szCs w:val="17"/>
                <w:color w:val="auto"/>
                <w:vertAlign w:val="superscript"/>
              </w:rPr>
              <w:t>(2)</w:t>
            </w:r>
          </w:p>
        </w:tc>
        <w:tc>
          <w:tcPr>
            <w:tcW w:w="3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(1,562)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(47,660)</w:t>
            </w:r>
          </w:p>
        </w:tc>
      </w:tr>
      <w:tr>
        <w:trPr>
          <w:trHeight w:val="215"/>
        </w:trPr>
        <w:tc>
          <w:tcPr>
            <w:tcW w:w="7200" w:type="dxa"/>
            <w:vAlign w:val="bottom"/>
          </w:tcPr>
          <w:p>
            <w:pPr>
              <w:ind w:left="40"/>
              <w:spacing w:after="0"/>
              <w:rPr>
                <w:sz w:val="20"/>
                <w:szCs w:val="20"/>
                <w:color w:val="auto"/>
              </w:rPr>
            </w:pPr>
            <w:r>
              <w:rPr>
                <w:rFonts w:ascii="Arial" w:cs="Arial" w:eastAsia="Arial" w:hAnsi="Arial"/>
                <w:sz w:val="14"/>
                <w:szCs w:val="14"/>
                <w:color w:val="auto"/>
              </w:rPr>
              <w:t>Less: Capital Distributions to Non-Controlling Interest</w:t>
            </w:r>
          </w:p>
        </w:tc>
        <w:tc>
          <w:tcPr>
            <w:tcW w:w="300" w:type="dxa"/>
            <w:vAlign w:val="bottom"/>
          </w:tcPr>
          <w:p>
            <w:pPr>
              <w:spacing w:after="0"/>
              <w:rPr>
                <w:sz w:val="18"/>
                <w:szCs w:val="18"/>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8"/>
                <w:szCs w:val="18"/>
                <w:color w:val="auto"/>
              </w:rPr>
            </w:pPr>
          </w:p>
        </w:tc>
        <w:tc>
          <w:tcPr>
            <w:tcW w:w="17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16"/>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Exclude: Changes in Working Capital</w:t>
            </w:r>
          </w:p>
        </w:tc>
        <w:tc>
          <w:tcPr>
            <w:tcW w:w="30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(4,365)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5,784</w:t>
            </w:r>
          </w:p>
        </w:tc>
      </w:tr>
      <w:tr>
        <w:trPr>
          <w:trHeight w:val="211"/>
        </w:trPr>
        <w:tc>
          <w:tcPr>
            <w:tcW w:w="7200" w:type="dxa"/>
            <w:vAlign w:val="bottom"/>
          </w:tcPr>
          <w:p>
            <w:pPr>
              <w:ind w:left="40"/>
              <w:spacing w:after="0"/>
              <w:rPr>
                <w:sz w:val="20"/>
                <w:szCs w:val="20"/>
                <w:color w:val="auto"/>
              </w:rPr>
            </w:pPr>
            <w:r>
              <w:rPr>
                <w:rFonts w:ascii="Arial" w:cs="Arial" w:eastAsia="Arial" w:hAnsi="Arial"/>
                <w:sz w:val="14"/>
                <w:szCs w:val="14"/>
                <w:b w:val="1"/>
                <w:bCs w:val="1"/>
                <w:color w:val="auto"/>
              </w:rPr>
              <w:t>Funds Available for Distribution (FAD)</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21,748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32,858</w:t>
            </w:r>
          </w:p>
        </w:tc>
      </w:tr>
      <w:tr>
        <w:trPr>
          <w:trHeight w:val="20"/>
        </w:trPr>
        <w:tc>
          <w:tcPr>
            <w:tcW w:w="7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579" w:right="239" w:bottom="1440" w:gutter="0" w:footer="0" w:header="0"/>
        </w:sectPr>
      </w:pPr>
    </w:p>
    <w:bookmarkStart w:id="61" w:name="page62"/>
    <w:bookmarkEnd w:id="61"/>
    <w:p>
      <w:pPr>
        <w:spacing w:after="0"/>
        <w:rPr>
          <w:sz w:val="20"/>
          <w:szCs w:val="20"/>
          <w:color w:val="auto"/>
        </w:rPr>
      </w:pPr>
      <w:r>
        <w:rPr>
          <w:rFonts w:ascii="Arial" w:cs="Arial" w:eastAsia="Arial" w:hAnsi="Arial"/>
          <w:sz w:val="16"/>
          <w:szCs w:val="16"/>
          <w:color w:val="auto"/>
        </w:rPr>
        <w:t>_____________________________________________________</w:t>
      </w:r>
    </w:p>
    <w:p>
      <w:pPr>
        <w:spacing w:after="0" w:line="172" w:lineRule="exact"/>
        <w:rPr>
          <w:sz w:val="20"/>
          <w:szCs w:val="20"/>
          <w:color w:val="auto"/>
        </w:rPr>
      </w:pPr>
    </w:p>
    <w:p>
      <w:pPr>
        <w:ind w:left="500" w:right="120" w:hanging="492"/>
        <w:spacing w:after="0" w:line="232" w:lineRule="auto"/>
        <w:tabs>
          <w:tab w:leader="none" w:pos="164"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Proceeds from sale of assets for the three months ended March 31, 2016 includes $500 received in December 2015 for a deposit on the sale of a commercial jet engine, which was completed in the three months ended March 31, 2016.</w:t>
      </w:r>
    </w:p>
    <w:p>
      <w:pPr>
        <w:spacing w:after="0" w:line="130" w:lineRule="exact"/>
        <w:rPr>
          <w:rFonts w:ascii="Arial" w:cs="Arial" w:eastAsia="Arial" w:hAnsi="Arial"/>
          <w:sz w:val="18"/>
          <w:szCs w:val="18"/>
          <w:color w:val="auto"/>
          <w:vertAlign w:val="superscript"/>
        </w:rPr>
      </w:pPr>
    </w:p>
    <w:p>
      <w:pPr>
        <w:ind w:left="500" w:right="120" w:hanging="492"/>
        <w:spacing w:after="0"/>
        <w:tabs>
          <w:tab w:leader="none" w:pos="149" w:val="left"/>
        </w:tabs>
        <w:numPr>
          <w:ilvl w:val="0"/>
          <w:numId w:val="25"/>
        </w:numPr>
        <w:rPr>
          <w:rFonts w:ascii="Arial" w:cs="Arial" w:eastAsia="Arial" w:hAnsi="Arial"/>
          <w:sz w:val="17"/>
          <w:szCs w:val="17"/>
          <w:color w:val="auto"/>
          <w:vertAlign w:val="superscript"/>
        </w:rPr>
      </w:pPr>
      <w:r>
        <w:rPr>
          <w:rFonts w:ascii="Arial" w:cs="Arial" w:eastAsia="Arial" w:hAnsi="Arial"/>
          <w:sz w:val="14"/>
          <w:szCs w:val="14"/>
          <w:color w:val="auto"/>
        </w:rPr>
        <w:t>Required payments on debt obligations for the three months ended March 31, 2017 excludes $100,000 repayment of the Term Loan, and for the three months ended March 31, 2016 excludes $98,750 repayment upon the termination of the Jefferson Terminal Credit Agreement, which were voluntary refinancings as repayment of these amounts were not required at such time.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Limitations</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FAD is subject to a number of limitations and assumptions and there can be no assurance that the Company will generate FAD sufficient to meet its intended dividends. FAD has material limitations as a liquidity measure of the Company because such measure excludes items that are required elements of the Company’s net cash provided by operating activities as described below. FAD should not be considered in isolation nor as a substitute for analysis of the Company’s results of operations under GAAP, and it is not the only metric that should be considered in evaluating the Company’s ability to meet its stated dividend policy. Specifically:</w:t>
      </w:r>
    </w:p>
    <w:p>
      <w:pPr>
        <w:spacing w:after="0" w:line="122" w:lineRule="exact"/>
        <w:rPr>
          <w:sz w:val="20"/>
          <w:szCs w:val="20"/>
          <w:color w:val="auto"/>
        </w:rPr>
      </w:pPr>
    </w:p>
    <w:p>
      <w:pPr>
        <w:ind w:left="660" w:hanging="328"/>
        <w:spacing w:after="0" w:line="291"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FAD does not include equity capital called from the Company’s existing limited partners, proceeds from any debt issuance or future equity offering, historical cash and cash equivalents and expected investments in the Company’s operations.</w:t>
      </w:r>
    </w:p>
    <w:p>
      <w:pPr>
        <w:spacing w:after="0" w:line="94" w:lineRule="exact"/>
        <w:rPr>
          <w:rFonts w:ascii="Arial" w:cs="Arial" w:eastAsia="Arial" w:hAnsi="Arial"/>
          <w:sz w:val="16"/>
          <w:szCs w:val="16"/>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FAD does not give pro forma effect to prior acquisitions, certain of which cannot be quantified.</w:t>
      </w:r>
    </w:p>
    <w:p>
      <w:pPr>
        <w:spacing w:after="0" w:line="167" w:lineRule="exact"/>
        <w:rPr>
          <w:rFonts w:ascii="Arial" w:cs="Arial" w:eastAsia="Arial" w:hAnsi="Arial"/>
          <w:sz w:val="16"/>
          <w:szCs w:val="16"/>
          <w:color w:val="auto"/>
        </w:rPr>
      </w:pPr>
    </w:p>
    <w:p>
      <w:pPr>
        <w:ind w:left="660" w:hanging="328"/>
        <w:spacing w:after="0" w:line="291"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While FAD reflects the cash inflows from sale of certain assets, FAD does not reflect the cash outflows to acquire assets as the Company relies on alternative sources of liquidity to fund such purchases.</w:t>
      </w:r>
    </w:p>
    <w:p>
      <w:pPr>
        <w:spacing w:after="0" w:line="94" w:lineRule="exact"/>
        <w:rPr>
          <w:rFonts w:ascii="Arial" w:cs="Arial" w:eastAsia="Arial" w:hAnsi="Arial"/>
          <w:sz w:val="16"/>
          <w:szCs w:val="16"/>
          <w:color w:val="auto"/>
        </w:rPr>
      </w:pPr>
    </w:p>
    <w:p>
      <w:pPr>
        <w:ind w:left="660" w:right="20" w:hanging="328"/>
        <w:spacing w:after="0" w:line="291"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FAD does not reflect expenditures related to capital expenditures, acquisitions and other investments as the Company has multiple sources of liquidity and intends to fund these expenditures with future incurrences of indebtedness, additional capital contributions and/or future issuances of equity.</w:t>
      </w:r>
    </w:p>
    <w:p>
      <w:pPr>
        <w:spacing w:after="0" w:line="94" w:lineRule="exact"/>
        <w:rPr>
          <w:rFonts w:ascii="Arial" w:cs="Arial" w:eastAsia="Arial" w:hAnsi="Arial"/>
          <w:sz w:val="16"/>
          <w:szCs w:val="16"/>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FAD does not reflect any maintenance capital expenditures necessary to maintain the same level of cash generation from our capital investments.</w:t>
      </w:r>
    </w:p>
    <w:p>
      <w:pPr>
        <w:spacing w:after="0" w:line="167" w:lineRule="exact"/>
        <w:rPr>
          <w:rFonts w:ascii="Arial" w:cs="Arial" w:eastAsia="Arial" w:hAnsi="Arial"/>
          <w:sz w:val="16"/>
          <w:szCs w:val="16"/>
          <w:color w:val="auto"/>
        </w:rPr>
      </w:pPr>
    </w:p>
    <w:p>
      <w:pPr>
        <w:ind w:left="660" w:right="20" w:hanging="328"/>
        <w:spacing w:after="0" w:line="291"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FAD does not reflect changes in working capital balances as management believes that changes in working capital are primarily driven by short term timing differences, which are not meaningful to the Company’s distribution decisions.</w:t>
      </w:r>
    </w:p>
    <w:p>
      <w:pPr>
        <w:spacing w:after="0" w:line="94" w:lineRule="exact"/>
        <w:rPr>
          <w:rFonts w:ascii="Arial" w:cs="Arial" w:eastAsia="Arial" w:hAnsi="Arial"/>
          <w:sz w:val="16"/>
          <w:szCs w:val="16"/>
          <w:color w:val="auto"/>
        </w:rPr>
      </w:pPr>
    </w:p>
    <w:p>
      <w:pPr>
        <w:ind w:left="660" w:hanging="328"/>
        <w:spacing w:after="0" w:line="291"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Management has significant discretion to make distributions, and the Company is not bound by any contractual provision that requires it to use cash for distributions.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If such factors were included in FAD, there can be no assurance that the results would be consistent with the Company’s presentation of FAD.</w:t>
      </w: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Debt Obligations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Refer to Note 8 of the Consolidated Financial Statements for detail.</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527" w:right="239" w:bottom="1440" w:gutter="0" w:footer="0" w:header="0"/>
        </w:sectPr>
      </w:pPr>
    </w:p>
    <w:bookmarkStart w:id="62" w:name="page63"/>
    <w:bookmarkEnd w:id="62"/>
    <w:p>
      <w:pPr>
        <w:spacing w:after="0"/>
        <w:rPr>
          <w:sz w:val="20"/>
          <w:szCs w:val="20"/>
          <w:color w:val="auto"/>
        </w:rPr>
      </w:pPr>
      <w:r>
        <w:rPr>
          <w:rFonts w:ascii="Arial" w:cs="Arial" w:eastAsia="Arial" w:hAnsi="Arial"/>
          <w:sz w:val="16"/>
          <w:szCs w:val="16"/>
          <w:b w:val="1"/>
          <w:bCs w:val="1"/>
          <w:color w:val="00497F"/>
        </w:rPr>
        <w:t>Contractual Obligations</w:t>
      </w:r>
    </w:p>
    <w:p>
      <w:pPr>
        <w:spacing w:after="0" w:line="169"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The following table summarizes our future obligations, by period due, as of March 31, 2017, under our various contractual obligations and commitments. We had no off-balance sheet arrangements as of March 31, 2017.</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74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vMerge w:val="restart"/>
          </w:tcPr>
          <w:p>
            <w:pPr>
              <w:jc w:val="right"/>
              <w:ind w:right="3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vMerge w:val="restart"/>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vMerge w:val="restart"/>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vMerge w:val="restart"/>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vMerge w:val="restart"/>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vMerge w:val="restart"/>
          </w:tcPr>
          <w:p>
            <w:pPr>
              <w:jc w:val="right"/>
              <w:ind w:right="148"/>
              <w:spacing w:after="0"/>
              <w:rPr>
                <w:sz w:val="20"/>
                <w:szCs w:val="20"/>
                <w:color w:val="auto"/>
              </w:rPr>
            </w:pPr>
            <w:r>
              <w:rPr>
                <w:rFonts w:ascii="Arial" w:cs="Arial" w:eastAsia="Arial" w:hAnsi="Arial"/>
                <w:sz w:val="14"/>
                <w:szCs w:val="14"/>
                <w:b w:val="1"/>
                <w:bCs w:val="1"/>
                <w:color w:val="auto"/>
              </w:rPr>
              <w:t>Thereafter</w:t>
            </w:r>
          </w:p>
        </w:tc>
        <w:tc>
          <w:tcPr>
            <w:tcW w:w="100" w:type="dxa"/>
            <w:vAlign w:val="bottom"/>
            <w:tcBorders>
              <w:top w:val="single" w:sz="8" w:color="auto"/>
            </w:tcBorders>
            <w:vMerge w:val="restart"/>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5"/>
        </w:trPr>
        <w:tc>
          <w:tcPr>
            <w:tcW w:w="27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2740" w:type="dxa"/>
            <w:vAlign w:val="bottom"/>
          </w:tcPr>
          <w:p>
            <w:pPr>
              <w:ind w:left="40"/>
              <w:spacing w:after="0"/>
              <w:rPr>
                <w:sz w:val="20"/>
                <w:szCs w:val="20"/>
                <w:color w:val="auto"/>
              </w:rPr>
            </w:pPr>
            <w:r>
              <w:rPr>
                <w:rFonts w:ascii="Arial" w:cs="Arial" w:eastAsia="Arial" w:hAnsi="Arial"/>
                <w:sz w:val="14"/>
                <w:szCs w:val="14"/>
                <w:color w:val="auto"/>
              </w:rPr>
              <w:t>FTAI Pride Credit Agreement</w:t>
            </w:r>
          </w:p>
        </w:tc>
        <w:tc>
          <w:tcPr>
            <w:tcW w:w="280" w:type="dxa"/>
            <w:vAlign w:val="bottom"/>
          </w:tcPr>
          <w:p>
            <w:pPr>
              <w:spacing w:after="0"/>
              <w:rPr>
                <w:sz w:val="21"/>
                <w:szCs w:val="21"/>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4,688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6,250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48,437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59,375</w:t>
            </w:r>
          </w:p>
        </w:tc>
        <w:tc>
          <w:tcPr>
            <w:tcW w:w="0" w:type="dxa"/>
            <w:vAlign w:val="bottom"/>
          </w:tcPr>
          <w:p>
            <w:pPr>
              <w:spacing w:after="0"/>
              <w:rPr>
                <w:sz w:val="1"/>
                <w:szCs w:val="1"/>
                <w:color w:val="auto"/>
              </w:rPr>
            </w:pPr>
          </w:p>
        </w:tc>
      </w:tr>
      <w:tr>
        <w:trPr>
          <w:trHeight w:val="274"/>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CMQR Credit Agreement</w:t>
            </w:r>
          </w:p>
        </w:tc>
        <w:tc>
          <w:tcPr>
            <w:tcW w:w="28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13,625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13,625</w:t>
            </w:r>
          </w:p>
        </w:tc>
        <w:tc>
          <w:tcPr>
            <w:tcW w:w="0" w:type="dxa"/>
            <w:vAlign w:val="bottom"/>
          </w:tcPr>
          <w:p>
            <w:pPr>
              <w:spacing w:after="0"/>
              <w:rPr>
                <w:sz w:val="1"/>
                <w:szCs w:val="1"/>
                <w:color w:val="auto"/>
              </w:rPr>
            </w:pPr>
          </w:p>
        </w:tc>
      </w:tr>
      <w:tr>
        <w:trPr>
          <w:trHeight w:val="266"/>
        </w:trPr>
        <w:tc>
          <w:tcPr>
            <w:tcW w:w="2740" w:type="dxa"/>
            <w:vAlign w:val="bottom"/>
          </w:tcPr>
          <w:p>
            <w:pPr>
              <w:ind w:left="40"/>
              <w:spacing w:after="0"/>
              <w:rPr>
                <w:sz w:val="20"/>
                <w:szCs w:val="20"/>
                <w:color w:val="auto"/>
              </w:rPr>
            </w:pPr>
            <w:r>
              <w:rPr>
                <w:rFonts w:ascii="Arial" w:cs="Arial" w:eastAsia="Arial" w:hAnsi="Arial"/>
                <w:sz w:val="14"/>
                <w:szCs w:val="14"/>
                <w:color w:val="auto"/>
              </w:rPr>
              <w:t>Jefferson Bonds Payable</w:t>
            </w:r>
          </w:p>
        </w:tc>
        <w:tc>
          <w:tcPr>
            <w:tcW w:w="28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1,425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1,545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1,670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146,010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1,960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35,780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188,390</w:t>
            </w:r>
          </w:p>
        </w:tc>
        <w:tc>
          <w:tcPr>
            <w:tcW w:w="0" w:type="dxa"/>
            <w:vAlign w:val="bottom"/>
          </w:tcPr>
          <w:p>
            <w:pPr>
              <w:spacing w:after="0"/>
              <w:rPr>
                <w:sz w:val="1"/>
                <w:szCs w:val="1"/>
                <w:color w:val="auto"/>
              </w:rPr>
            </w:pPr>
          </w:p>
        </w:tc>
      </w:tr>
      <w:tr>
        <w:trPr>
          <w:trHeight w:val="274"/>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Senior Notes</w:t>
            </w:r>
          </w:p>
        </w:tc>
        <w:tc>
          <w:tcPr>
            <w:tcW w:w="28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250,000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250,000</w:t>
            </w:r>
          </w:p>
        </w:tc>
        <w:tc>
          <w:tcPr>
            <w:tcW w:w="0" w:type="dxa"/>
            <w:vAlign w:val="bottom"/>
          </w:tcPr>
          <w:p>
            <w:pPr>
              <w:spacing w:after="0"/>
              <w:rPr>
                <w:sz w:val="1"/>
                <w:szCs w:val="1"/>
                <w:color w:val="auto"/>
              </w:rPr>
            </w:pPr>
          </w:p>
        </w:tc>
      </w:tr>
      <w:tr>
        <w:trPr>
          <w:trHeight w:val="266"/>
        </w:trPr>
        <w:tc>
          <w:tcPr>
            <w:tcW w:w="2740" w:type="dxa"/>
            <w:vAlign w:val="bottom"/>
          </w:tcPr>
          <w:p>
            <w:pPr>
              <w:ind w:left="40"/>
              <w:spacing w:after="0"/>
              <w:rPr>
                <w:sz w:val="20"/>
                <w:szCs w:val="20"/>
                <w:color w:val="auto"/>
              </w:rPr>
            </w:pPr>
            <w:r>
              <w:rPr>
                <w:rFonts w:ascii="Arial" w:cs="Arial" w:eastAsia="Arial" w:hAnsi="Arial"/>
                <w:sz w:val="14"/>
                <w:szCs w:val="14"/>
                <w:color w:val="auto"/>
              </w:rPr>
              <w:t>Note payable to non-controlling interest</w:t>
            </w:r>
          </w:p>
        </w:tc>
        <w:tc>
          <w:tcPr>
            <w:tcW w:w="28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403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403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403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403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740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2,352</w:t>
            </w:r>
          </w:p>
        </w:tc>
        <w:tc>
          <w:tcPr>
            <w:tcW w:w="0" w:type="dxa"/>
            <w:vAlign w:val="bottom"/>
          </w:tcPr>
          <w:p>
            <w:pPr>
              <w:spacing w:after="0"/>
              <w:rPr>
                <w:sz w:val="1"/>
                <w:szCs w:val="1"/>
                <w:color w:val="auto"/>
              </w:rPr>
            </w:pPr>
          </w:p>
        </w:tc>
      </w:tr>
      <w:tr>
        <w:trPr>
          <w:trHeight w:val="160"/>
        </w:trPr>
        <w:tc>
          <w:tcPr>
            <w:tcW w:w="2740" w:type="dxa"/>
            <w:vAlign w:val="bottom"/>
            <w:tcBorders>
              <w:top w:val="single" w:sz="8" w:color="CCEEFF"/>
            </w:tcBorders>
            <w:shd w:val="clear" w:color="auto" w:fill="CCEEFF"/>
          </w:tcPr>
          <w:p>
            <w:pPr>
              <w:ind w:left="40"/>
              <w:spacing w:after="0" w:line="160" w:lineRule="exact"/>
              <w:rPr>
                <w:sz w:val="20"/>
                <w:szCs w:val="20"/>
                <w:color w:val="auto"/>
              </w:rPr>
            </w:pPr>
            <w:r>
              <w:rPr>
                <w:rFonts w:ascii="Arial" w:cs="Arial" w:eastAsia="Arial" w:hAnsi="Arial"/>
                <w:sz w:val="14"/>
                <w:szCs w:val="14"/>
                <w:color w:val="auto"/>
              </w:rPr>
              <w:t>Total principal payments on loans and</w:t>
            </w:r>
          </w:p>
        </w:tc>
        <w:tc>
          <w:tcPr>
            <w:tcW w:w="28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bonds payable</w:t>
            </w: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6,516</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21,823</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50,510</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146,413</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2,700</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285,780</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513,742</w:t>
            </w:r>
          </w:p>
        </w:tc>
        <w:tc>
          <w:tcPr>
            <w:tcW w:w="0" w:type="dxa"/>
            <w:vAlign w:val="bottom"/>
          </w:tcPr>
          <w:p>
            <w:pPr>
              <w:spacing w:after="0"/>
              <w:rPr>
                <w:sz w:val="1"/>
                <w:szCs w:val="1"/>
                <w:color w:val="auto"/>
              </w:rPr>
            </w:pPr>
          </w:p>
        </w:tc>
      </w:tr>
      <w:tr>
        <w:trPr>
          <w:trHeight w:val="322"/>
        </w:trPr>
        <w:tc>
          <w:tcPr>
            <w:tcW w:w="2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Total estimated interest payments </w:t>
            </w:r>
            <w:r>
              <w:rPr>
                <w:rFonts w:ascii="Arial" w:cs="Arial" w:eastAsia="Arial" w:hAnsi="Arial"/>
                <w:sz w:val="17"/>
                <w:szCs w:val="17"/>
                <w:color w:val="auto"/>
                <w:vertAlign w:val="superscript"/>
              </w:rPr>
              <w:t>(1)</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19,893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34,049</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32,610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30,537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21,217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22,063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160,369</w:t>
            </w:r>
          </w:p>
        </w:tc>
        <w:tc>
          <w:tcPr>
            <w:tcW w:w="0" w:type="dxa"/>
            <w:vAlign w:val="bottom"/>
          </w:tcPr>
          <w:p>
            <w:pPr>
              <w:spacing w:after="0"/>
              <w:rPr>
                <w:sz w:val="1"/>
                <w:szCs w:val="1"/>
                <w:color w:val="auto"/>
              </w:rPr>
            </w:pPr>
          </w:p>
        </w:tc>
      </w:tr>
      <w:tr>
        <w:trPr>
          <w:trHeight w:val="324"/>
        </w:trPr>
        <w:tc>
          <w:tcPr>
            <w:tcW w:w="2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Obligation to third-party (Repauno)</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5,500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6,500</w:t>
            </w:r>
          </w:p>
        </w:tc>
        <w:tc>
          <w:tcPr>
            <w:tcW w:w="0" w:type="dxa"/>
            <w:vAlign w:val="bottom"/>
          </w:tcPr>
          <w:p>
            <w:pPr>
              <w:spacing w:after="0"/>
              <w:rPr>
                <w:sz w:val="1"/>
                <w:szCs w:val="1"/>
                <w:color w:val="auto"/>
              </w:rPr>
            </w:pPr>
          </w:p>
        </w:tc>
      </w:tr>
      <w:tr>
        <w:trPr>
          <w:trHeight w:val="297"/>
        </w:trPr>
        <w:tc>
          <w:tcPr>
            <w:tcW w:w="2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lease obligations</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4,733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5,849</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5,684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5,032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4,130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73,285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98,713</w:t>
            </w:r>
          </w:p>
        </w:tc>
        <w:tc>
          <w:tcPr>
            <w:tcW w:w="0" w:type="dxa"/>
            <w:vAlign w:val="bottom"/>
          </w:tcPr>
          <w:p>
            <w:pPr>
              <w:spacing w:after="0"/>
              <w:rPr>
                <w:sz w:val="1"/>
                <w:szCs w:val="1"/>
                <w:color w:val="auto"/>
              </w:rPr>
            </w:pPr>
          </w:p>
        </w:tc>
      </w:tr>
      <w:tr>
        <w:trPr>
          <w:trHeight w:val="266"/>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Capital lease obligations</w:t>
            </w: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153</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201</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204</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187</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807</w:t>
            </w:r>
          </w:p>
        </w:tc>
        <w:tc>
          <w:tcPr>
            <w:tcW w:w="0" w:type="dxa"/>
            <w:vAlign w:val="bottom"/>
          </w:tcPr>
          <w:p>
            <w:pPr>
              <w:spacing w:after="0"/>
              <w:rPr>
                <w:sz w:val="1"/>
                <w:szCs w:val="1"/>
                <w:color w:val="auto"/>
              </w:rPr>
            </w:pPr>
          </w:p>
        </w:tc>
      </w:tr>
      <w:tr>
        <w:trPr>
          <w:trHeight w:val="250"/>
        </w:trPr>
        <w:tc>
          <w:tcPr>
            <w:tcW w:w="274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4,886</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6,050</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5,888</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5,219</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4,185</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73,292</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99,520</w:t>
            </w:r>
          </w:p>
        </w:tc>
        <w:tc>
          <w:tcPr>
            <w:tcW w:w="0" w:type="dxa"/>
            <w:vAlign w:val="bottom"/>
          </w:tcPr>
          <w:p>
            <w:pPr>
              <w:spacing w:after="0"/>
              <w:rPr>
                <w:sz w:val="1"/>
                <w:szCs w:val="1"/>
                <w:color w:val="auto"/>
              </w:rPr>
            </w:pPr>
          </w:p>
        </w:tc>
      </w:tr>
      <w:tr>
        <w:trPr>
          <w:trHeight w:val="241"/>
        </w:trPr>
        <w:tc>
          <w:tcPr>
            <w:tcW w:w="2740" w:type="dxa"/>
            <w:vAlign w:val="bottom"/>
          </w:tcPr>
          <w:p>
            <w:pPr>
              <w:ind w:left="40"/>
              <w:spacing w:after="0"/>
              <w:rPr>
                <w:sz w:val="20"/>
                <w:szCs w:val="20"/>
                <w:color w:val="auto"/>
              </w:rPr>
            </w:pPr>
            <w:r>
              <w:rPr>
                <w:rFonts w:ascii="Arial" w:cs="Arial" w:eastAsia="Arial" w:hAnsi="Arial"/>
                <w:sz w:val="14"/>
                <w:szCs w:val="14"/>
                <w:b w:val="1"/>
                <w:bCs w:val="1"/>
                <w:color w:val="auto"/>
              </w:rPr>
              <w:t>Total contractual obligations</w:t>
            </w: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32,295</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67,422</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89,008</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182,169</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28,102</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381,135</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780,131</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6725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160" w:hanging="125"/>
        <w:spacing w:after="0"/>
        <w:tabs>
          <w:tab w:leader="none" w:pos="160" w:val="left"/>
        </w:tabs>
        <w:numPr>
          <w:ilvl w:val="0"/>
          <w:numId w:val="27"/>
        </w:numPr>
        <w:rPr>
          <w:rFonts w:ascii="Arial" w:cs="Arial" w:eastAsia="Arial" w:hAnsi="Arial"/>
          <w:sz w:val="15"/>
          <w:szCs w:val="15"/>
          <w:color w:val="auto"/>
          <w:vertAlign w:val="superscript"/>
        </w:rPr>
      </w:pPr>
      <w:r>
        <w:rPr>
          <w:rFonts w:ascii="Arial" w:cs="Arial" w:eastAsia="Arial" w:hAnsi="Arial"/>
          <w:sz w:val="12"/>
          <w:szCs w:val="12"/>
          <w:color w:val="auto"/>
        </w:rPr>
        <w:t>Estimated interest payments based on rates as of March 31, 2017.</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expect to meet our future short-term liquidity requirements through cash on hand and net cash provided by our current operations. We expect that our operating subsidiaries will generate sufficient cash flow to cover operating expenses and the payment of principal and interest on our indebtedness as they become due. We may elect to meet certain long-term liquidity requirements or to continue to pursue strategic opportunities through utilizing cash on hand, cash generated from our current operations and the issuance of securities in the future. Management believes adequate capital and borrowings are available from various sources to fund our commitments to the extent required.</w:t>
      </w:r>
    </w:p>
    <w:p>
      <w:pPr>
        <w:spacing w:after="0" w:line="22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006EBF"/>
        </w:rPr>
        <w:t>Item 3.</w:t>
      </w:r>
      <w:r>
        <w:rPr>
          <w:sz w:val="20"/>
          <w:szCs w:val="20"/>
          <w:color w:val="auto"/>
        </w:rPr>
        <w:tab/>
      </w:r>
      <w:r>
        <w:rPr>
          <w:rFonts w:ascii="Arial" w:cs="Arial" w:eastAsia="Arial" w:hAnsi="Arial"/>
          <w:sz w:val="17"/>
          <w:szCs w:val="17"/>
          <w:b w:val="1"/>
          <w:bCs w:val="1"/>
          <w:color w:val="006EBF"/>
        </w:rPr>
        <w:t>Quantitative and Qualitative Disclosures About Market Risk</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Market risk represents the risk of changes in value of a financial instrument, caused by fluctuations in interest rates and foreign exchange rates. Changes in these factors could cause fluctuations in our results of operations and cash flows. We are exposed to the market risks described below.</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Interest Rate Risk</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Interest rate risk is the exposure to loss resulting from changes in the level of interest rates and the spread between different interest rates. Interest rate risk is highly sensitive to many factors, including the U.S. government’s monetary and tax policies, global economic factors and other factors beyond our control. We are exposed to changes in the level of interest rates and to changes in the relationship or spread between interest rates. Our primary interest rate exposure relates to our term loan arrangements.</w:t>
      </w:r>
    </w:p>
    <w:p>
      <w:pPr>
        <w:spacing w:after="0" w:line="11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Our borrowing agreements generally require payments based on a variable interest rate index, such as LIBOR. Therefore, to the extent our borrowing costs are not fixed, increases in interest rates may reduce our net income by increasing the cost of our debt without any corresponding increase in rents or cash flow from our finance leases. We manage our exposure to interest rate movements through the use of interest rate derivatives (interest rate swaps and caps). As a result, when market rates of interest change, there is generally not a material impact on our interest expense, future earnings or cash flows.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579" w:right="239" w:bottom="1440" w:gutter="0" w:footer="0" w:header="0"/>
        </w:sectPr>
      </w:pPr>
    </w:p>
    <w:bookmarkStart w:id="63" w:name="page64"/>
    <w:bookmarkEnd w:id="63"/>
    <w:p>
      <w:pPr>
        <w:jc w:val="both"/>
        <w:spacing w:after="0" w:line="253" w:lineRule="auto"/>
        <w:rPr>
          <w:sz w:val="20"/>
          <w:szCs w:val="20"/>
          <w:color w:val="auto"/>
        </w:rPr>
      </w:pPr>
      <w:r>
        <w:rPr>
          <w:rFonts w:ascii="Arial" w:cs="Arial" w:eastAsia="Arial" w:hAnsi="Arial"/>
          <w:sz w:val="16"/>
          <w:szCs w:val="16"/>
          <w:color w:val="auto"/>
        </w:rPr>
        <w:t>The following discussion about the potential effects of changes in interest rates is based on a sensitivity analysis, which models the effects of hypothetical interest rate shifts on our financial condition and results of operations. Although we believe a sensitivity analysis provides the most meaningful analysis permitted by the rules and regulations of the SEC, it is constrained by several factors, including the necessity to conduct the analysis based on a single point in time and by the inability to include the extraordinarily complex market reactions that normally would arise from the market shifts modeled. Although the following results of a sensitivity analysis for changes in interest rates may have some limited use as a benchmark, they should not be viewed as a forecast. This forward-looking disclosure also is selective in nature and addresses only the potential interest expense impacts on our financial instruments and, in particular, does not address the mark-to-market impact on our interest rate derivatives. It also does not include a variety of other potential factors that could affect our business as a result of changes in interest rates.</w:t>
      </w:r>
    </w:p>
    <w:p>
      <w:pPr>
        <w:spacing w:after="0" w:line="12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As of March 31, 2017, assuming we do not hedge our exposure to interest rate fluctuations related to our outstanding floating rate debt, a hypothetical 100-basis point increase/decrease in our variable interest rate on our borrowings would result in an interest expense increase/(decrease) of approximately $695 and $(706), respectively, over the next 12 months before the impact of interest rate derivatives.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Foreign Currency Exchange Risk</w:t>
      </w:r>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Our functional currency is U.S. dollars. All of our leasing arrangements are denominated in U.S. dollars. Currently, the majority of freight rail revenue is also denominated in U.S. dollars, but a portion is denominated in Canadian dollars. Although foreign exchange risk could arise from our operations in multiple jurisdictions, we do not have significant exposure to foreign currency risk as our leasing arrangements are denominated in U.S. dollars. All of our purchase agreements are negotiated in U.S. dollars, and we currently receive the majority of revenue in U.S. dollars. We pay substantially all of our expenses in U.S. dollars; however we pay some expenses in Canadian dollars. Because we currently receive the majority of our revenues in U.S. dollars and pay substantially all of our expenses in U.S. dollars, we do not expect a change in foreign exchange rates would have a significant impact on our results of operations or cash flows.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527"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006EBF"/>
        </w:rPr>
        <w:t>Item 4. Controls and Procedures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Disclosure Controls and Procedures</w:t>
      </w:r>
    </w:p>
    <w:p>
      <w:pPr>
        <w:spacing w:after="0" w:line="27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As of the end of the period covered by this report, an evaluation was carried out under the supervision and with the participation of the Company’s management, including its Chief Executive Officer and interim Chief Financial Officer, of the effectiveness of its disclosure controls and procedures (as defined in Rule 13a-15(e) under the Securities Exchange Act of 1934 (the “Exchange Act”)). Based upon that evaluation, the Company’s Chief Executive Officer and interim Chief Financial Officer have concluded that these disclosure controls and procedures were effective as of and for the period covered by this report.</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Internal Control over Financial Reporting</w:t>
      </w:r>
    </w:p>
    <w:p>
      <w:pPr>
        <w:spacing w:after="0" w:line="27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no change in the Company’s internal control over financial reporting (as defined in Rule 13a-15(f) under the Exchange Act) occurred during its most recent fiscal quarter that has materially affected, or is reasonably likely to materially affect, its internal control over financial reporting.</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6EBF"/>
        </w:rPr>
        <w:t>PART II—OTHER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1. Legal Proceedings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are and may become involved in legal proceedings, including but not limited to regulatory investigations and inquiries, in the ordinary course of our business. Although we are unable to predict with certainty the eventual outcome of any litigation, regulatory investigation or inquiry, in the opinion of management, we do not expect our current and any threatened legal proceedings to have a material adverse effect on our business, financial position or results of operations. Given the inherent unpredictability of these types of proceedings, however, it is possible that future adverse outcomes could have a material adverse effect on our financial results.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1A. Risk Factors</w:t>
      </w:r>
    </w:p>
    <w:p>
      <w:pPr>
        <w:spacing w:after="0" w:line="23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i w:val="1"/>
          <w:iCs w:val="1"/>
          <w:color w:val="auto"/>
        </w:rPr>
        <w:t>You should carefully consider the following risks and other information in this Form 10-K in evaluating us and our common shares. Any of the following risks, as well as additional risks and uncertainties not currently known to us or that we currently deem immaterial, could materially and adversely affect our results of operations or financial condition. The risk factors generally have been separated into the following categories: risks related to our business, risks related to our Manager, risks related to taxation and risks related to our common shares. However, these categories do overlap and should not be considered exclusive.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Risks Related to Our Business</w:t>
      </w:r>
    </w:p>
    <w:p>
      <w:pPr>
        <w:spacing w:after="0" w:line="2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Uncertainty relating to macroeconomic conditions may reduce the demand for our assets, result in non-performance of contracts by our lessees or charterers, limit our ability to obtain additional capital to finance new investments, or have other unforeseen negative effects.</w:t>
      </w:r>
    </w:p>
    <w:p>
      <w:pPr>
        <w:spacing w:after="0" w:line="13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Uncertainty and negative trends in general economic conditions in the United States and abroad, including significant tightening of credit markets and commodity price volatility, historically have created difficult operating environments for owners and operators in the transportation industry. Many factors, including factors that are beyond our control, may impact our operating results or financial condition and/or affect the lessees and charterers that form our customer base. For some years, the world has experienced weakened economic conditions and volatility following adverse changes in global capital markets. More recently, excess supply in oil and gas markets has put significant downward pressure on prices for these commodities, and may affect demand for assets used in production, refining and transportation of oil and gas. In particular, the significant decline in oil prices during 2016 has resulted in lower offshore exploration and production budgets worldwide, with industry experts predicting that offshore exploration and production spending will decrease by approximately 8% in 2017, as compared to 2016. These conditions have resulted in significant contraction, de-leveraging and reduced liquidity in the credit markets. A number of governments have implemented, or are considering implementing, a broad variety of governmental actions or new regulations for the financial markets. In addition, limitations on the availability of capital, higher costs of capital for financing expenditures or the desire to preserve liquidity, may cause our current or prospective customers to make reductions in future capital budgets and spending.</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Further, demand for our assets is related to passenger and cargo traffic growth, which in turn is dependent on general business and economic conditions. The recent global economic downturn could continue or worsen, which could have an adverse impact on passenger and cargo traffic levels and consequently our lessees’ and charterers’ business, which may in turn result in a significant reduction in revenues, earnings and cash flows, difficulties accessing capital and a deterioration in the value of our assets. We may also become exposed to increased credit risk from our customers and third parties who have obligations to us, which could result in increased non-performance of contracts by our lessees or charterers and adversely impact our business, prospects, financial condition, results of operations and cash flows.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628" w:right="239" w:bottom="1440" w:gutter="0" w:footer="0" w:header="0"/>
        </w:sectPr>
      </w:pPr>
    </w:p>
    <w:bookmarkStart w:id="65" w:name="page66"/>
    <w:bookmarkEnd w:id="65"/>
    <w:p>
      <w:pPr>
        <w:jc w:val="both"/>
        <w:spacing w:after="0" w:line="302" w:lineRule="auto"/>
        <w:rPr>
          <w:sz w:val="20"/>
          <w:szCs w:val="20"/>
          <w:color w:val="auto"/>
        </w:rPr>
      </w:pPr>
      <w:r>
        <w:rPr>
          <w:rFonts w:ascii="Arial" w:cs="Arial" w:eastAsia="Arial" w:hAnsi="Arial"/>
          <w:sz w:val="16"/>
          <w:szCs w:val="16"/>
          <w:b w:val="1"/>
          <w:bCs w:val="1"/>
          <w:i w:val="1"/>
          <w:iCs w:val="1"/>
          <w:color w:val="auto"/>
        </w:rPr>
        <w:t>The industries in which we operate have experienced periods of oversupply during which lease rates and asset values have declined, particularly during the recent economic downturn, and any future oversupply could materially adversely affect our results of operations and cash flows.</w:t>
      </w:r>
    </w:p>
    <w:p>
      <w:pPr>
        <w:spacing w:after="0" w:line="13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oversupply of a specific asset is likely to depress the lease or charter rates for and the value of that type of asset and result in decreased utilization of our assets, and the industries in which we operate have experienced periods of oversupply during which rates and asset values have declined, particularly during the recent economic downturn. Factors that could lead to such oversupply include, without limitation:</w:t>
      </w:r>
    </w:p>
    <w:p>
      <w:pPr>
        <w:spacing w:after="0" w:line="165"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general demand for the type of assets that we purchase;</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general macroeconomic conditions, including market prices for commodities that our assets may serve;</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geopolitical events, including war, prolonged armed conflict and acts of terrorism;</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outbreaks of communicable diseases and natural disasters;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governmental regulation;</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interest rates;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availability of credit;</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restructurings and bankruptcies of companies in the industries in which we operate, including our customers;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manufacturer production levels and technological innovation;</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manufacturers merging or exiting the industry or ceasing to produce certain asset types;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retirement and obsolescence of the assets that we own;</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railroad infrastructure may be damaged, including by flooding and railroad derailments;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increases in supply levels of assets in the market due to the sale or merging of operating lessors; and</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reintroduction of previously unused or dormant assets into the industries in which we operate.</w:t>
      </w:r>
    </w:p>
    <w:p>
      <w:pPr>
        <w:spacing w:after="0" w:line="22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These and other related factors are generally outside of our control and could lead to persistence of, or increase in, the oversupply of the types of assets that we acquire or decreased utilization of our assets, either of which could materially adversely affect our results of operations and cash flow. In addition, lessees may redeliver our assets to locations where there is oversupply, which may lead to additional repositioning costs for us if we move them to areas with higher demand. Positioning expenses vary depending on geographic location, distance, freight rates and other factors, and may not be fully covered by drop-off charges collected from the last lessees of the equipment or pick-up charges paid by the new lessees. Positioning expenses can be significant if a large portion of our assets are returned to locations with weak demand, which could materially adversely affect our business, prospects, financial condition, results of operations and cash flow.</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can be no assurance that any target returns will be achieved.</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Our target returns for assets are targets only and are not forecasts of future profits. We develop target returns based on our Manager’s assessment of appropriate expectations for returns on assets and the ability of our Manager to enhance the return generated by those assets through active management. There can be no assurance that these assessments and expectations will be achieved and failure to achieve any or all of them may materially adversely impact our ability to achieve any target return with respect to any or all of our assets.</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addition, our target returns are based on estimates and assumptions regarding a number of other factors, including, without limitation, holding periods, the absence of material adverse events affecting specific investments (which could include, without limitation, natural disasters, terrorism, social unrest or civil disturbances), general and local economic and market conditions, changes in law, taxation, regulation or governmental policies and changes in the political approach to transportation investment, either generally or in specific countries in which we may invest or seek to invest. Many of these factors, as well as the other risks described elsewhere in this report, are beyond our control and all could adversely affect our ability to achieve a target return with respect to an asset. Further, target returns are targets for the return generated by specific assets and not by us. Numerous factors could prevent us from achieving similar returns, notwithstanding the performance of individual assets, including, without limitation, taxation and fees payable by us or our operating subsidiaries, including fees and incentive allocation payable to our Manager.</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581" w:right="239" w:bottom="1440" w:gutter="0" w:footer="0" w:header="0"/>
        </w:sectPr>
      </w:pPr>
    </w:p>
    <w:bookmarkStart w:id="66" w:name="page67"/>
    <w:bookmarkEnd w:id="66"/>
    <w:p>
      <w:pPr>
        <w:jc w:val="both"/>
        <w:spacing w:after="0" w:line="257" w:lineRule="auto"/>
        <w:rPr>
          <w:sz w:val="20"/>
          <w:szCs w:val="20"/>
          <w:color w:val="auto"/>
        </w:rPr>
      </w:pPr>
      <w:r>
        <w:rPr>
          <w:rFonts w:ascii="Arial" w:cs="Arial" w:eastAsia="Arial" w:hAnsi="Arial"/>
          <w:sz w:val="16"/>
          <w:szCs w:val="16"/>
          <w:color w:val="auto"/>
        </w:rPr>
        <w:t>There can be no assurance that the returns generated by any of our assets will meet our target returns, or any other level of return, or that we will achieve or successfully implement our asset acquisition objectives, and failure to achieve the target return in respect of any of our assets could, among other things, have a material adverse effect on our business, prospects, financial condition, results of operations and cash flow. Further, even if the returns generated by individual assets meet target returns, there can be no assurance that the returns generated by other existing or future assets would do so, and the historical performance of the assets in our existing portfolio should not be considered as indicative of future results with respect to any assets.</w:t>
      </w:r>
    </w:p>
    <w:p>
      <w:pPr>
        <w:spacing w:after="0" w:line="17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Contractual defaults may adversely affect our business, prospects, financial condition, results of operations and cash flows by decreasing revenues and increasing storage, positioning, collection, recovery and lost equipment expenses.</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success of our business depends in large part on the success of the operators in the sectors in which we participate. Cash flows from our assets are substantially impacted by our ability to collect compensation and other amounts to be paid in respect of such assets from the customers with which we enter into leases, charters or other contractual arrangements. Inherent in the nature of the leases, charters and other arrangements for the use of such assets is the risk that we may not receive, or may experience delay in realizing, such amounts to be paid. While we target the entry into contracts with credit-worthy counterparties, no assurance can be given that such counterparties will perform their obligations during the term of the leases, charters or other contractual arrangements. In addition, when counterparties default, we may fail to recover all of our assets, and the assets we do recover may be returned in damaged condition or to locations where we will not be able to efficiently lease, charter or sell them. In most cases, we maintain, or require our lessees to maintain, certain insurances to cover the risk of damages or loss of our assets. However, these insurance policies may not be sufficient to protect us against a loss.</w:t>
      </w:r>
    </w:p>
    <w:p>
      <w:pPr>
        <w:spacing w:after="0" w:line="17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Depending on the specific sector, the risk of contractual defaults may be elevated due to excess capacity as a result of oversupply during the recent economic downturn. We lease assets to our customers pursuant to fixed-price contracts, and our customers then seek to utilize those assets to transport goods and provide services. If the price at which our customers receive for their transportation services decreases as a result of an oversupply in the marketplace, then our customers may be forced to reduce their prices in order to attract business (which may have an adverse effect on their ability to meet their contractual lease obligations to us), or may seek to renegotiate or terminate their contractual lease arrangements with us to pursue a lower-priced opportunity with another lessor, which may have a direct, adverse effect on us. See “-The industries in which we operate have experienced periods of oversupply during which lease rates and asset values have declined, particularly during the financial crisis, and any future oversupply could materially adversely affect our results of operations and cash flows.” Any default by a material customer would have a significant impact on our profitability at the time the customer defaulted, which could materially adversely affect our operating results and growth prospects. In addition, some of our counterparties may reside in jurisdictions with legal and regulatory regimes that make it difficult and costly to enforce such counterparties’ obligations.</w:t>
      </w:r>
    </w:p>
    <w:p>
      <w:pPr>
        <w:spacing w:after="0" w:line="183"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b w:val="1"/>
          <w:bCs w:val="1"/>
          <w:i w:val="1"/>
          <w:iCs w:val="1"/>
          <w:color w:val="auto"/>
        </w:rPr>
        <w:t>We may not be able to renew or obtain new or favorable charters or leases, which could adversely affect our business, prospects, financial condition, results of operations and cash flows.</w:t>
      </w:r>
    </w:p>
    <w:p>
      <w:pPr>
        <w:spacing w:after="0" w:line="13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Our operating leases are subject to greater residual risk than direct finance leases because we will own the assets at the expiration of an operating lease term and we may be unable to renew existing charters or leases at favorable rates, or at all, or sell the leased or chartered assets, and the residual value of the asset may be lower than anticipated. In addition, our ability to renew existing charters or leases or obtain new charters or leases will also depend on prevailing market conditions, and upon expiration of the contracts governing the leasing or charter of the applicable assets, we may be exposed to increased volatility in terms of rates and contract provisions. For example, we do not currently have long-term charters for our construction support vessel and our ROV support vessel. Likewise, our customers may reduce their activity levels or seek to terminate or renegotiate their charters or leases with us. If we are not able to renew or obtain new charters or leases in direct continuation, or if new charters or leases are entered into at rates substantially below the existing rates or on terms otherwise less favorable compared to existing contractual terms, or if we are unable to sell assets for which we are unable to obtain new contracts or leases, our business, prospects, financial condition, results of operations and cash flows could be materially adversely affected.</w:t>
      </w:r>
    </w:p>
    <w:p>
      <w:pPr>
        <w:spacing w:after="0" w:line="179" w:lineRule="exact"/>
        <w:rPr>
          <w:sz w:val="20"/>
          <w:szCs w:val="20"/>
          <w:color w:val="auto"/>
        </w:rPr>
      </w:pPr>
    </w:p>
    <w:p>
      <w:pPr>
        <w:jc w:val="both"/>
        <w:spacing w:after="0" w:line="274" w:lineRule="auto"/>
        <w:rPr>
          <w:sz w:val="20"/>
          <w:szCs w:val="20"/>
          <w:color w:val="auto"/>
        </w:rPr>
      </w:pPr>
      <w:r>
        <w:rPr>
          <w:rFonts w:ascii="Arial" w:cs="Arial" w:eastAsia="Arial" w:hAnsi="Arial"/>
          <w:sz w:val="16"/>
          <w:szCs w:val="16"/>
          <w:b w:val="1"/>
          <w:bCs w:val="1"/>
          <w:i w:val="1"/>
          <w:iCs w:val="1"/>
          <w:color w:val="auto"/>
        </w:rPr>
        <w:t>If we acquire a high concentration of a particular type of asset, or concentrate our investments in a particular sector, our business, prospects, financial condition, results of operations and cash flows could be adversely affected by changes in market demand or problems specific to that asset or sector.</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If we acquire a high concentration of a particular asset, or concentrate our investments in a particular sector, our business and financial results could be adversely affected by sector-specific or asset-specific factors. For example, if a particular sector experiences difficulties such as increased competition or oversupply, the operators we rely on as a lessor may be adversely affected and consequently our business and financial results may be similarly affected. If we acquire a high concentration of a particular asset and the market demand for a particular asset declines, it is redesigned or replaced by its manufacturer or it experiences design or technical problems, the value and rates relating to such asset may decline, and we may be unable to lease or charter such asset on favorable terms, if at all. Any decrease in the value and rates of our assets may have a material adverse effect on our business, prospects, financial condition, results of operations and cash flows.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581" w:right="239" w:bottom="1440" w:gutter="0" w:footer="0" w:header="0"/>
        </w:sectPr>
      </w:pPr>
    </w:p>
    <w:bookmarkStart w:id="67" w:name="page68"/>
    <w:bookmarkEnd w:id="67"/>
    <w:p>
      <w:pPr>
        <w:spacing w:after="0"/>
        <w:rPr>
          <w:sz w:val="20"/>
          <w:szCs w:val="20"/>
          <w:color w:val="auto"/>
        </w:rPr>
      </w:pPr>
      <w:r>
        <w:rPr>
          <w:rFonts w:ascii="Arial" w:cs="Arial" w:eastAsia="Arial" w:hAnsi="Arial"/>
          <w:sz w:val="16"/>
          <w:szCs w:val="16"/>
          <w:b w:val="1"/>
          <w:bCs w:val="1"/>
          <w:i w:val="1"/>
          <w:iCs w:val="1"/>
          <w:color w:val="auto"/>
        </w:rPr>
        <w:t>We operate in highly competitive markets.</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business of acquiring transportation and transportation-related infrastructure assets is highly competitive. Market competition for opportunities includes traditional transportation and infrastructure companies, commercial and investment banks, as well as a growing number of non-traditional participants, such as hedge funds, private equity funds and other private investors, including Fortress-related entities. Some of these competitors may have access to greater amounts of capital and/or to capital that may be committed for longer periods of time or may have different return thresholds than us, and thus these competitors may have certain advantages not shared by us. In addition, competitors may have incurred, or may in the future incur, leverage to finance their debt investments at levels or on terms more favorable than those available to us. Strong competition for investment opportunities could result in fewer such opportunities for us, as certain of these competitors have established and are establishing investment vehicles that target the same types of assets that we intend to purchase.</w:t>
      </w:r>
    </w:p>
    <w:p>
      <w:pPr>
        <w:spacing w:after="0" w:line="37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addition, some of our competitors may have longer operating histories, greater financial resources and lower costs of capital than us, and consequently, may be able to compete more effectively in one or more of our target markets. We likely will not always be able to compete successfully with our competitors and competitive pressures or other factors may also result in significant price competition, particularly during industry downturns, which could have a material adverse effect on our business, prospects, financial condition, results of operations and cash flows.</w:t>
      </w:r>
    </w:p>
    <w:p>
      <w:pPr>
        <w:spacing w:after="0" w:line="17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Litigation to enforce our contracts and recover our assets has inherent uncertainties that are increased by the location of our assets in jurisdictions that have less developed legal systems.</w:t>
      </w:r>
    </w:p>
    <w:p>
      <w:pPr>
        <w:spacing w:after="0" w:line="13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While some of our contractual arrangements are governed by New York law and provide for the non-exclusive jurisdiction of the courts located in the state of New York, our ability to enforce our counterparties’ obligations under such contractual arrangements is subject to applicable laws in the jurisdiction in which enforcement is sought. While some of our existing assets are used in specific jurisdictions, transportation and transportation-related infrastructure assets by their nature generally move throughout multiple jurisdictions in the ordinary course of business. As a result, it is not possible to predict, with any degree of certainty, the jurisdictions in which enforcement proceedings may be commenced. Litigation and enforcement proceedings have inherent uncertainties in any jurisdiction and are expensive. These uncertainties are enhanced in countries that have less developed legal systems where the interpretation of laws and regulations is not consistent, may be influenced by factors other than legal merits and may be cumbersome, time-consuming and even more expensive. For example, repossession from defaulting lessees may be difficult and more expensive in jurisdictions whose laws do not confer the same security interests and rights to creditors and lessors as those in the United States and where the legal system is not as well developed. As a result, the remedies available and the relative success and expedience of collection and enforcement proceedings with respect to the owned assets in various jurisdictions cannot be predicted. To the extent more of our business shifts to areas outside of the United States and Europe, such as China and Malaysia, it may become more difficult and expensive to enforce our rights and recover our assets.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Certain liens may arise on our assets.</w:t>
      </w:r>
    </w:p>
    <w:p>
      <w:pPr>
        <w:spacing w:after="0" w:line="22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Certain of our assets are currently subject to liens under separate financing arrangements entered into by certain subsidiaries in connection with acquisitions of assets. In the event of a default under such arrangements by the applicable subsidiary, the lenders thereunder would be permitted to take possession of or sell such assets. See “Management’s Discussion and Analysis of Financial Condition and Results of Operations-Liquidity and Capital Resources.” In addition, our currently owned assets and assets that we purchase in the future may be subject to other liens based on the industry practices relating to such assets. Until they are discharged, these liens could impair our ability to repossess, re-lease or sell our assets, and to the extent our lessees or charterers do not comply with their obligations to discharge any liens on the applicable assets, we may find it necessary to pay the claims secured by such liens in order to repossess such assets. Such payments could materially adversely affect our operating results and growth prospects.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values of the assets that we purchase may fluctuate due to various factors.</w:t>
      </w:r>
    </w:p>
    <w:p>
      <w:pPr>
        <w:spacing w:after="0" w:line="22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fair market values of our assets may decrease or increase depending on a number of factors, including the prevailing level of charter or lease rates from time to time, general economic and market conditions affecting our target markets, type and age of assets, supply and demand for assets, competition, new governmental or other regulations and technological advances, all of which could impact our profitability and our ability to lease, charter, develop, operate, or sell such assets. In addition, our assets depreciate as they age and may generate lower revenues and cash flows. We must be able to replace such older, depreciated assets with newer assets, or our ability to maintain or increase our revenues and cash flows will decline. In addition, if we dispose of an asset for a price that is less than the depreciated book value of the asset on our balance sheet or if we determine that an asset’s value has been impaired, we will recognize a related charge in our consolidated statement of operations and such charge could be material.</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581" w:right="239" w:bottom="1440" w:gutter="0" w:footer="0" w:header="0"/>
        </w:sectPr>
      </w:pPr>
    </w:p>
    <w:bookmarkStart w:id="68" w:name="page69"/>
    <w:bookmarkEnd w:id="68"/>
    <w:p>
      <w:pPr>
        <w:spacing w:after="0"/>
        <w:rPr>
          <w:sz w:val="20"/>
          <w:szCs w:val="20"/>
          <w:color w:val="auto"/>
        </w:rPr>
      </w:pPr>
      <w:r>
        <w:rPr>
          <w:rFonts w:ascii="Arial" w:cs="Arial" w:eastAsia="Arial" w:hAnsi="Arial"/>
          <w:sz w:val="16"/>
          <w:szCs w:val="16"/>
          <w:b w:val="1"/>
          <w:bCs w:val="1"/>
          <w:i w:val="1"/>
          <w:iCs w:val="1"/>
          <w:color w:val="auto"/>
        </w:rPr>
        <w:t>Our use of joint ventures or partnerships, and our Manager’s outsourcing of certain functions, may present unforeseen obstacles or costs.</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have acquired and may in the future acquire interests in certain assets in cooperation with third-party partners or co-investors through jointly-owned acquisition vehicles, joint ventures or other structures. In these co-investment situations, our ability to control the management of such assets depends upon the nature and terms of the joint arrangements with such partners and our relative ownership stake in the asset, each of which will be determined by negotiation at the time of the investment and the determination of which is subject to the discretion of our Manager. Depending on our Manager’s perception of the relative risks and rewards of a particular asset, our Manager may elect to acquire interests in structures that afford relatively little or no operational and/or management control to us. Such arrangements present risks not present with wholly-owned assets, such as the possibility that a co-investor becomes bankrupt, develops business interests or goals that conflict with our interests and goals in respect of the assets, all of which could materially adversely affect our business, prospects, financial condition, results of operations and cash flows.</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addition, our Manager expects to utilize third party contractors to perform services and functions related to the operation and leasing of our assets. These functions may include billing, collections, recovery and asset monitoring. Because we and our Manager do not directly control these third parties, there can be no assurance that the services they provide will be delivered at a level commensurate with our expectations, or at all. The failure of any such third party contractors to perform in accordance with our expectations could materially adversely affect our business, prospects, financial condition, results of operations and cash flows.</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the risks and costs of obsolescence of our assets.</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Technological and other improvements expose us to the risk that certain of our assets may become technologically or commercially obsolete. For example, in our Aviation Leasing segment, as manufacturers introduce technological innovations and new types of aircraft, some of our assets could become less desirable to potential lessees. Such technological innovations may increase the rate of obsolescence of existing aircraft faster than currently anticipated by us. In addition, the imposition of increased regulation regarding stringent noise or emissions restrictions may make some of our aircraft less desirable and less valuable in the marketplace. In our Offshore Energy segment, development and construction of new, sophisticated, high-specification assets could cause our assets to become less desirable to potential charterers, and insurance rates may also increase with the age of a vessel, making older vessels less desirable to potential charterers. Any of these risks may adversely affect our ability to lease, charter or sell our assets on favorable terms, if at all, which could materially adversely affect our operating results and growth prospects.</w:t>
      </w:r>
    </w:p>
    <w:p>
      <w:pPr>
        <w:spacing w:after="0" w:line="177"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b w:val="1"/>
          <w:bCs w:val="1"/>
          <w:i w:val="1"/>
          <w:iCs w:val="1"/>
          <w:color w:val="auto"/>
        </w:rPr>
        <w:t>The North American rail sector is a highly regulated industry and increased costs of compliance with, or liability for violation of, existing or future laws, regulations and other requirements could significantly increase our costs of doing business, thereby adversely affecting our profitability.</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rail sector is subject to extensive laws, regulations and other requirements including, but not limited to, those relating to the environment, safety, rates and charges, service obligations, employment, labor, immigration, minimum wages and overtime pay, health care and benefits, working conditions, public accessibility and other requirements. These laws and regulations are enforced by U.S. and Canadian federal agencies including the U.S. and Canadian Environmental Protection Agencies, the U.S. and Canadian Departments of Transportation (USDOT or Transport Canada), the Occupational Safety and Health Act (OSHA or Canadian provincial equivalents), the U.S. Federal Railroad Administration, or FRA, and the U.S. Surface Transportation Board, or STB, as well as numerous other state, provincial, local and federal agencies. Ongoing compliance with, or a violation of, these laws, regulations and other requirements could have a material adverse effect on our business, financial condition and results of operations.</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believe that our rail operations are in substantial compliance with applicable laws and regulations. However, these laws and regulations, and the interpretation or enforcement thereof, are subject to frequent change and varying interpretation by regulatory authorities, and we are unable to predict the ongoing cost to us of complying with these laws and regulations or the future impact of these laws and regulations on our operations. In addition, from time to time we are subject to inspections and investigations by various regulators. Violation of environmental or other laws, regulations and permits can result in the imposition of significant administrative, civil and criminal penalties, injunctions and construction bans or delays.</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Legislation passed by the U.S. Congress or Canadian Parliament or new regulations issued by federal agencies can significantly affect the revenues, costs and profitability of our business. For instance, in December 2009, a proposed bill called the “Surface Transportation Board Reauthorization Act of 2009” was introduced in the Senate but not advanced. In addition, more recently proposed bills such as the “Rail Shipper Fairness Act of 2015,” if adopted, could increase government involvement in railroad pricing, service and operations and significantly change the federal regulatory framework of the railroad industry. Several of the changes under consideration could have a significant negative impact on FTAI’s ability to determine prices for rail services, meet service standards and could force a reduction in capital spending. Statutes imposing price constraints or affecting rail-to-rail competition could adversely affect FTAI’s profitability.</w:t>
      </w:r>
    </w:p>
    <w:p>
      <w:pPr>
        <w:spacing w:after="0" w:line="17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Under various U.S. and Canadian federal, state, provincial and local environmental requirements, as the owner or operator of terminals or other facilities, we may be liable for the costs of removal or remediation of contamination at or from our existing locations, whether we knew of, or were responsible for, the presence of such contamination. The failure to timely report and properly remediate contamination may subject us to liability to third parties and may adversely affect our ability to sell or rent our property or to borrow</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581" w:right="239" w:bottom="1440" w:gutter="0" w:footer="0" w:header="0"/>
        </w:sectPr>
      </w:pPr>
    </w:p>
    <w:bookmarkStart w:id="69" w:name="page70"/>
    <w:bookmarkEnd w:id="69"/>
    <w:p>
      <w:pPr>
        <w:jc w:val="both"/>
        <w:spacing w:after="0" w:line="261" w:lineRule="auto"/>
        <w:rPr>
          <w:sz w:val="20"/>
          <w:szCs w:val="20"/>
          <w:color w:val="auto"/>
        </w:rPr>
      </w:pPr>
      <w:r>
        <w:rPr>
          <w:rFonts w:ascii="Arial" w:cs="Arial" w:eastAsia="Arial" w:hAnsi="Arial"/>
          <w:sz w:val="16"/>
          <w:szCs w:val="16"/>
          <w:color w:val="auto"/>
        </w:rPr>
        <w:t>money using our property as collateral. Additionally, we may be liable for the costs of remediating third-party sites where hazardous substances from our operations have been transported for treatment or disposal, regardless of whether we own or operate that site. In the future, we may incur substantial expenditures for investigation or remediation of contamination that has not yet been discovered at our current or former locations or locations that we may acquire.</w:t>
      </w:r>
    </w:p>
    <w:p>
      <w:pPr>
        <w:spacing w:after="0" w:line="17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A discharge of hydrocarbons or hazardous substances into the environment associated with operating our rail assets could subject us to substantial expense, including the cost to recover the materials spilled, restore the affected natural resources, pay fines and penalties, and natural resource damages and claims made by employees, neighboring landowners, government authorities and other third parties, including for personal injury and property damage. We may experience future catastrophic sudden or gradual releases into the environment from our facilities or discover historical releases that were previously unidentified or not assessed. Although our inspection and testing programs are designed to prevent, detect and address any such releases promptly, the liabilities incurred due to any future releases into the environment from our assets, have the potential to substantially affect our business. Such events could also subject us to media and public scrutiny that could have a negative effect on our operations and also on the value of our common shares.</w:t>
      </w:r>
    </w:p>
    <w:p>
      <w:pPr>
        <w:spacing w:after="0" w:line="17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Our business could be adversely affected if service on the railroads is interrupted or if more stringent regulations are adopted regarding railcar design or the transportation of crude oil by rail.</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As a result of hydraulic fracturing and other improvements in extraction technologies, there has been a substantial increase in the volume of crude oil and liquid hydrocarbons produced and transported in North America, and a geographic shift in that production versus historical production. The increase in volume and shift in geography has resulted in a growing percentage of crude oil being transported by rail. High-profile accidents involving crude-oil-carrying trains in Quebec, North Dakota and Virginia, and more recently in West Virginia and Illinois, have raised concerns about the environmental and safety risks associated with crude oil transport by rail and the associated risks arising from railcar design.</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May 2015, the DOT issued new production standards and operational controls for rail tank cars used in “High-Hazard Flammable Trains” (i.e., trains carrying commodities such as ethanol, crude oil and other flammable liquids). Similar standards have been adopted in Canada. The new standard applies for all cars manufactured after October 1, 2015, and existing tank cars must be retrofitted within the next three to eight years. The applicable operational controls include reduced speed restrictions, and maximum lengths on trains carrying these materials. Retrofitting our tank cars will be required under these new standards. While we may be able to pass some of these costs on to our customers, there may be costs that we cannot pass on to them. We continue to monitor the railcar regulatory landscape and remain in close contact with railcar suppliers and other industry stakeholders to stay informed of railcar regulation rulemaking developments. It is unclear how these regulations will impact the crude-by-rail industry, and any such impact would depend on a number of factors that are outside of our control. If, for example, overall volume of crude-by-rail decreases, or if we do not have access to a sufficient number of compliant cars to transport required volumes under our existing contracts, our operations may be negatively affected. This may lead to a decrease in revenues and other consequences.</w:t>
      </w:r>
    </w:p>
    <w:p>
      <w:pPr>
        <w:spacing w:after="0" w:line="37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adoption of additional federal, state, provincial or local laws or regulations, including any voluntary measures by the rail industry regarding railcar design or crude oil and liquid hydrocarbon rail transport activities, or efforts by local communities to restrict or limit rail traffic involving crude oil, could affect our business by increasing compliance costs and decreasing demand for our services, which could adversely affect our financial position and cash flows. Moreover, any disruptions in the operations of railroads, including those due to shortages of railcars, weather-related problems, flooding, drought, accidents, mechanical difficulties, strikes, lockouts or bottlenecks, could adversely impact our customers’ ability to move their product and, as a result, could affect our business.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581" w:right="239" w:bottom="1440" w:gutter="0" w:footer="0" w:header="0"/>
        </w:sectPr>
      </w:pPr>
    </w:p>
    <w:bookmarkStart w:id="70" w:name="page71"/>
    <w:bookmarkEnd w:id="70"/>
    <w:p>
      <w:pPr>
        <w:jc w:val="both"/>
        <w:ind w:right="20"/>
        <w:spacing w:after="0" w:line="302" w:lineRule="auto"/>
        <w:rPr>
          <w:sz w:val="20"/>
          <w:szCs w:val="20"/>
          <w:color w:val="auto"/>
        </w:rPr>
      </w:pPr>
      <w:r>
        <w:rPr>
          <w:rFonts w:ascii="Arial" w:cs="Arial" w:eastAsia="Arial" w:hAnsi="Arial"/>
          <w:sz w:val="16"/>
          <w:szCs w:val="16"/>
          <w:b w:val="1"/>
          <w:bCs w:val="1"/>
          <w:i w:val="1"/>
          <w:iCs w:val="1"/>
          <w:color w:val="auto"/>
        </w:rPr>
        <w:t>Our assets are exposed to unplanned interruptions caused by catastrophic events outside of our control which may disrupt our business and cause damage or losses that may not be adequately covered by insurance.</w:t>
      </w:r>
    </w:p>
    <w:p>
      <w:pPr>
        <w:spacing w:after="0" w:line="13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operations of transportation and infrastructure projects are exposed to unplanned interruptions caused by significant catastrophic events, such as cyclones, earthquakes, landslides, floods, explosions, fires, major plant breakdowns, pipeline or electricity line ruptures or other disasters. Operational disruption, as well as supply disruption, could adversely impact the cash flows available from these assets. In addition, the cost of repairing or replacing damaged assets could be considerable. Repeated or prolonged interruption may result in temporary or permanent loss of customers, substantial litigation or penalties for regulatory or contractual non-compliance, and any loss from such events may not be recoverable under relevant insurance policies. Although we believe that we are adequately insured against these types of events, either indirectly through our lessees or charterers or through our own insurance policies, no assurance can be given that the occurrence of any such event will not materially adversely affect us. In addition, if a lessee or charterer is not obligated to maintain sufficient insurance, we may incur the costs of additional insurance coverage during the related lease or charter. We can give no assurance that such insurance will be available at commercially reasonable rates, if at all.</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assets generally require routine maintenance, and we may be exposed to unforeseen maintenance costs.</w:t>
      </w:r>
    </w:p>
    <w:p>
      <w:pPr>
        <w:spacing w:after="0" w:line="22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We may be exposed to unforeseen maintenance costs for our assets associated with a lessee’s or charterer’s failure to properly maintain the asset. We enter into leases and charters with respect to some of our assets pursuant to which the lessees are primarily responsible for many obligations, which generally include complying with all governmental requirements applicable to the lessee or charterer, including operational, maintenance, government agency oversight, registration requirements and other applicable directives. Failure of a lessee or charterer to perform required maintenance during the term of a lease or charter could result in a decrease in value of an asset, an inability to re-lease or charter an asset at favorable rates, if at all, or a potential inability to utilize an asset. Maintenance failures would also likely require us to incur maintenance and modification costs upon the termination of the applicable lease or charter; such costs to restore the asset to an acceptable condition prior to re-leasing, charter or sale could be substantial. Any failure by our lessees or charterers to meet their obligations to perform required scheduled maintenance or our inability to maintain our assets could materially adversely affect our business, prospects, financial condition, results of operations and cash flows.</w:t>
      </w:r>
    </w:p>
    <w:p>
      <w:pPr>
        <w:spacing w:after="0" w:line="17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Some of our customers operate in highly regulated industries and changes in laws or regulations, including laws with respect to international trade, may adversely affect our ability to lease, charter or sell our assets.</w:t>
      </w:r>
    </w:p>
    <w:p>
      <w:pPr>
        <w:spacing w:after="0" w:line="13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Some of our customers operate in highly regulated industries such as aviation and offshore energy. A number of our contractual arrangements-for example, our leasing aircraft engines or offshore energy equipment to third-party operators-require the operator (our customer) to obtain specific governmental or regulatory licenses, consents or approvals. These include consents for certain payments under such arrangements and for the export, import or re-export of the related assets. Failure by our customers or, in certain circumstances, by us, to obtain certain licenses and approvals could negatively affect our ability to conduct our business. In addition, the shipment of goods, services and technology across international borders subjects the operation of our assets to international trade laws and regulations. Moreover, many countries, including the United States, control the export and re-export of certain goods, services and technology and impose related export recordkeeping and reporting obligations. Governments also may impose economic sanctions against certain countries, persons and other entities that may restrict or prohibit transactions involving such countries, persons and entities. If any such regulations or sanctions affect the asset operators that are our customers, our business, prospects, financial condition, results of operations and cash flows may be materially adversely affected.</w:t>
      </w:r>
    </w:p>
    <w:p>
      <w:pPr>
        <w:spacing w:after="0" w:line="17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It is impossible to predict whether third parties will allege liability related to our purchase of the Montreal, Maine and Atlantic Railway (“MM&amp;A”) assets out of bankruptcy, including possible claims related to the July 6, 2013 train derailment near Lac-Mégantic, Quebec.</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July 6, 2013, prior to our ownership, a train carrying crude oil on the MM&amp;A line derailed near Lac-Mégantic, Quebec which resulted in fires that claimed the lives of 47 individuals (the “Incident”). Approximately two million gallons of crude oil were either burned or released into the environment, including into the nearby Chaudière River. Prior to our acquisition of the MM&amp;A assets in May and June 2014, we received written assurance from the Quebec Ministry of Sustainable Development, Environment, Wildlife and Parks that it would take full responsibility for the environmental clean-up and that it would not hold CMQR liable for any environmental damages or costs relating to clean-up or restoration of the affected area as a result of the Incident. While we don’t anticipate any liability relating to the Incident, including liability for claims alleging personal injury, property damage or natural resource damages, there can be no assurance that such claims relating to the Incident will not arise in the future. No claims have been made or threatened against us as of March 31, 2017 and we do not anticipate any expenditures relating to environmental clean-up (including impacts to the Chaudière River) as a result of the Incident.</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581" w:right="239" w:bottom="1440" w:gutter="0" w:footer="0" w:header="0"/>
        </w:sectPr>
      </w:pPr>
    </w:p>
    <w:bookmarkStart w:id="71" w:name="page72"/>
    <w:bookmarkEnd w:id="71"/>
    <w:p>
      <w:pPr>
        <w:jc w:val="both"/>
        <w:spacing w:after="0" w:line="302" w:lineRule="auto"/>
        <w:rPr>
          <w:sz w:val="20"/>
          <w:szCs w:val="20"/>
          <w:color w:val="auto"/>
        </w:rPr>
      </w:pPr>
      <w:r>
        <w:rPr>
          <w:rFonts w:ascii="Arial" w:cs="Arial" w:eastAsia="Arial" w:hAnsi="Arial"/>
          <w:sz w:val="16"/>
          <w:szCs w:val="16"/>
          <w:b w:val="1"/>
          <w:bCs w:val="1"/>
          <w:i w:val="1"/>
          <w:iCs w:val="1"/>
          <w:color w:val="auto"/>
        </w:rPr>
        <w:t>Certain of our assets are subject to purchase options held by the charterer or lessee of the asset which, if exercised, could reduce the size of our asset base and our future revenues.</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 have granted purchase options to the charterers and lessees of certain of our assets. The market values of these assets may change from time to time depending on a number of factors, such as general economic and market conditions affecting the industries in which we operate, competition, cost of construction, governmental or other regulations, technological changes and prevailing levels of charter or lease rates from time to time. The purchase price under a purchase option may be less than the asset’s market value at the time the option may be exercised. In addition, we may not be able to obtain a replacement asset for the price at which the asset is sold. In such cases, our business, prospects, financial condition, results of operations and cash flows may be materially adversely affected.</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The profitability of our Offshore Energy segment may be impacted by the profitability of the offshore oil and gas industry generally, which is significantly affected by, among other things, volatile oil and gas prices.</w:t>
      </w:r>
    </w:p>
    <w:p>
      <w:pPr>
        <w:spacing w:after="0" w:line="13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Demand for assets in the Offshore Energy segment and our ability to secure charter contracts for our assets at favorable charter rates following expiry or termination of existing charters will depend, among other things, on the level of activity in the offshore oil and gas industry. The offshore oil and gas industry is cyclical and volatile, and demand for oil-service assets depends on, among other things, the level of development and activity in oil and gas exploration, as well as the identification and development of oil and gas reserves and production in offshore areas worldwide. The availability of high quality oil and gas prospects, exploration success, relative production costs, the stage of reservoir development, political concerns and regulatory requirements all affect the level of activity for charterers of oil-service vessels. Accordingly, oil and gas prices and market expectations of potential changes in these prices significantly affect the level of activity and demand for oil-service assets. Oil and gas prices can be extremely volatile (and have declined significantly in the last year) and are affected by numerous factors beyond the Company’s control, such as: worldwide demand for oil and gas; costs of exploring, developing, producing and delivering oil and gas; expectations regarding future energy prices; the ability of the Organization of Petroleum Exporting Countries (“OPEC”) to set and maintain production levels and impact pricing; the level of production in non-OPEC countries; governmental regulations and policies regarding development of oil and gas reserves; local and international political, economic and weather conditions; domestic and foreign tax policies; political and military conflicts in oil-producing and other countries; and the development and exploration of alternative fuels. Any reduction in the demand for our assets due to these or other factors could materially adversely affect our operating results and growth prospects.</w:t>
      </w:r>
    </w:p>
    <w:p>
      <w:pPr>
        <w:spacing w:after="0" w:line="18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Our Shipping Containers segment is affected by the lack of an international title registry for containers, which increases the risk of ownership disputes.</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Although the Bureau International des Containers registers and allocates a unique four letter prefix to every container in accordance with International Standardization Organization (“ISO”) standard 6346 (Freight container coding, identification and marking) there is no internationally recognized system of recordation or filing to evidence our title to containers nor is there an internationally recognized system for filing security interest in containers. While this has not historically had a material impact on our intermodal assets, the lack of a title recordation system with respect to containers could result in disputes with lessees, end-users, or third parties, such as creditors of end-users, who may improperly claim ownership of the containers, especially in countries with less developed legal systems.</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Our international operations involve additional risks, which could adversely affect our business, prospects, financial condition, results of operations and cash flows.</w:t>
      </w:r>
    </w:p>
    <w:p>
      <w:pPr>
        <w:spacing w:after="0" w:line="131"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We and our customers operate in various regions throughout the world. As a result, we may, directly or indirectly, be exposed to political and other uncertainties, including risks of:</w:t>
      </w:r>
    </w:p>
    <w:p>
      <w:pPr>
        <w:spacing w:after="0" w:line="148"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terrorist acts, armed hostilities, war and civil disturbances;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acts of piracy;</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significant governmental influence over many aspects of local economies;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seizure, nationalization or expropriation of property or equipment;</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repudiation, nullification, modification or renegotiation of contracts;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limitations on insurance coverage, such as war risk coverage, in certain areas;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political unrest;</w:t>
      </w:r>
    </w:p>
    <w:p>
      <w:pPr>
        <w:spacing w:after="0" w:line="221" w:lineRule="exact"/>
        <w:rPr>
          <w:rFonts w:ascii="Arial" w:cs="Arial" w:eastAsia="Arial" w:hAnsi="Arial"/>
          <w:sz w:val="16"/>
          <w:szCs w:val="16"/>
          <w:color w:val="auto"/>
        </w:rPr>
      </w:pPr>
    </w:p>
    <w:p>
      <w:pPr>
        <w:ind w:left="5620" w:right="4720" w:hanging="5288"/>
        <w:spacing w:after="0" w:line="608" w:lineRule="auto"/>
        <w:tabs>
          <w:tab w:leader="none" w:pos="652" w:val="left"/>
        </w:tabs>
        <w:numPr>
          <w:ilvl w:val="0"/>
          <w:numId w:val="29"/>
        </w:numPr>
        <w:rPr>
          <w:rFonts w:ascii="Arial" w:cs="Arial" w:eastAsia="Arial" w:hAnsi="Arial"/>
          <w:sz w:val="16"/>
          <w:szCs w:val="16"/>
          <w:color w:val="auto"/>
        </w:rPr>
      </w:pPr>
      <w:r>
        <w:rPr>
          <w:rFonts w:ascii="Arial" w:cs="Arial" w:eastAsia="Arial" w:hAnsi="Arial"/>
          <w:sz w:val="16"/>
          <w:szCs w:val="16"/>
          <w:color w:val="auto"/>
        </w:rPr>
        <w:t>foreign and U.S. monetary policy and foreign currency fluctuations and devaluations; 72</w:t>
      </w:r>
    </w:p>
    <w:p>
      <w:pPr>
        <w:sectPr>
          <w:pgSz w:w="11900" w:h="16838" w:orient="portrait"/>
          <w:cols w:equalWidth="0" w:num="1">
            <w:col w:w="11420"/>
          </w:cols>
          <w:pgMar w:left="240" w:top="581" w:right="239" w:bottom="1440" w:gutter="0" w:footer="0" w:header="0"/>
        </w:sectPr>
      </w:pPr>
    </w:p>
    <w:bookmarkStart w:id="72" w:name="page73"/>
    <w:bookmarkEnd w:id="72"/>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inability to repatriate income or capital;</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complications associated with repairing and replacing equipment in remote locations;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import-export quotas, wage and price controls, imposition of trade barriers;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U.S. and foreign sanctions or trade embargoes;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restrictions on the transfer of funds into or out of countries in which we operate;</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compliance with U.S. Treasury sanctions regulations restricting doing business with certain nations or specially designated nationals;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regulatory or financial requirements to comply with foreign bureaucratic actions;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compliance with applicable anti-corruption laws and regulations;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changing taxation policies, including confiscatory taxation;</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other forms of government regulation and economic conditions that are beyond our control; and</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governmental corruption.</w:t>
      </w:r>
    </w:p>
    <w:p>
      <w:pPr>
        <w:spacing w:after="0" w:line="221"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Any of these or other risks could adversely impact our customers’ international operations which could materially adversely impact our operating results and growth opportunities.</w:t>
      </w:r>
    </w:p>
    <w:p>
      <w:pPr>
        <w:spacing w:after="0" w:line="14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We may make acquisitions in emerging markets throughout the world, and investments in emerging markets are subject to greater risks than developed markets and could adversely affect our business, prospects, financial condition, results of operations and cash flows.</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To the extent that we acquire assets in emerging markets-which we may do throughout the world-additional risks may be encountered that could adversely affect our business. Emerging market countries have less developed economies and infrastructure and are often more vulnerable to economic and geopolitical challenges and may experience significant fluctuations in gross domestic product, interest rates and currency exchange rates, as well as civil disturbances, government instability, nationalization and expropriation of private assets and the imposition of taxes or other charges by government authorities. In addition, the currencies in which investments are denominated may be unstable, may be subject to significant depreciation and may not be freely convertible or may be subject to the imposition of other monetary or fiscal controls and restrictions.</w:t>
      </w:r>
    </w:p>
    <w:p>
      <w:pPr>
        <w:spacing w:after="0" w:line="17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Emerging markets are still in relatively early stages of their development and accordingly may not be highly or efficiently regulated. Moreover, emerging markets tend to be shallower and less liquid than more established markets which may adversely affect our ability to realize profits from our assets in emerging markets when we desire to do so or receive what we perceive to be their fair value in the event of a realization. In some cases, a market for realizing profits from an investment may not exist locally. In addition, issuers based in emerging markets are not generally subject to uniform accounting and financial reporting standards, practices and requirements comparable to those applicable to issuers based in more developed countries, thereby potentially increasing the risk of fraud and other deceptive practices. Settlement of transactions may be subject to greater delay and administrative uncertainties than in developed markets and less complete and reliable financial and other information may be available to investors in emerging markets than in developed markets. In addition, economic instability in emerging markets could adversely affect the value of our assets subject to leases or charters in such countries, or the ability of our lessees or charters, which operate in these markets, to meet their contractual obligations. As a result, lessees or charterers that operate in emerging market countries may be more likely to default under their contractual obligations than those that operate in developed countries. Liquidity and volatility limitations in these markets may also adversely affect our ability to dispose of our assets at the best price available or in a timely manner.</w:t>
      </w:r>
    </w:p>
    <w:p>
      <w:pPr>
        <w:spacing w:after="0" w:line="17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we have and may continue to acquire assets located in emerging markets throughout the world, we may be exposed to any one or a combination of these risks, which could adversely affect our operating results.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581" w:right="239" w:bottom="1440" w:gutter="0" w:footer="0" w:header="0"/>
        </w:sectPr>
      </w:pPr>
    </w:p>
    <w:bookmarkStart w:id="73" w:name="page74"/>
    <w:bookmarkEnd w:id="73"/>
    <w:p>
      <w:pPr>
        <w:jc w:val="both"/>
        <w:spacing w:after="0" w:line="302" w:lineRule="auto"/>
        <w:rPr>
          <w:sz w:val="20"/>
          <w:szCs w:val="20"/>
          <w:color w:val="auto"/>
        </w:rPr>
      </w:pPr>
      <w:r>
        <w:rPr>
          <w:rFonts w:ascii="Arial" w:cs="Arial" w:eastAsia="Arial" w:hAnsi="Arial"/>
          <w:sz w:val="16"/>
          <w:szCs w:val="16"/>
          <w:b w:val="1"/>
          <w:bCs w:val="1"/>
          <w:i w:val="1"/>
          <w:iCs w:val="1"/>
          <w:color w:val="auto"/>
        </w:rPr>
        <w:t>We are actively evaluating acquisitions of assets and operating companies in other transportation and infrastructure sectors which could result in additional risks and uncertainties for our business and unexpected regulatory compliance costs.</w:t>
      </w:r>
    </w:p>
    <w:p>
      <w:pPr>
        <w:spacing w:after="0" w:line="13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While our existing portfolio consists of assets in the aviation, energy, intermodal transport and rail sectors, we are actively evaluating acquisitions of assets and operating companies in other sectors of the transportation and transportation-related infrastructure and equipment markets and we plan to be flexible as other attractive opportunities arise over time. To the extent we make acquisitions in other sectors, we will face numerous risks and uncertainties, including risks associated with the required investment of capital and other resources and with combining or integrating operational and management systems and controls. Entry into certain lines of business may subject us to new laws and regulations and may lead to increased litigation and regulatory risk. Many types of transportation assets, including certain rail, airport and seaport assets, are subject to registration requirements by U.S. governmental agencies, as well as foreign governments if such assets are to be used outside of the United States. Failing to register the assets, or losing such registration, could result in substantial penalties, forced liquidation of the assets and/or the inability to operate and, if applicable, lease the assets. We may need to incur significant costs to comply with the laws and regulations applicable to any such new acquisition. The failure to comply with these laws and regulations could cause us to incur significant costs, fines or penalties or require the assets to be removed from service for a period of time resulting in reduced income from these assets. In addition, if our acquisitions in other sectors produce insufficient revenues, or produce investment losses, or if we are unable to efficiently manage our expanded operations, our results of operations will be adversely affected, and our reputation and business may be harmed.</w:t>
      </w:r>
    </w:p>
    <w:p>
      <w:pPr>
        <w:spacing w:after="0" w:line="185" w:lineRule="exact"/>
        <w:rPr>
          <w:sz w:val="20"/>
          <w:szCs w:val="20"/>
          <w:color w:val="auto"/>
        </w:rPr>
      </w:pPr>
    </w:p>
    <w:p>
      <w:pPr>
        <w:jc w:val="both"/>
        <w:spacing w:after="0" w:line="274" w:lineRule="auto"/>
        <w:rPr>
          <w:sz w:val="20"/>
          <w:szCs w:val="20"/>
          <w:color w:val="auto"/>
        </w:rPr>
      </w:pPr>
      <w:r>
        <w:rPr>
          <w:rFonts w:ascii="Arial" w:cs="Arial" w:eastAsia="Arial" w:hAnsi="Arial"/>
          <w:sz w:val="16"/>
          <w:szCs w:val="16"/>
          <w:b w:val="1"/>
          <w:bCs w:val="1"/>
          <w:i w:val="1"/>
          <w:iCs w:val="1"/>
          <w:color w:val="auto"/>
        </w:rPr>
        <w:t>We may acquire operating businesses, including businesses whose operations are not fully matured and stabilized. These businesses may be subject to significant operating and development risks, including increased competition, cost overruns and delays, and difficulties in obtaining approvals or financing. These factors could materially affect our business, financial condition, liquidity and results of operations.</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have acquired, and may in the future acquire, operating businesses including businesses whose operations are not fully matured and stabilized (such as Jefferson Terminal). While we have deep experience in the construction and operation of these companies, we are nevertheless subject to significant risks and contingencies of an operating business, and these risks are greater where the operations of such businesses are not fully matured and stabilized. Key factors that may affect our operating businesses include, but are not limited to:</w:t>
      </w:r>
    </w:p>
    <w:p>
      <w:pPr>
        <w:spacing w:after="0" w:line="172"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competition from market participants;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general economic and/or industry trends, including pricing for the products or services offered by our operating businesses;</w:t>
      </w:r>
    </w:p>
    <w:p>
      <w:pPr>
        <w:spacing w:after="0" w:line="221" w:lineRule="exact"/>
        <w:rPr>
          <w:rFonts w:ascii="Arial" w:cs="Arial" w:eastAsia="Arial" w:hAnsi="Arial"/>
          <w:sz w:val="16"/>
          <w:szCs w:val="16"/>
          <w:color w:val="auto"/>
        </w:rPr>
      </w:pPr>
    </w:p>
    <w:p>
      <w:pPr>
        <w:ind w:left="980" w:hanging="648"/>
        <w:spacing w:after="0" w:line="291" w:lineRule="auto"/>
        <w:tabs>
          <w:tab w:leader="none" w:pos="656"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issuance and/or continued availability of necessary permits, licenses, approvals and agreements from governmental agencies and third parties as are required to construct and operate such businesses;</w:t>
      </w:r>
    </w:p>
    <w:p>
      <w:pPr>
        <w:spacing w:after="0" w:line="148"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changes or deficiencies in the design or construction of development projects;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unforeseen engineering, environmental or geological problems;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potential increases in construction and operating costs due to changes in the cost and availability of fuel, power, materials and supplies;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availability and cost of skilled labor and equipment;</w:t>
      </w:r>
    </w:p>
    <w:p>
      <w:pPr>
        <w:spacing w:after="0" w:line="221" w:lineRule="exact"/>
        <w:rPr>
          <w:rFonts w:ascii="Arial" w:cs="Arial" w:eastAsia="Arial" w:hAnsi="Arial"/>
          <w:sz w:val="16"/>
          <w:szCs w:val="16"/>
          <w:color w:val="auto"/>
        </w:rPr>
      </w:pPr>
    </w:p>
    <w:p>
      <w:pPr>
        <w:ind w:left="980" w:hanging="648"/>
        <w:spacing w:after="0" w:line="269" w:lineRule="auto"/>
        <w:tabs>
          <w:tab w:leader="none" w:pos="656"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ability to enter into additional satisfactory agreements with contractors and to maintain good relationships with these contractors in order to construct development projects within our expected cost parameters and time frame, and the ability of those contractors to perform their obligations under the contracts and to maintain their creditworthiness;</w:t>
      </w:r>
    </w:p>
    <w:p>
      <w:pPr>
        <w:spacing w:after="0" w:line="164"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potential liability for injury or casualty losses which are not covered by insurance;</w:t>
      </w:r>
    </w:p>
    <w:p>
      <w:pPr>
        <w:spacing w:after="0" w:line="221" w:lineRule="exact"/>
        <w:rPr>
          <w:rFonts w:ascii="Arial" w:cs="Arial" w:eastAsia="Arial" w:hAnsi="Arial"/>
          <w:sz w:val="16"/>
          <w:szCs w:val="16"/>
          <w:color w:val="auto"/>
        </w:rPr>
      </w:pPr>
    </w:p>
    <w:p>
      <w:pPr>
        <w:ind w:left="980" w:right="20" w:hanging="648"/>
        <w:spacing w:after="0" w:line="291" w:lineRule="auto"/>
        <w:tabs>
          <w:tab w:leader="none" w:pos="656" w:val="left"/>
        </w:tabs>
        <w:numPr>
          <w:ilvl w:val="0"/>
          <w:numId w:val="31"/>
        </w:numPr>
        <w:rPr>
          <w:rFonts w:ascii="Arial" w:cs="Arial" w:eastAsia="Arial" w:hAnsi="Arial"/>
          <w:sz w:val="16"/>
          <w:szCs w:val="16"/>
          <w:color w:val="auto"/>
        </w:rPr>
      </w:pPr>
      <w:r>
        <w:rPr>
          <w:rFonts w:ascii="Arial" w:cs="Arial" w:eastAsia="Arial" w:hAnsi="Arial"/>
          <w:sz w:val="16"/>
          <w:szCs w:val="16"/>
          <w:color w:val="auto"/>
        </w:rPr>
        <w:t>potential opposition from non-governmental organizations, environmental groups, local or other groups which may delay or prevent development activities;</w:t>
      </w:r>
    </w:p>
    <w:p>
      <w:pPr>
        <w:spacing w:after="0" w:line="148"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local and economic conditions;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changes in legal requirements; and</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force majeure events, including catastrophes and adverse weather conditions.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Any of these factors could materially affect our business, financial condition, liquidity and results of operations.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581" w:right="239" w:bottom="1440" w:gutter="0" w:footer="0" w:header="0"/>
        </w:sectPr>
      </w:pPr>
    </w:p>
    <w:bookmarkStart w:id="74" w:name="page75"/>
    <w:bookmarkEnd w:id="74"/>
    <w:p>
      <w:pPr>
        <w:ind w:right="420"/>
        <w:spacing w:after="0" w:line="302" w:lineRule="auto"/>
        <w:rPr>
          <w:sz w:val="20"/>
          <w:szCs w:val="20"/>
          <w:color w:val="auto"/>
        </w:rPr>
      </w:pPr>
      <w:r>
        <w:rPr>
          <w:rFonts w:ascii="Arial" w:cs="Arial" w:eastAsia="Arial" w:hAnsi="Arial"/>
          <w:sz w:val="16"/>
          <w:szCs w:val="16"/>
          <w:b w:val="1"/>
          <w:bCs w:val="1"/>
          <w:i w:val="1"/>
          <w:iCs w:val="1"/>
          <w:color w:val="auto"/>
        </w:rPr>
        <w:t>The agreements governing our indebtedness place restrictions on us and our subsidiaries, reducing operational flexibility and creating default risks.</w:t>
      </w:r>
    </w:p>
    <w:p>
      <w:pPr>
        <w:spacing w:after="0" w:line="1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agreements governing our indebtedness, including the indenture governing our Senior Notes, contain covenants that place restrictions on us and our subsidiaries. The indenture governing our Senior Notes restricts, among other things, our and certain of our subsidiaries’ ability to:</w:t>
      </w:r>
    </w:p>
    <w:p>
      <w:pPr>
        <w:spacing w:after="0" w:line="108"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6"/>
          <w:szCs w:val="16"/>
          <w:color w:val="auto"/>
        </w:rPr>
        <w:t>merge, consolidate or transfer all, or substantially all, of our assets;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incur additional debt or issue preferred stock;</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make certain investments or acquisitions;</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create liens on our or our subsidiaries’ assets;</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sell assets;</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make distributions on or repurchase our stock;</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enter into transactions with affiliates; and</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create dividend restrictions and other payment restrictions that affect our subsidiaries.</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These covenants could impair our ability to grow our business, take advantage of attractive business opportunities or successfully compete. A breach of any of these covenants could result in an event of default. Cross-default provisions in our debt agreements could cause an event of default under one debt agreement to trigger an event of default under our other debt agreements. Upon the occurrence of an event of default under any of our debt agreements, the lenders or holders thereof could elect to declare all outstanding debt under such agreements to be immediately due and payable.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Terrorist attacks could negatively impact our operations and our profitability and may expose us to liability and reputational damage.</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Terrorist attacks may negatively affect our operations. Such attacks have contributed to economic instability in the United States and elsewhere, and further acts of terrorism, violence or war could similarly affect world trade and the industries in which we and our customers operate. In addition, terrorist attacks or hostilities may directly impact airports or aircraft, ports where our containers and vessels travel, or our physical facilities or those of our customers. In addition, it is also possible that our assets could be involved in a terrorist attack. The consequences of any terrorist attacks or hostilities are unpredictable, and we may not be able to foresee events that could have a material adverse effect on our operations. Although our lease and charter agreements generally require the counterparties to indemnify us against all damages arising out of the use of our assets, and we carry insurance to potentially offset any costs in the event that our customer indemnifications prove to be insufficient, our insurance does not cover certain types of terrorist attacks, and we may not be fully protected from liability or the reputational damage that could arise from a terrorist attack which utilizes our assets.</w:t>
      </w:r>
    </w:p>
    <w:p>
      <w:pPr>
        <w:spacing w:after="0" w:line="17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Because we are a recently formed company with a limited operating history, our historical financial and operating data may not be representative of our future results.</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 are a recently formed limited liability company with a limited operating history. Our results of operations, financial condition and cash flows reflected in our consolidated financial statements may not be indicative of the results we would have achieved if we were a public company or results that may be achieved in future periods. Consequently, there can be no assurance that we will be able to generate sufficient income to pay our operating expenses and make satisfactory distributions to our shareholders, or any distributions at all. Further, we only make acquisitions identified by our Manager. As a result of this concentration of assets, our financial performance depends on the performance of our Manager in identifying target assets, the availability of opportunities falling within our asset acquisition strategy and the performance of those underlying assets.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527" w:right="239" w:bottom="1440" w:gutter="0" w:footer="0" w:header="0"/>
        </w:sectPr>
      </w:pPr>
    </w:p>
    <w:bookmarkStart w:id="75" w:name="page76"/>
    <w:bookmarkEnd w:id="75"/>
    <w:p>
      <w:pPr>
        <w:jc w:val="both"/>
        <w:spacing w:after="0" w:line="302" w:lineRule="auto"/>
        <w:rPr>
          <w:sz w:val="20"/>
          <w:szCs w:val="20"/>
          <w:color w:val="auto"/>
        </w:rPr>
      </w:pPr>
      <w:r>
        <w:rPr>
          <w:rFonts w:ascii="Arial" w:cs="Arial" w:eastAsia="Arial" w:hAnsi="Arial"/>
          <w:sz w:val="16"/>
          <w:szCs w:val="16"/>
          <w:b w:val="1"/>
          <w:bCs w:val="1"/>
          <w:i w:val="1"/>
          <w:iCs w:val="1"/>
          <w:color w:val="auto"/>
        </w:rPr>
        <w:t>Our leases and charters require payments in U.S. dollars, but many of our customers operate in other currencies; if foreign currencies devalue against the U.S. dollar, our lessees or charterers may be unable to meet their payment obligations to us in a timely manner.</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Our current leases and charters require that payments be made in U.S. dollars. If the currency that our lessees or charterers typically use in operating their businesses devalues against the U.S. dollar, our lessees or charterers could encounter difficulties in making payments to us in U.S. dollars. Furthermore, many foreign countries have currency and exchange laws regulating international payments that may impede or prevent payments from being paid to us in U.S. dollars. Future leases or charters may provide for payments to be made in euros or other foreign currencies. Any change in the currency exchange rate that reduces the amount of U.S. dollars obtained by us upon conversion of future lease payments denominated in euros or other foreign currencies, may, if not appropriately hedged by us, have a material adverse effect on us and increase the volatility of our earnings.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inability to obtain sufficient capital would constrain our ability to grow our portfolio and to increase our revenues.</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Our business is capital intensive, and we have used and may continue to employ leverage to finance our operations. Accordingly, our ability to successfully execute our business strategy and maintain our operations depends on the availability and cost of debt and equity capital. Additionally, our ability to borrow against our assets is dependent, in part, on the appraised value of such assets. If the appraised value of such assets declines, we may be required to reduce the principal outstanding under our debt facilities or otherwise be unable to incur new borrowings.</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can give no assurance that the capital we need will be available to us on favorable terms, or at all. Our inability to obtain sufficient capital, or to renew or expand our credit facilities, could result in increased funding costs and would limit our ability to:</w:t>
      </w:r>
    </w:p>
    <w:p>
      <w:pPr>
        <w:spacing w:after="0" w:line="175" w:lineRule="exact"/>
        <w:rPr>
          <w:sz w:val="20"/>
          <w:szCs w:val="20"/>
          <w:color w:val="auto"/>
        </w:rPr>
      </w:pPr>
    </w:p>
    <w:p>
      <w:pPr>
        <w:ind w:left="1580" w:hanging="708"/>
        <w:spacing w:after="0"/>
        <w:tabs>
          <w:tab w:leader="none" w:pos="15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meet the terms and maturities of our existing and future debt facilities;</w:t>
      </w:r>
    </w:p>
    <w:p>
      <w:pPr>
        <w:spacing w:after="0" w:line="288" w:lineRule="exact"/>
        <w:rPr>
          <w:rFonts w:ascii="Arial" w:cs="Arial" w:eastAsia="Arial" w:hAnsi="Arial"/>
          <w:sz w:val="16"/>
          <w:szCs w:val="16"/>
          <w:color w:val="auto"/>
        </w:rPr>
      </w:pPr>
    </w:p>
    <w:p>
      <w:pPr>
        <w:ind w:left="1580" w:hanging="708"/>
        <w:spacing w:after="0"/>
        <w:tabs>
          <w:tab w:leader="none" w:pos="15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purchase new assets or refinance existing assets;</w:t>
      </w:r>
    </w:p>
    <w:p>
      <w:pPr>
        <w:spacing w:after="0" w:line="288" w:lineRule="exact"/>
        <w:rPr>
          <w:rFonts w:ascii="Arial" w:cs="Arial" w:eastAsia="Arial" w:hAnsi="Arial"/>
          <w:sz w:val="16"/>
          <w:szCs w:val="16"/>
          <w:color w:val="auto"/>
        </w:rPr>
      </w:pPr>
    </w:p>
    <w:p>
      <w:pPr>
        <w:ind w:left="1540" w:hanging="668"/>
        <w:spacing w:after="0"/>
        <w:tabs>
          <w:tab w:leader="none" w:pos="15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fund our working capital needs and maintain adequate liquidity; and</w:t>
      </w:r>
    </w:p>
    <w:p>
      <w:pPr>
        <w:spacing w:after="0" w:line="288" w:lineRule="exact"/>
        <w:rPr>
          <w:rFonts w:ascii="Arial" w:cs="Arial" w:eastAsia="Arial" w:hAnsi="Arial"/>
          <w:sz w:val="16"/>
          <w:szCs w:val="16"/>
          <w:color w:val="auto"/>
        </w:rPr>
      </w:pPr>
    </w:p>
    <w:p>
      <w:pPr>
        <w:ind w:left="1580" w:hanging="708"/>
        <w:spacing w:after="0"/>
        <w:tabs>
          <w:tab w:leader="none" w:pos="15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finance other growth initiatives.</w:t>
      </w:r>
    </w:p>
    <w:p>
      <w:pPr>
        <w:spacing w:after="0" w:line="26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addition, we conduct our operations so that neither we nor any of our subsidiaries are required to register as an investment company under the Investment Company Act of 1940 (the “Investment Company Act”). As such, certain forms of financing such as finance leases may not be available to us. Please see “- If we are deemed an investment company under the Investment Company Act, it could have a material adverse effect on our business, prospects, financial condition, results of operations and cash flows.”</w:t>
      </w:r>
    </w:p>
    <w:p>
      <w:pPr>
        <w:spacing w:after="0" w:line="17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The effects of various environmental regulations may negatively affect the industries in which we operate which could have a material adverse effect on our financial condition, results of operations and cash flows.</w:t>
      </w:r>
    </w:p>
    <w:p>
      <w:pPr>
        <w:spacing w:after="0" w:line="13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are subject to federal, state, local and foreign laws and regulations relating to the protection of the environment, including those governing the discharge of pollutants to air and water, the management and disposal of hazardous substances and wastes, the cleanup of contaminated sites and noise and emission levels. Under some environmental laws in the United States and certain other countries, strict liability may be imposed on the owners or operators of assets, which could render us liable for environmental and natural resource damages without regard to negligence or fault on our part. We could incur substantial costs, including cleanup costs, fines and third-party claims for property or natural resource damage and personal injury, as a result of violations of or liabilities under environmental laws and regulations in connection with our or our lessee’s or charterer’s current or historical operations, any of which could have a material adverse effect on our results of operations and financial condition. While we typically maintain liability insurance coverage and typically require our lessees to provide us with indemnity against certain losses, the insurance coverage is subject to large deductibles, limits on maximum coverage and significant exclusions and may not be sufficient or available to protect against any or all liabilities and such indemnities may not cover or be sufficient to protect us against losses arising from environmental damage. In addition, changes to environmental standards or regulations in the industries in which we operate could limit the economic life of the assets we acquire or reduce their value, and also require us to make significant additional investments in order to maintain compliance, which would negatively impact our cash flows and results of operations.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581" w:right="239" w:bottom="1440" w:gutter="0" w:footer="0" w:header="0"/>
        </w:sectPr>
      </w:pPr>
    </w:p>
    <w:bookmarkStart w:id="76" w:name="page77"/>
    <w:bookmarkEnd w:id="76"/>
    <w:p>
      <w:pPr>
        <w:spacing w:after="0"/>
        <w:rPr>
          <w:sz w:val="20"/>
          <w:szCs w:val="20"/>
          <w:color w:val="auto"/>
        </w:rPr>
      </w:pPr>
      <w:r>
        <w:rPr>
          <w:rFonts w:ascii="Arial" w:cs="Arial" w:eastAsia="Arial" w:hAnsi="Arial"/>
          <w:sz w:val="16"/>
          <w:szCs w:val="16"/>
          <w:b w:val="1"/>
          <w:bCs w:val="1"/>
          <w:i w:val="1"/>
          <w:iCs w:val="1"/>
          <w:color w:val="auto"/>
        </w:rPr>
        <w:t>Our Repauno site is subject to environmental laws and regulations that may expose us to significant costs and liabilities.</w:t>
      </w:r>
    </w:p>
    <w:p>
      <w:pPr>
        <w:spacing w:after="0" w:line="22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Repauno site is subject to on-going environmental investigation and remediation by the former owner of the property related to historic industrial operations. The former owner is responsible for completion of this work, and we benefit from a related indemnity and insurance policy. If the former owner fails to fulfill its investigation and remediation, or indemnity obligations and the related insurance, which are subject to limits and conditions, fail to cover our costs, we could incur losses. Redevelopment of the property in those areas undergoing investigation and remediation must await state environmental agency confirmation that no further investigation or remediation is required before redevelopment activities can occur in such areas of the property. Therefore, any delay in the former owner’s completion of the environmental work or receipt of related approvals in an area of the property could delay our redevelopment activities. In addition, once received, permits and approvals may be subject to litigation, and projects may be delayed or approvals reversed or modified in litigation. If there is a delay in obtaining any required regulatory approval, it could delay projects and cause us to incur costs. Moreover, new, stricter environmental laws, regulations or enforcement policies, including those imposed in response to climate change, could be implemented that significantly increase our compliance costs, or require us to adopt more costly methods of operation. If we are not able to transform Repauno into a hub for industrial development in a timely manner, its future prospects could be materially and adversely affected, which may have a material adverse effect on our business, operating results and financial condition.</w:t>
      </w:r>
    </w:p>
    <w:p>
      <w:pPr>
        <w:spacing w:after="0" w:line="37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If we are deemed an “investment company” under the Investment Company Act, it could have a material adverse effect on our business, prospects, financial condition, results of operations and cash flows.</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conduct our operations so that neither we nor any of our subsidiaries are required to register as an investment company under the Investment Company Act. Section 3(a)(1)(A) of the Investment Company Act defines an investment company as any issuer that is or holds itself out as being engaged primarily, or proposes to engage primarily, in the business of investing, reinvesting or trading in securities. Section 3(a)(1)(C) of the Investment Company Act defines an investment company as any issuer that is engaged or proposes to engage in the business of investing, reinvesting, owning, holding or trading in securities and owns or proposes to acquire investment securities having a value exceeding 40% of the value of the issuer’s total assets (exclusive of U.S. government securities and cash items) on an unconsolidated basis. Excluded from the term “investment securities,” among other things, are U.S. government securities and securities issued by majority-owned subsidiaries that are not themselves investment companies and are not relying on the exception from the definition of investment company for certain privately-offered investment vehicles set forth in Section 3(c)(1) or Section 3(c)(7) of the Investment Company Act.</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are a holding company that is not an investment company because we are engaged in the business of holding securities of our wholly-owned and majority-owned subsidiaries, which are engaged in transportation and related businesses which lease assets pursuant to operating leases and finance leases. The Investment Company Act may limit our and our subsidiaries’ ability to enter into financing leases and engage in other types of financial activity because less than 40% of the value of our and our subsidiaries’ total assets (exclusive of U.S. government securities and cash items) on an unconsolidated basis can consist of “investment securities.”</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If we or any of our subsidiaries were required to register as an investment company under the Investment Company Act, the registered entity would become subject to substantial regulation that would significantly change our operations, and we would not be able to conduct our business as described in this report. We have not obtained a formal determination from the SEC as to our status under the Investment Company Act and, consequently, any violation of the Investment Company Act would subject us to material adverse consequences.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Risks Related to Our Manager</w:t>
      </w:r>
    </w:p>
    <w:p>
      <w:pPr>
        <w:spacing w:after="0" w:line="2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We are dependent on our Manager and other key personnel at Fortress and may not find suitable replacements if our Manager terminates the Management Agreement or if other key personnel depart.</w:t>
      </w:r>
    </w:p>
    <w:p>
      <w:pPr>
        <w:spacing w:after="0" w:line="13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Our officers and other individuals who perform services for us (other than Jefferson and CMQR employees) are employees of our Manager or other Fortress entities. We are completely reliant on our Manager, which has significant discretion as to the implementation of our operating policies and strategies, to conduct our business. We are subject to the risk that our Manager will terminate the Management Agreement and that we will not be able to find a suitable replacement for our Manager in a timely manner, at a reasonable cost, or at all. Furthermore, we are dependent on the services of certain key employees of our Manager and certain key employees of Fortress entities whose compensation is partially or entirely dependent upon the amount of management fees earned by our Manager or the incentive allocations distributed to the General Partner and whose continued service is not guaranteed, and the loss of such personnel or services could materially adversely affect our operations. We do not have key man insurance for any of the personnel of the Manager or other Fortress entities that are key to us. An inability to find a suitable replacement for any departing employee of our Manager or Fortress entities on a timely basis could materially adversely affect our ability to operate and grow our business.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580" w:right="239" w:bottom="1440" w:gutter="0" w:footer="0" w:header="0"/>
        </w:sectPr>
      </w:pPr>
    </w:p>
    <w:bookmarkStart w:id="77" w:name="page78"/>
    <w:bookmarkEnd w:id="77"/>
    <w:p>
      <w:pPr>
        <w:jc w:val="both"/>
        <w:spacing w:after="0" w:line="255" w:lineRule="auto"/>
        <w:rPr>
          <w:sz w:val="20"/>
          <w:szCs w:val="20"/>
          <w:color w:val="auto"/>
        </w:rPr>
      </w:pPr>
      <w:r>
        <w:rPr>
          <w:rFonts w:ascii="Arial" w:cs="Arial" w:eastAsia="Arial" w:hAnsi="Arial"/>
          <w:sz w:val="16"/>
          <w:szCs w:val="16"/>
          <w:color w:val="auto"/>
        </w:rPr>
        <w:t>In addition, our Manager may assign our Management Agreement to an entity whose business and operations are managed or supervised by Mr. Wesley R. Edens, who is a principal and a Co-Chairman of the board of directors of Fortress, an affiliate of our Manager, and a member of the management committee of Fortress since co-founding Fortress in May 1998. In the event of any such assignment to a non-affiliate of Fortress, the functions currently performed by our Manager’s current personnel may be performed by others. We can give you no assurance that such personnel would manage our operations in the same manner as our Manager currently does, and the failure by the personnel of any such entity to acquire assets generating attractive risk-adjusted returns could have a material adverse effect on our business, financial condition, results of operations and cash flows.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On February 14, 2017, Fortress announced that it had entered into the Merger Agreement with SB Foundation Holdings LP, a Cayman Islands exempted limited partnership (“Parent”) and an affiliate of SoftBank, and Foundation Acquisition LLC, a Delaware limited liability company and wholly owned subsidiary of Parent (“Merger Sub”), pursuant to which Merger Sub will merge with and into Fortress, with Fortress surviving as a wholly owned subsidiary of Parent. While Fortress’s senior investment professionals are expected to remain in place, including those individuals who perform services for us, there can be no assurance that the Merger will not have an impact on us or our relationship with the Manager.</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are conflicts of interest in our relationship with our Manager.</w:t>
      </w:r>
    </w:p>
    <w:p>
      <w:pPr>
        <w:spacing w:after="0" w:line="2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Management Agreement, the Partnership Agreement and our operating agreement were negotiated prior to our IPO and among affiliated parties, and their terms, including fees payable, may not be as favorable to us as if they had been negotiated after our IPO with an unaffiliated third-party.</w:t>
      </w:r>
    </w:p>
    <w:p>
      <w:pPr>
        <w:spacing w:after="0" w:line="14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There are conflicts of interest inherent in our relationship with our Manager insofar as our Manager and its affiliates - including investment funds, private investment funds, or businesses managed by our Manager, including Seacastle Ships Holdings Inc., Trac Intermodal and Florida East Coast Railway, L.L.C. - invest in transportation and transportation-related infrastructure assets and whose investment objectives overlap with our asset acquisition objectives. Certain opportunities appropriate for us may also be appropriate for one or more of these other investment vehicles. Certain members of our board of directors and employees of our Manager who are our officers also serve as officers and/or directors of these other entities. For example, we have some of the same directors and officers as Seacastle Ships Holdings Inc., Trac Intermodal and Florida East Coast Railway, L.L.C. Although we have the same Manager, we may compete with entities affiliated with our Manager or Fortress, including Seacastle Ships Holdings Inc., Trac Intermodal and Florida East Coast Railway, L.L.C., for certain target assets. From time to time, affiliates of Fortress focus on investments in assets with a similar profile as our target assets that we may seek to acquire. These affiliates may have meaningful purchasing capacity, which may change over time depending upon a variety of factors, including, but not limited to, available equity capital and debt financing, market conditions and cash on hand. Fortress has multiple existing and planned funds focused on investing in one or more of our target sectors, each with significant current or expected capital commitments. We may co-invest with these funds in transportation and transportation-related infrastructure assets. Fortress funds generally have a fee structure similar to ours, but the fees actually paid will vary depending on the size, terms and performance of each fund. Fortress had approximately $70.2 billion of assets under management as of March 31, 2017.</w:t>
      </w:r>
    </w:p>
    <w:p>
      <w:pPr>
        <w:spacing w:after="0" w:line="18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Management Agreement generally does not limit or restrict our Manager or its affiliates from engaging in any business or managing other pooled investment vehicles that invest in assets that meet our asset acquisition objectives. Our Manager intends to engage in additional transportation and infrastructure related management and transportation, infrastructure and other investment opportunities in the future, which may compete with us for investments or result in a change in our current investment strategy. In addition, our operating agreement provides that if Fortress or an affiliate or any of their officers, directors or employees acquire knowledge of a potential transaction that could be a corporate opportunity, they have no duty, to the fullest extent permitted by law, to offer such corporate opportunity to us, our shareholders or our affiliates. In the event that any of our directors and officers who is also a director, officer or employee of Fortress or its affiliates acquires knowledge of a corporate opportunity or is offered a corporate opportunity, provided that this knowledge was not acquired solely in such person’s capacity as a director or officer of FTAI and such person acts in good faith, then to the fullest extent permitted by law such person is deemed to have fully satisfied such person’s fiduciary duties owed to us and is not liable to us if Fortress or its affiliates pursues or acquires the corporate opportunity or if such person did not present the corporate opportunity to us.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20"/>
          </w:cols>
          <w:pgMar w:left="240" w:top="581" w:right="239" w:bottom="1440" w:gutter="0" w:footer="0" w:header="0"/>
        </w:sectPr>
      </w:pPr>
    </w:p>
    <w:bookmarkStart w:id="78" w:name="page79"/>
    <w:bookmarkEnd w:id="78"/>
    <w:p>
      <w:pPr>
        <w:jc w:val="both"/>
        <w:spacing w:after="0" w:line="250" w:lineRule="auto"/>
        <w:rPr>
          <w:sz w:val="20"/>
          <w:szCs w:val="20"/>
          <w:color w:val="auto"/>
        </w:rPr>
      </w:pPr>
      <w:r>
        <w:rPr>
          <w:rFonts w:ascii="Arial" w:cs="Arial" w:eastAsia="Arial" w:hAnsi="Arial"/>
          <w:sz w:val="16"/>
          <w:szCs w:val="16"/>
          <w:color w:val="auto"/>
        </w:rPr>
        <w:t>The ability of our Manager and its officers and employees to engage in other business activities, subject to the terms of our Management Agreement, may reduce the amount of time our Manager, its officers or other employees spend managing us. In addition, we may engage (subject to our strategy) in material transactions with our Manager or another entity managed by our Manager or one of its affiliates, including Seacastle Ships Holdings Inc., Trac Intermodal and Florida East Coast Railway, L.L.C., which may include, but are not limited to, certain acquisitions, financing arrangements, purchases of debt, co-investments, consumer loans, servicing advances and other assets that present an actual, potential or perceived conflict of interest. Our board of directors adopted a policy regarding the approval of any “related person transactions” pursuant to which certain of the material transactions described above may require disclosure to, and approval by, the independent members of our board of directors. Actual, potential or perceived conflicts have given, and may in the future give, rise to investor dissatisfaction, litigation or regulatory inquiries or enforcement actions. Appropriately dealing with conflicts of interest is complex and difficult, and our reputation could be damaged if we fail, or appear to fail, to deal appropriately with one or more potential, actual or perceived conflicts of interest. Regulatory scrutiny of, or litigation in connection with, conflicts of interest could have a material adverse effect on our reputation, which could materially adversely affect our business in a number of ways, including causing an inability to raise additional funds, a reluctance of counterparties to do business with us, a decrease in the prices of our equity securities and a resulting increased risk of litigation and regulatory enforcement actions.</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structure of our Manager’s and the General Partner’s compensation arrangements may have unintended consequences for us. We have agreed to pay our Manager a management fee and the General Partner is entitled to receive incentive allocations from Holdco that are each based on different measures of performance. Consequently, there may be conflicts in the incentives of our Manager to generate attractive risk-adjusted returns for us. In addition, because the General Partner and our Manager are both affiliates of Fortress, the Income Incentive Allocation paid to the General Partner may cause our Manager to place undue emphasis on the maximization of earnings, including through the use of leverage, at the expense of other objectives, such as preservation of capital, to achieve higher incentive allocations. Investments with higher yield potential are generally riskier or more speculative than investments with lower yield potential. This could result in increased risk to the value of our portfolio of assets and our common shares.</w:t>
      </w:r>
    </w:p>
    <w:p>
      <w:pPr>
        <w:spacing w:after="0" w:line="177" w:lineRule="exact"/>
        <w:rPr>
          <w:sz w:val="20"/>
          <w:szCs w:val="20"/>
          <w:color w:val="auto"/>
        </w:rPr>
      </w:pPr>
    </w:p>
    <w:p>
      <w:pPr>
        <w:jc w:val="both"/>
        <w:spacing w:after="0" w:line="274" w:lineRule="auto"/>
        <w:rPr>
          <w:sz w:val="20"/>
          <w:szCs w:val="20"/>
          <w:color w:val="auto"/>
        </w:rPr>
      </w:pPr>
      <w:r>
        <w:rPr>
          <w:rFonts w:ascii="Arial" w:cs="Arial" w:eastAsia="Arial" w:hAnsi="Arial"/>
          <w:sz w:val="16"/>
          <w:szCs w:val="16"/>
          <w:b w:val="1"/>
          <w:bCs w:val="1"/>
          <w:i w:val="1"/>
          <w:iCs w:val="1"/>
          <w:color w:val="auto"/>
        </w:rPr>
        <w:t>Our directors have approved a broad asset acquisition strategy for our Manager and do not approve each acquisition we make at the direction of our Manager. In addition, we may change our strategy without a shareholder vote, which may result in our acquiring assets that are different, riskier or less profitable than our current assets.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Our Manager is authorized to follow a broad asset acquisition strategy. We may pursue other types of acquisitions as market conditions evolve. Our Manager makes decisions about our investments in accordance with broad investment guidelines adopted by our board of directors. Accordingly, we may, without a shareholder vote, change our target sectors and acquire a variety of assets that differ from, and are possibly riskier than, our current asset portfolio. Consequently, our Manager has great latitude in determining the types and categories of assets it may decide are proper investments for us, including the latitude to invest in types and categories of assets that may differ from those in our existing portfolio. Our directors will periodically review our strategy and our portfolio of assets. However, our board does not review or pre-approve each proposed acquisition or our related financing arrangements. In addition, in conducting periodic reviews, the directors rely primarily on information provided to them by our Manager. Furthermore, transactions entered into by our Manager may be difficult or impossible to reverse by the time they are reviewed by the directors even if the transactions contravene the terms of the Management Agreement. In addition, we may change our asset acquisition strategy, including our target asset classes, without a shareholder vote.</w:t>
      </w:r>
    </w:p>
    <w:p>
      <w:pPr>
        <w:spacing w:after="0" w:line="179"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Our asset acquisition strategy may evolve in light of existing market conditions and investment opportunities, and this evolution may involve additional risks depending upon the nature of the assets we target and our ability to finance such assets on a short or long-term basis. Opportunities that present unattractive risk-return profiles relative to other available opportunities under particular market conditions may become relatively attractive under changed market conditions and changes in market conditions may therefore result in changes in the assets we target. Decisions to make acquisitions in new asset categories present risks that may be difficult for us to adequately assess and could therefore reduce or eliminate our ability to pay dividends on our common shares or have adverse effects on our liquidity or financial condition. A change in our asset acquisition strategy may also increase our exposure to interest rate, foreign currency or credit market fluctuations. In addition, a change in our asset acquisition strategy may increase our use of non-match-funded financing, increase the guarantee obligations we agree to incur or increase the number of transactions we enter into with affiliates. Our failure to accurately assess the risks inherent in new asset categories or the financing risks associated with such assets could adversely affect our results of operations and our financial condition.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580" w:right="239" w:bottom="1440" w:gutter="0" w:footer="0" w:header="0"/>
        </w:sectPr>
      </w:pPr>
    </w:p>
    <w:bookmarkStart w:id="79" w:name="page80"/>
    <w:bookmarkEnd w:id="79"/>
    <w:p>
      <w:pPr>
        <w:jc w:val="both"/>
        <w:spacing w:after="0" w:line="302" w:lineRule="auto"/>
        <w:rPr>
          <w:sz w:val="20"/>
          <w:szCs w:val="20"/>
          <w:color w:val="auto"/>
        </w:rPr>
      </w:pPr>
      <w:r>
        <w:rPr>
          <w:rFonts w:ascii="Arial" w:cs="Arial" w:eastAsia="Arial" w:hAnsi="Arial"/>
          <w:sz w:val="16"/>
          <w:szCs w:val="16"/>
          <w:b w:val="1"/>
          <w:bCs w:val="1"/>
          <w:i w:val="1"/>
          <w:iCs w:val="1"/>
          <w:color w:val="auto"/>
        </w:rPr>
        <w:t>Our Manager will not be liable to us for any acts or omissions performed in accordance with the Management Agreement, including with respect to the performance of our assets.</w:t>
      </w:r>
    </w:p>
    <w:p>
      <w:pPr>
        <w:spacing w:after="0" w:line="13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Pursuant to our Management Agreement, our Manager will not assume any responsibility other than to render the services called for thereunder in good faith and will not be responsible for any action of our board of directors in following or declining to follow its advice or recommendations. Our Manager, its members, managers, officers, employees, sub-advisers and any other person controlling or Manager, will not be liable to us or any of our subsidiaries, to our board of directors, or our or any subsidiary’s shareholders or partners for any acts or omissions by our Manager, its members, managers, officers, employees, sub-advisers and any other person controlling or Manager, except liability to the Company, our shareholders, directors, officers and employees and persons controlling us, by reason of acts constituting bad faith, willful misconduct, gross negligence or reckless disregard of our Manager’s duties under our Management Agreement. We will, to the full extent lawful, reimburse, indemnify and hold our Manager, its members, managers, officers and employees, sub-advisers and each other person, if any, controlling our Manager harmless of and from any and all expenses, losses, damages, liabilities, demands, charges and claims of any nature whatsoever (including attorneys’ fees) in respect of or arising from any acts or omissions of an indemnified party made in good faith in the performance of our Manager’s duties under our Management Agreement and not constituting such indemnified party’s bad faith, willful misconduct, gross negligence or reckless disregard of our Manager’s duties under our Management Agreement.</w:t>
      </w:r>
    </w:p>
    <w:p>
      <w:pPr>
        <w:spacing w:after="0" w:line="17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Our Manager’s due diligence of potential asset acquisitions or other transactions may not identify all pertinent risks, which could materially affect our business, financial condition, liquidity and results of operations.</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Our Manager intends to conduct due diligence with respect to each asset acquisition opportunity or other transaction it pursues. It is possible, however, that our Manager’s due diligence processes will not uncover all relevant facts, particularly with respect to any assets we acquire from third parties. In these cases, our Manager may be given limited access to information about the asset and will rely on information provided by the seller of the asset. In addition, if asset acquisition opportunities are scarce, the process for selecting bidders is competitive, or the timeframe in which we are required to complete diligence is short, our ability to conduct a due diligence investigation may be limited, and we would be required to make decisions based upon a less thorough diligence process than would otherwise be the case. Accordingly, transactions that initially appear to be viable may prove not to be over time, due to the limitations of the due diligence process or other factors.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Risks Related to Taxation</w:t>
      </w:r>
    </w:p>
    <w:p>
      <w:pPr>
        <w:spacing w:after="0" w:line="2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Shareholders may be subject to U.S. federal income tax on their share of our taxable income, regardless of whether they receive any cash dividends from us.</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So long as we would not be required to register as an investment company under the Investment Company Act of 1940 if we were a U.S. Corporation and 90% of our gross income for each taxable year constitutes “qualifying income” within the meaning of the Internal Revenue Code of 1986, as amended (the “Code”), on a continuing basis, FTAI will be treated, for U.S. federal income tax purposes, as a partnership and not as an association or publicly traded partnership taxable as a corporation. Shareholders may be subject to U.S. federal, state, local and possibly, in some cases, non-U.S. income taxation on their allocable share of our items of income, gain, loss, deduction and credit (including our allocable share of those items of Holdco or any other entity in which we invest that is treated as a partnership or is otherwise subject to tax on a flow through basis) for each of our taxable years ending with or within their taxable year, regardless of whether they receive cash dividends from us. Shareholders may not receive cash dividends equal to their allocable share of our net taxable income or even the tax liability that results from that income.</w:t>
      </w:r>
    </w:p>
    <w:p>
      <w:pPr>
        <w:spacing w:after="0" w:line="17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In addition, certain of our holdings, including holdings, if any, in a Controlled Foreign Corporation (“CFC”) or a Passive Foreign Investment Company (“PFIC”), may produce taxable income prior to our receipt of cash relating to such income, and shareholders subject to U.S. federal income tax will be required to take such income into account in determining their taxable income.</w:t>
      </w:r>
    </w:p>
    <w:p>
      <w:pPr>
        <w:spacing w:after="0" w:line="16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Under our operating agreement, in the event of an inadvertent partnership termination in which the Internal Revenue Service (“IRS”) has granted us limited relief, each shareholder also is obligated to make such adjustments as are required by the IRS to maintain our status as a partnership. Such adjustments may require shareholders to recognize additional amounts in income during the years in which they have held common shares. We may also be required to make payments to the IRS.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 gain or loss on a sale or other disposition of our common shares could be more or less than expected.</w:t>
      </w:r>
    </w:p>
    <w:p>
      <w:pPr>
        <w:spacing w:after="0" w:line="22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If a sale of our common shares by a shareholder is taxable in the United States, the shareholder will recognize gain or loss equal to the difference between the amount realized by such shareholder on such sale and such shareholder’s adjusted tax basis in those shares. Prior distributions to such shareholder in excess of the total net taxable income allocated to such shareholder, which will have decreased such shareholder’s adjusted tax basis in its shares, will effectively increase any gain recognized by such shareholder if the shares are sold at a price greater than such shareholder’s adjusted tax basis in those shares, even if the price is less than their original cost to such shareholder. A portion of the amount realized, whether or not representing gain, may be treated as ordinary income to such shareholder.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581" w:right="239" w:bottom="1440" w:gutter="0" w:footer="0" w:header="0"/>
        </w:sectPr>
      </w:pPr>
    </w:p>
    <w:bookmarkStart w:id="80" w:name="page81"/>
    <w:bookmarkEnd w:id="80"/>
    <w:p>
      <w:pPr>
        <w:jc w:val="both"/>
        <w:spacing w:after="0" w:line="302" w:lineRule="auto"/>
        <w:rPr>
          <w:sz w:val="20"/>
          <w:szCs w:val="20"/>
          <w:color w:val="auto"/>
        </w:rPr>
      </w:pPr>
      <w:r>
        <w:rPr>
          <w:rFonts w:ascii="Arial" w:cs="Arial" w:eastAsia="Arial" w:hAnsi="Arial"/>
          <w:sz w:val="16"/>
          <w:szCs w:val="16"/>
          <w:b w:val="1"/>
          <w:bCs w:val="1"/>
          <w:i w:val="1"/>
          <w:iCs w:val="1"/>
          <w:color w:val="auto"/>
        </w:rPr>
        <w:t>Our ability to make distributions depends on our receiving sufficient cash distributions from our subsidiaries, and we cannot assure our shareholders that we will be able to make cash distributions to them in amounts that are sufficient to fund their tax liabilities.</w:t>
      </w:r>
    </w:p>
    <w:p>
      <w:pPr>
        <w:spacing w:after="0" w:line="131" w:lineRule="exact"/>
        <w:rPr>
          <w:sz w:val="20"/>
          <w:szCs w:val="20"/>
          <w:color w:val="auto"/>
        </w:rPr>
      </w:pPr>
    </w:p>
    <w:p>
      <w:pPr>
        <w:jc w:val="both"/>
        <w:ind w:right="20"/>
        <w:spacing w:after="0" w:line="269" w:lineRule="auto"/>
        <w:rPr>
          <w:sz w:val="20"/>
          <w:szCs w:val="20"/>
          <w:color w:val="auto"/>
        </w:rPr>
      </w:pPr>
      <w:r>
        <w:rPr>
          <w:rFonts w:ascii="Arial" w:cs="Arial" w:eastAsia="Arial" w:hAnsi="Arial"/>
          <w:sz w:val="16"/>
          <w:szCs w:val="16"/>
          <w:color w:val="auto"/>
        </w:rPr>
        <w:t>Our subsidiaries may be subject to local taxes in each of the relevant territories and jurisdictions in which they operate, including taxes on income, profits or gains and withholding taxes. As a result, our funds available for distribution is indirectly reduced by such taxes, and the post-tax return to our shareholders is similarly reduced by such taxes.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general, a shareholder that is subject to U.S. federal income tax must include in income its allocable share of FTAI’s items of income, gain, loss, deduction, and credit (including, so long as FTAI is treated as a partnership for tax purposes, FTAI’s allocable share of those items of Holdco and any pass-through subsidiaries of Holdco) for each of our taxable years ending with or within such shareholder’s taxable year. However, the cash distributed to a shareholder may not be sufficient to pay the full amount of such shareholder’s tax liability in respect of its investment in us, because each shareholder’s tax liability depends on such shareholder’s particular tax situation and the tax treatment of our underlying activities or assets.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treated as a corporation for U.S. federal income tax purposes, the value of the shares could be adversely affected.</w:t>
      </w:r>
    </w:p>
    <w:p>
      <w:pPr>
        <w:spacing w:after="0" w:line="22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have not requested, and do not plan to request, a ruling from the IRS on our treatment as a partnership for U.S. federal income tax purposes, or on any other matter affecting us. As of the date of the consummation of our initial public offering, under then current law and assuming full compliance with the terms of our operating agreement (and other relevant documents) and based upon factual statements and representations made by us, our outside counsel opined that we will be treated as a partnership, and not as an association or a publicly traded partnership taxable as a corporation for U.S. federal income tax purposes. However, opinions of counsel are not binding upon the IRS or any court, and the IRS may challenge this conclusion and a court may sustain such a challenge. The factual representations made by us upon which our outside counsel relied relate to our organization, operation, assets, activities, income, and present and future conduct of our operations. In general, if an entity that would otherwise be classified as a partnership for U.S. federal income tax purposes is a “publicly traded partnership” (as defined in the Code) it will be nonetheless treated as a corporation for U.S. federal income tax purposes, unless the exception described below, and upon which we intend to rely, applies. A publicly traded partnership will, however, be treated as a partnership, and not as a corporation for U.S. federal income tax purposes, so long as 90% or more of its gross income for each taxable year constitutes “qualifying income” within the meaning of the Code and it is not required to register as an investment company under the Investment Company Act of 1940. We refer to this exception as the “Qualifying Income Exception.”</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Qualifying income generally includes dividends, interest, capital gains from the sale or other disposition of stocks and securities and certain other forms of investment income. We currently expect that a substantial portion of our income will constitute either “Subpart F” income (defined below) derived from CFCs or QEF Inclusions (as defined below). While we believe that such income constitutes qualifying income, no assurance can be given that the IRS will agree with such position. We also believe that our return from investments will include interest, dividends, capital gains and other types of qualifying income, but no assurance can be given as to the types of income that will be earned in any given year.</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If we fail to satisfy the Qualifying Income Exception, we would be required to pay U.S. federal income tax at regular corporate rates on our worldwide income. In addition, we would likely be liable for state and local income and/or franchise taxes on such income. Dividends to shareholders would constitute ordinary dividend income taxable to such shareholders to the extent of our earnings and profits, and the payment of these dividends would not be deductible by us. Taxation of us as a publicly traded partnership taxable as a corporation could result in a material adverse effect on our cash flow and the after-tax returns for shareholders and thus could result in a substantial reduction in the value of our common shares.</w:t>
      </w:r>
    </w:p>
    <w:p>
      <w:pPr>
        <w:spacing w:after="0" w:line="176"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b w:val="1"/>
          <w:bCs w:val="1"/>
          <w:i w:val="1"/>
          <w:iCs w:val="1"/>
          <w:color w:val="auto"/>
        </w:rPr>
        <w:t>Non-U.S. Holders (defined below) should anticipate being required to file U.S. tax returns and may be required to pay U.S. tax solely on account of owning and disposing of our common shares.</w:t>
      </w:r>
    </w:p>
    <w:p>
      <w:pPr>
        <w:spacing w:after="0" w:line="13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light of our intended investment activities, we may be, or may become, engaged in a U.S. trade or business for U.S. federal income tax purposes, in which case some portion of our income would be treated as effectively connected income with respect to Non-U.S. Holders. Moreover, we anticipate that, in the future, we will sell interests in U.S. real holding property corporations (each a “USRPHC”) and therefore be deemed to be engaged in a U.S. trade or business for that reason at such time. If we were to realize gain from the sale or other disposition of a U.S. real property interest (including a USRPHC) or were otherwise engaged in a U.S. trade or business, Non-U.S. Holders generally would be required to file U.S. federal income tax returns and would be subject to U.S. federal withholding tax on their allocable share of the effectively connected income on gain at the highest marginal U.S. federal income tax rates applicable to ordinary income. Non-U.S. holders that are corporations may also be subject to a branch profits tax on their allocable share of such income. In addition, if we were treated as being engaged in a U.S. trade or business, a portion of any gain recognized by a Non-U.S. Holder on the sale or exchange of its common shares could be treated for U.S. federal income tax purposes as effectively connected income, and hence such Non-U.S. Holder could be subject to U.S. federal income tax on the sale or exchange. Accordingly, Non-U.S. Holders should anticipate being required to file U.S. tax returns and may be required to pay U.S. tax solely on account of owning our common shares.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20"/>
          </w:cols>
          <w:pgMar w:left="240" w:top="581" w:right="239" w:bottom="1440" w:gutter="0" w:footer="0" w:header="0"/>
        </w:sectPr>
      </w:pPr>
    </w:p>
    <w:bookmarkStart w:id="81" w:name="page82"/>
    <w:bookmarkEnd w:id="81"/>
    <w:p>
      <w:pPr>
        <w:jc w:val="both"/>
        <w:spacing w:after="0" w:line="302" w:lineRule="auto"/>
        <w:rPr>
          <w:sz w:val="20"/>
          <w:szCs w:val="20"/>
          <w:color w:val="auto"/>
        </w:rPr>
      </w:pPr>
      <w:r>
        <w:rPr>
          <w:rFonts w:ascii="Arial" w:cs="Arial" w:eastAsia="Arial" w:hAnsi="Arial"/>
          <w:sz w:val="16"/>
          <w:szCs w:val="16"/>
          <w:b w:val="1"/>
          <w:bCs w:val="1"/>
          <w:i w:val="1"/>
          <w:iCs w:val="1"/>
          <w:color w:val="auto"/>
        </w:rPr>
        <w:t>Non-U.S. Holders that hold (or are deemed to hold) more than 5% of our common shares (or held, or were deemed to hold, more than 5% of our common shares) may be subject to U.S. federal income tax upon the disposition of some or all their common shares.</w:t>
      </w:r>
    </w:p>
    <w:p>
      <w:pPr>
        <w:spacing w:after="0" w:line="13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If a Non-U.S. Holder held more than 5% of our common shares at any time during the 5 year period preceding such Non-U.S. Holder’s disposition of our common shares, and we were considered a USRPHC (determined as if we were a U.S. corporation) at any time during such 5 year period because of our current or previous ownership of U.S. real property interests above a certain threshold, such Non-U.S. Holder may be subject to U.S. tax on such disposition of our common shares (and may have a U.S. tax return filing obligation).</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Tax-exempt shareholders may face certain adverse U.S. tax consequences from owning our common shares.</w:t>
      </w:r>
    </w:p>
    <w:p>
      <w:pPr>
        <w:spacing w:after="0" w:line="22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We are not required to manage our operations in a manner that would minimize the likelihood of generating income that would constitute “unrelated business taxable income” (“UBTI”) to the extent allocated to a tax-exempt shareholder. Although we expect to invest through subsidiaries that are treated as corporations for U.S. federal income tax purposes and such corporate investments would generally not result in an allocation of UBTI to a shareholder on account of the activities of those subsidiaries, we may not invest through corporate subsidiaries in all cases. Moreover, UBTI includes income attributable to debt-financed property and we are not prohibited from debt financing our investments, including investments in subsidiaries. Furthermore, we are not prohibited from being (or causing a subsidiary to be) a guarantor of loans made to a subsidiary. If we (or certain of our subsidiaries) were treated as the borrower for U.S. tax purposes on account of those guarantees, some or all of our investments could be considered debt-financed property. The potential for income to be characterized as UBTI could make our common shares an unsuitable investment for a tax-exempt entity. Tax-exempt shareholders are urged to consult their tax advisors regarding the tax consequences of an investment in common shares.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hold or acquire certain investments through an entity classified as a PFIC or CFC for U.S. federal income tax purposes.</w:t>
      </w:r>
    </w:p>
    <w:p>
      <w:pPr>
        <w:spacing w:after="0" w:line="22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Certain of our investments may be in non-U.S. corporations or may be acquired through a non-U.S. subsidiary that would be classified as a corporation for U.S. federal income tax purposes. Such an entity may be a PFIC or a CFC for U.S. federal income tax purposes. U.S. Holders indirectly owning an interest in a PFIC or a CFC may experience adverse U.S. tax consequences.</w:t>
      </w:r>
    </w:p>
    <w:p>
      <w:pPr>
        <w:spacing w:after="0" w:line="16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i w:val="1"/>
          <w:iCs w:val="1"/>
          <w:color w:val="auto"/>
        </w:rPr>
        <w:t>If substantially all of the U.S. source rental income derived from aircraft or ships used to transport passengers or cargo in international traffic (“U.S. source international transport rental income”) of any of our non-U.S. corporate subsidiaries is attributable to activities of personnel based in the United States, such subsidiary could be subject to U.S. federal income tax on a net income basis at regular tax rates, rather than at a rate of 4% on gross income, which would adversely affect our business and result in decreased funds available for distribution to our shareholders.</w:t>
      </w:r>
    </w:p>
    <w:p>
      <w:pPr>
        <w:spacing w:after="0" w:line="160"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We expect that the U.S. source international transport rental income of our non-U.S. subsidiaries generally will be subject to U.S. federal income tax, on a gross income basis, at a rate of not in excess of 4% as provided in Section 887 of the Code. If, contrary to expectations, any of our non-U.S. subsidiaries that is treated as a corporation for U.S. federal income tax purposes did not comply with certain administrative guidelines of the IRS, such that 90% or more of such subsidiary’s U.S. source international transport rental income were attributable to the activities of personnel based in the United States (in the case of bareboat leases) or from “regularly scheduled transportation” as defined is such administrative guidelines (in the case of time-charter leases), such subsidiary’s U.S. source rental income would be treated as income effectively connected with a trade or business in the United States. In such case, such subsidiary’s U.S. source international transport rental income would be subject to U.S. federal income tax at a maximum rate of 35%. In addition, such subsidiary would be subject to the U.S. federal branch profits tax on its effectively connected earnings and profits at a rate of 30%. The imposition of such taxes would adversely affect our business and would result in decreased funds available for distribution to our shareholders.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subsidiaries may become subject to unanticipated tax liabilities that may have a material adverse effect on our results of operations.</w:t>
      </w:r>
    </w:p>
    <w:p>
      <w:pPr>
        <w:spacing w:after="0" w:line="22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Our subsidiaries may be subject to income, withholding or other taxes in certain non-U.S. jurisdictions by reason of their activities and operations, where their assets are used, or where the lessees of their assets (or others in possession of their assets) are located, and it is also possible that taxing authorities in any such jurisdictions could assert that our subsidiaries are subject to greater taxation than we currently anticipate. For example, a portion of certain of our non-U.S. corporate subsidiaries’ income is treated as effectively connected with a U.S. trade or business, and is accordingly subject to U.S. federal income tax. It is possible that the IRS could assert that a greater portion of any such non-U.S. subsidiaries’ income is effectively connected income that should be subject to U.S. federal income tax.</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Our structure involves complex provisions of U.S. federal income tax law for which no clear precedent or authority may be available. Our structure also is subject to potential legislative, judicial or administrative change and differing interpretations, possibly on a retroactive basis.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581" w:right="239" w:bottom="1440" w:gutter="0" w:footer="0" w:header="0"/>
        </w:sectPr>
      </w:pPr>
    </w:p>
    <w:bookmarkStart w:id="82" w:name="page83"/>
    <w:bookmarkEnd w:id="82"/>
    <w:p>
      <w:pPr>
        <w:jc w:val="both"/>
        <w:spacing w:after="0" w:line="254" w:lineRule="auto"/>
        <w:rPr>
          <w:sz w:val="20"/>
          <w:szCs w:val="20"/>
          <w:color w:val="auto"/>
        </w:rPr>
      </w:pPr>
      <w:r>
        <w:rPr>
          <w:rFonts w:ascii="Arial" w:cs="Arial" w:eastAsia="Arial" w:hAnsi="Arial"/>
          <w:sz w:val="16"/>
          <w:szCs w:val="16"/>
          <w:color w:val="auto"/>
        </w:rPr>
        <w:t>The U.S. federal income tax treatment of our shareholders depends in some instances on determinations of fact and interpretations of complex provisions of U.S. federal income tax law for which no clear precedent or authority may be available. Prospective investors should be aware that the U.S. federal income tax rules are constantly under review by persons involved in the legislative process, the IRS, and the U.S. Treasury Department, frequently resulting in revised interpretations of established concepts, statutory changes, revisions to regulations and other modifications and interpretations. The IRS pays close attention to the proper application of tax laws to partnerships. The present U.S. federal income tax treatment of an investment in our common shares may be modified by administrative, legislative or judicial interpretation at any time, possibly on a retroactive basis, and any such action may affect our investments and commitments that were previously made, and could adversely affect the value of our shares or cause us to change the way we conduct our business.</w:t>
      </w:r>
    </w:p>
    <w:p>
      <w:pPr>
        <w:spacing w:after="0" w:line="17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organizational documents and agreements permit the board of directors to modify our operating agreement from time to time, without the consent of shareholders, in order to address certain changes in Treasury regulations, legislation or interpretation. In some circumstances, such revisions could have a material adverse impact on some or all shareholders. Moreover, we will apply certain assumptions and conventions in an attempt to comply with applicable rules and to report income, gain, deduction, loss and credit to shareholders in a manner that reflects such shareholders’ beneficial ownership of partnership items, taking into account variation in ownership interests during each taxable year because of trading activity. However, these assumptions and conventions may not be in compliance with all aspects of applicable tax requirements. It is possible that the IRS will assert successfully that the conventions and assumptions used by us do not satisfy the technical requirements of the Code and/or Treasury regulations and could require that items of income, gain, deduction, loss or credit, including interest deductions, be adjusted, reallocated, or disallowed, in a manner that adversely affects shareholders.</w:t>
      </w:r>
    </w:p>
    <w:p>
      <w:pPr>
        <w:spacing w:after="0" w:line="17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We could incur a significant tax liability if the IRS successfully asserts that the “anti-stapling” rules apply to our investments in our non-U.S. and U.S. subsidiaries, which would adversely affect our business and result in decreased funds available for distribution to our shareholders.</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If we were subject to the “anti-stapling” rules of Section 269B of the Code, we would incur a significant tax liability as a result of owning more than 50% of the value of both U.S. and non-U.S. corporate subsidiaries, whose equity interests constitute “stapled interests” that may only be transferred together. If the “anti-stapling” rules applied, our non-U.S. corporate subsidiaries that are treated as corporations for U.S. federal income tax purposes would be treated as U.S. corporations, which would cause those entities to be subject to U.S. federal corporate income tax on their worldwide income. Because we intend to separately manage and operate our non-U.S. and U.S. corporate subsidiaries and structure their business activities in a manner that would allow us to dispose of such subsidiaries separately, we do not expect that the “anti-stapling” rules will apply. However, there can be no assurance that the IRS would not successfully assert a contrary position, which would adversely affect our business and result in decreased funds available for distribution to our shareholders.</w:t>
      </w:r>
    </w:p>
    <w:p>
      <w:pPr>
        <w:spacing w:after="0" w:line="17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We cannot match transferors and transferees of our shares, and we have therefore adopted certain income tax accounting positions that may not conform with all aspects of applicable tax requirements. The IRS may challenge this treatment, which could adversely affect the value of our shares.</w:t>
      </w:r>
    </w:p>
    <w:p>
      <w:pPr>
        <w:spacing w:after="0" w:line="13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Because we cannot match transferors and transferees of our shares, we have adopted depreciation, amortization and other tax accounting positions that may not conform with all aspects of existing Treasury regulations. A successful IRS challenge to those positions could adversely affect the amount of tax benefits available to our shareholders. It also could affect the timing of these tax benefits or the amount of gain on the sale of our common shares and could have a negative impact on the value of our common shares or result in audits of and adjustments to our shareholders’ tax returns.</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 may allocate items of income, gain, loss, and deduction using a monthly or other convention, whereby any such items we recognize in a given month are allocated to our shareholders as of a specified date of such month. As a result, if a shareholder transfers its common shares, it might be allocated income, gain, loss, and deduction realized by us after the date of the transfer. Similarly, if a shareholder acquires additional common shares, it might be allocated income, gain, loss, and deduction realized by us prior to its ownership of such common shares. Consequently, our shareholders may recognize income in excess of cash distributions received from us, and any income so included by a shareholder would increase the basis such shareholder has in it common shares and would offset any gain (or increase the amount of loss) realized by such shareholder on a subsequent disposition of its common shares.</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The sale or exchange of 50% or more of our common shares within a 12-month period will result in our termination for U.S. federal income tax purposes.</w:t>
      </w:r>
    </w:p>
    <w:p>
      <w:pPr>
        <w:spacing w:after="0" w:line="13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 will be considered to have terminated as a partnership for U.S. federal income tax purposes if there is a sale or exchange of 50% or more of our common shares within a 12-month period. Our termination would, among other things, result in the closing of our taxable year for all shareholders and could result in a deferral of depreciation and amortization deductions allowable in computing our taxable income.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Recently enacted legislation regarding U.S. federal income tax liability arising from IRS audits could adversely affect our shareholders.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581" w:right="239" w:bottom="1440" w:gutter="0" w:footer="0" w:header="0"/>
        </w:sectPr>
      </w:pPr>
    </w:p>
    <w:bookmarkStart w:id="83" w:name="page84"/>
    <w:bookmarkEnd w:id="83"/>
    <w:p>
      <w:pPr>
        <w:jc w:val="both"/>
        <w:spacing w:after="0" w:line="255" w:lineRule="auto"/>
        <w:rPr>
          <w:sz w:val="20"/>
          <w:szCs w:val="20"/>
          <w:color w:val="auto"/>
        </w:rPr>
      </w:pPr>
      <w:r>
        <w:rPr>
          <w:rFonts w:ascii="Arial" w:cs="Arial" w:eastAsia="Arial" w:hAnsi="Arial"/>
          <w:sz w:val="16"/>
          <w:szCs w:val="16"/>
          <w:color w:val="auto"/>
        </w:rPr>
        <w:t>For taxable years beginning on or after January 1, 2018, we will be liable for U.S. federal income tax liability arising from an IRS audit, unless certain alternative methods are available and we elect to use them. Under the new rules, it is possible that certain shareholders or we may be liable for taxes attributable to adjustments to our taxable income with respect to tax years that closed before such shareholders owned our shares. Accordingly, this new legislation may adversely affect certain shareholders in certain cases. This differs from the existing rules, which generally provide that tax adjustments only affect the persons who were shareholders in the tax year in which the item was reported on our tax return. The changes created by the new legislation are uncertain and in many respects depend on the promulgation of future regulations or other guidance by the U.S. Treasury Department or the IRS.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00497F"/>
        </w:rPr>
        <w:t>Risks Related to Our Common Shares</w:t>
      </w:r>
    </w:p>
    <w:p>
      <w:pPr>
        <w:spacing w:after="0" w:line="22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b w:val="1"/>
          <w:bCs w:val="1"/>
          <w:i w:val="1"/>
          <w:iCs w:val="1"/>
          <w:color w:val="auto"/>
        </w:rPr>
        <w:t>The market price and trading volume of our common shares may be volatile, which could result in rapid and substantial losses for our shareholders.</w:t>
      </w:r>
    </w:p>
    <w:p>
      <w:pPr>
        <w:spacing w:after="0" w:line="38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market price of our common shares may be highly volatile and could be subject to wide fluctuations. In addition, the trading volume in our common shares may fluctuate and cause significant price variations to occur. If the market price of our common shares declines significantly, you may be unable to resell your shares at or above your purchase price, if at all. The market price of our common shares may fluctuate or decline significantly in the future. Some of the factors that could negatively affect our share price or result in fluctuations in the price or trading volume of our common shares include:</w:t>
      </w:r>
    </w:p>
    <w:p>
      <w:pPr>
        <w:spacing w:after="0" w:line="172"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 shift in our investor base;</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quarterly or annual earnings, or those of other comparable companies;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actual or anticipated fluctuations in our operating results;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changes in accounting standards, policies, guidance, interpretations or principles;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investments, acquisitions or dispositions;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failure of securities analysts to cover our common shares;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changes in earnings estimates by securities analysts or our ability to meet those estimates;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operating and share price performance of other comparable companies;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overall market fluctuations;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general economic conditions; and</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developments in the markets and market sectors in which we participate.</w:t>
      </w:r>
    </w:p>
    <w:p>
      <w:pPr>
        <w:spacing w:after="0" w:line="22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Stock markets in the United States have experienced extreme price and volume fluctuations. Market fluctuations, as well as general political and economic conditions such as acts of terrorism, prolonged economic uncertainty, a recession or interest rate or currency rate fluctuations, could adversely affect the market price of our common shares.</w:t>
      </w:r>
    </w:p>
    <w:p>
      <w:pPr>
        <w:spacing w:after="0" w:line="16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We are an emerging growth company within the meaning of the JOBS Act, and due to our taking advantage of certain exemptions from various reporting requirements applicable to emerging growth companies, our common shares could be less attractive to investors.</w:t>
      </w:r>
    </w:p>
    <w:p>
      <w:pPr>
        <w:spacing w:after="0" w:line="13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are an “emerging growth company” as defined in the JOBS Act. As such, we have taken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will remain an emerging growth company until the earliest of (a) the last day of the first fiscal year in which our annual gross revenues exceed $1 billion, (b) the last day of the fiscal year following the fifth anniversary of our initial public offering, (c) the date that we become a “large accelerated filer” as defined in Rule 12b-2 under the Exchange Act, which would occur if the market value of our common shares that are held by non-affiliates exceeds $700 million as of the last business day of our most recently completed second fiscal quarter or (d) the date on which we have issued more than $1 billion in non-convertible debt during the preceding three-year period. Because we have taken advantage of each of these exemptions, we do not know if some investors will find our common shares less attractive as a result. The result may be a less active trading market for our common shares and our share price may be more volatile.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580" w:right="239" w:bottom="1440" w:gutter="0" w:footer="0" w:header="0"/>
        </w:sectPr>
      </w:pPr>
    </w:p>
    <w:bookmarkStart w:id="84" w:name="page85"/>
    <w:bookmarkEnd w:id="84"/>
    <w:p>
      <w:pPr>
        <w:jc w:val="both"/>
        <w:spacing w:after="0" w:line="302" w:lineRule="auto"/>
        <w:rPr>
          <w:sz w:val="20"/>
          <w:szCs w:val="20"/>
          <w:color w:val="auto"/>
        </w:rPr>
      </w:pPr>
      <w:r>
        <w:rPr>
          <w:rFonts w:ascii="Arial" w:cs="Arial" w:eastAsia="Arial" w:hAnsi="Arial"/>
          <w:sz w:val="16"/>
          <w:szCs w:val="16"/>
          <w:b w:val="1"/>
          <w:bCs w:val="1"/>
          <w:i w:val="1"/>
          <w:iCs w:val="1"/>
          <w:color w:val="auto"/>
        </w:rPr>
        <w:t>We are required by Section 404 of the Sarbanes-Oxley Act to evaluate the effectiveness of our internal controls, and the outcome of that effort may adversely affect our results of operations, financial condition and liquidity.</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a public company, we are required to comply with Section 404 of the Sarbanes-Oxley Act (the timing of when to comply with the auditor attestation requirements will be determined based on whether we take advantage of certain JOBS Act provisions applicable to emerging growth companies). Section 404 requires that we evaluate our internal control over financial reporting to enable management to report on the effectiveness of those controls. We have undertaken a review of our internal controls and procedures. The outcome of our review may adversely affect our results of operations, financial condition and liquidity. During the course of our review, we may identify control deficiencies of varying degrees of severity, and we may incur significant costs to remediate those deficiencies or otherwise improve our internal controls. As a public company, we are required to report control deficiencies that constitute a “material weakness” in our internal control over financial reporting. Furthermore, if we discover a material weakness, our share price could decline and our ability to raise capital could be impaired.</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Your percentage ownership in us may be diluted in the future.</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Your percentage ownership in FTAI may be diluted in the future because of equity awards that may be granted to our Manager pursuant to our Management Agreement. Upon the successful completion of an offering of our common shares or other equity securities (including securities issued as consideration in an acquisition), we will grant our Manager options to purchase common shares in an amount equal to 10% of the number of common shares being sold in such offering (or if the issuance relates to equity securities other than our common shares, options to purchase a number of common shares equal to 10% of the gross capital raised in the equity issuance divided by the fair market value of a common share as of the date of the issuance), with an exercise price equal to the offering price per share paid by the public or other ultimate purchaser or attributed to such securities in connection with an acquisition (or the fair market value of a common share as of the date of the equity issuance if it relates to equity securities other than our common shares), and any such offering or the exercise of the option in connection with such offering would cause dilution.</w:t>
      </w:r>
    </w:p>
    <w:p>
      <w:pPr>
        <w:spacing w:after="0" w:line="177" w:lineRule="exact"/>
        <w:rPr>
          <w:sz w:val="20"/>
          <w:szCs w:val="20"/>
          <w:color w:val="auto"/>
        </w:rPr>
      </w:pPr>
    </w:p>
    <w:p>
      <w:pPr>
        <w:jc w:val="both"/>
        <w:ind w:firstLine="81"/>
        <w:spacing w:after="0" w:line="251" w:lineRule="auto"/>
        <w:rPr>
          <w:sz w:val="20"/>
          <w:szCs w:val="20"/>
          <w:color w:val="auto"/>
        </w:rPr>
      </w:pPr>
      <w:r>
        <w:rPr>
          <w:rFonts w:ascii="Arial" w:cs="Arial" w:eastAsia="Arial" w:hAnsi="Arial"/>
          <w:sz w:val="16"/>
          <w:szCs w:val="16"/>
          <w:color w:val="auto"/>
        </w:rPr>
        <w:t>Our board of directors has adopted the Fortress Transportation and Infrastructure Investors Nonqualified Stock Option and Incentive Award Plan (the “Incentive Plan”) which provides for the grant of equity-based awards, including restricted stock, stock options, stock appreciation rights, performance awards, restricted stock units, tandem awards and other equity-based and non-equity based awards, in each case to our Manager, to the directors, officers, employees, service providers, consultants and advisors of our Manager who perform services for us, and to our directors, officers, employees, service providers, consultants and advisors. We have initially reserved 30,000,000 common shares for issuance under the Incentive Plan; on the date of any equity issuance by the Company during the ten-year term of the Incentive Plan (including in respect of securities issued as consideration in an acquisition), the maximum number of shares available for issuance under the Plan will be increased to include an additional number of common shares equal to ten percent (10%) of either (i) the total number of common shares newly issued by the Company in such equity issuance or (ii) if such equity issuance relates to equity securities other than our common shares, a number of our common shares equal to 10% of (i) the gross capital raised in an equity issuance of equity securities other than common shares during the ten-year term of the Incentive Plan, divided by (ii) the fair market value of a common share as of the date of such equity issuance.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or issuances of shares of our common shares could adversely affect the market price of our common shares.</w:t>
      </w:r>
    </w:p>
    <w:p>
      <w:pPr>
        <w:spacing w:after="0" w:line="22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Sales of substantial amounts of shares of our common shares in the public market, or the perception that such sales might occur, could adversely affect the market price of our common shares. The issuance of our common shares in connection with property, portfolio or business acquisitions or the exercise of outstanding options or otherwise could also have an adverse effect on the market price of our common shares.</w:t>
      </w:r>
    </w:p>
    <w:p>
      <w:pPr>
        <w:spacing w:after="0" w:line="165" w:lineRule="exact"/>
        <w:rPr>
          <w:sz w:val="20"/>
          <w:szCs w:val="20"/>
          <w:color w:val="auto"/>
        </w:rPr>
      </w:pPr>
    </w:p>
    <w:p>
      <w:pPr>
        <w:jc w:val="both"/>
        <w:spacing w:after="0" w:line="274" w:lineRule="auto"/>
        <w:rPr>
          <w:sz w:val="20"/>
          <w:szCs w:val="20"/>
          <w:color w:val="auto"/>
        </w:rPr>
      </w:pPr>
      <w:r>
        <w:rPr>
          <w:rFonts w:ascii="Arial" w:cs="Arial" w:eastAsia="Arial" w:hAnsi="Arial"/>
          <w:sz w:val="16"/>
          <w:szCs w:val="16"/>
          <w:b w:val="1"/>
          <w:bCs w:val="1"/>
          <w:i w:val="1"/>
          <w:iCs w:val="1"/>
          <w:color w:val="auto"/>
        </w:rPr>
        <w:t>The incurrence or issuance of debt, which ranks senior to our common shares upon our liquidation, and future issuances of equity or equity-related securities, which would dilute the holdings of our existing common shareholders and may be senior to our common shares for the purposes of making distributions, periodically or upon liquidation, may negatively affect the market price of our common shares.</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have incurred and may in the future incur or issue debt or issue equity or equity-related securities to finance our operations. Upon our liquidation, lenders and holders of our debt and holders of our preferred shares (if any) would receive a distribution of our available assets before common shareholders. Any future incurrence or issuance of debt would increase our interest cost and could adversely affect our results of operations and cash flows. We are not required to offer any additional equity securities to existing common shareholders on a preemptive basis. Therefore, additional issuances of common shares, directly or through convertible or exchangeable securities (including limited partnership interests in our operating partnership), warrants or options, will dilute the holdings of our existing common shareholders and such issuances, or the perception of such issuances, may reduce the market price of our common shares. Any preferred shares issued by us would likely have a preference on distribution payments, periodically or upon liquidation, which could eliminate or otherwise limit our ability to make distributions to common shareholders. Because our decision to incur or issue debt or issue equity or equity-related securities in the future will depend on market conditions and other factors beyond our control, we cannot predict or estimate the amount, timing, nature or success of our future capital raising efforts. Thus, common shareholders bear the risk that our future incurrence or issuance of debt or issuance of equity or equity-related securities will adversely affect the market price of our common shares.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20"/>
          </w:cols>
          <w:pgMar w:left="240" w:top="581" w:right="239" w:bottom="1440" w:gutter="0" w:footer="0" w:header="0"/>
        </w:sectPr>
      </w:pPr>
    </w:p>
    <w:bookmarkStart w:id="85" w:name="page86"/>
    <w:bookmarkEnd w:id="85"/>
    <w:p>
      <w:pPr>
        <w:jc w:val="both"/>
        <w:spacing w:after="0" w:line="302" w:lineRule="auto"/>
        <w:rPr>
          <w:sz w:val="20"/>
          <w:szCs w:val="20"/>
          <w:color w:val="auto"/>
        </w:rPr>
      </w:pPr>
      <w:r>
        <w:rPr>
          <w:rFonts w:ascii="Arial" w:cs="Arial" w:eastAsia="Arial" w:hAnsi="Arial"/>
          <w:sz w:val="16"/>
          <w:szCs w:val="16"/>
          <w:b w:val="1"/>
          <w:bCs w:val="1"/>
          <w:i w:val="1"/>
          <w:iCs w:val="1"/>
          <w:color w:val="auto"/>
        </w:rPr>
        <w:t>Our determination of how much leverage to use to finance our acquisitions may adversely affect our return on our assets and may reduce funds available for distribution.</w:t>
      </w:r>
    </w:p>
    <w:p>
      <w:pPr>
        <w:spacing w:after="0" w:line="131"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We utilize leverage to finance many of our asset acquisitions, which entitles certain lenders to cash flows prior to retaining a return on our assets. While our Manager targets using only what we believe to be reasonable leverage, our strategy does not limit the amount of leverage we may incur with respect to any specific asset. The return we are able to earn on our assets and funds available for distribution to our shareholders may be significantly reduced due to changes in market conditions, which may cause the cost of our financing to increase relative to the income that can be derived from our assets.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While we currently intend to pay regular quarterly dividends to our shareholders, we may change our dividend policy at any time.</w:t>
      </w:r>
    </w:p>
    <w:p>
      <w:pPr>
        <w:spacing w:after="0" w:line="22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Although we currently intend to pay regular quarterly dividends to holders of our common shares, we may change our dividend policy at any time. Our net cash provided by operating activities has been less than the amount of distributions to our shareholders. The declaration and payment of dividends to holders of our common shares will be at the discretion of our board of directors in accordance with applicable law after taking into account various factors, including actual results of operations, liquidity and financial condition, net cash provided by operating activities, restrictions imposed by applicable law, our taxable income, our operating expenses and other factors our board of directors deem relevant. Our long term goal is to maintain a payout ratio of between 50-60% of funds available for distribution, with remaining amounts used primarily to fund our future acquisitions and opportunities. There can be no assurance that we will continue to pay dividends in amounts or on a basis consistent with prior distributions to our investors, if at all. Because we are a holding company and have no direct operations, we will only be able to pay dividends from our available cash on hand and any funds we receive from our subsidiaries and our ability to receive distributions from our subsidiaries may be limited by the financing agreements to which they are subject. In addition, pursuant to the Partnership Agreement, the General Partner will be entitled to receive incentive allocations before any amounts are distributed by the Company based both on our consolidated net income and capital gains income in each fiscal quarter and for each fiscal year,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Anti-takeover provisions in our operating agreement and Delaware law could delay or prevent a change in control.</w:t>
      </w:r>
    </w:p>
    <w:p>
      <w:pPr>
        <w:spacing w:after="0" w:line="22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Provisions in our operating agreement may make it more difficult and expensive for a third party to acquire control of us even if a change of control would be beneficial to the interests of our shareholders. For example, our operating agreement provides for a staggered board, requires advance notice for proposals by shareholders and nominations, places limitations on convening shareholder meetings, and authorizes the issuance of preferred shares that could be issued by our board of directors to thwart a takeover attempt. In addition, certain provisions of Delaware law may delay or prevent a transaction that could cause a change in our control. The market price of our shares could be adversely affected to the extent that provisions of our operating agreement discourage potential takeover attempts that our shareholders may favor.</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There are certain provisions in our operating agreement regarding exculpation and indemnification of our officers and directors that differ from the Delaware General Corporation Law (the “DGCL”) in a manner that may be less protective of the interests of our shareholders.</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operating agreement provides that to the fullest extent permitted by applicable law our directors or officers will not be liable to us. Under the DGCL, a director or officer would be liable to us for (i) breach of duty of loyalty to us or our shareholders, (ii) intentional misconduct or knowing violations of the law that are not done in good faith, (iii) improper redemption of shares or declaration of dividend, or (iv) a transaction from which the director derived an improper personal benefit. In addition, our operating agreement provides that we indemnify our directors and officers for acts or omissions to the fullest extent provided by law. Under the DGCL, a corporation can only indemnify directors and officers for acts or omissions if the director or officer acted in good faith, in a manner he reasonably believed to be in the best interests of the corporation, and, in criminal action, if the officer or director had no reasonable cause to believe his conduct was unlawful. Accordingly, our operating agreement may be less protective of the interests of our shareholders, when compared to the DGCL, insofar as it relates to the exculpation and indemnification of our officers and directors.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 a public company, we will incur additional costs and face increased demands on our management.</w:t>
      </w:r>
    </w:p>
    <w:p>
      <w:pPr>
        <w:spacing w:after="0" w:line="22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As a relatively new public company with shares listed on the NYSE, we need to comply with an extensive body of regulations that did not apply to us previously, including certain provisions of the Sarbanes-Oxley Act, the Dodd-Frank Wall Street Reform and Consumer Protection Act, regulations of the SEC and requirements of the NYSE. We expect these rules and regulations will increase our legal and financial compliance costs and make some activities to our board of directors more time-consuming and costly. For example, as a result of becoming a public company, we have independent directors and board committees. In addition, we may incur additional costs associated with our public company reporting requirements and maintaining directors’ and officers’ liability insurance. We are currently evaluating and monitoring developments with respect to these rules, which may impose additional costs on us and have a material adverse effect on our business, prospects, financial condition, results of operations and cash flows.</w:t>
      </w:r>
    </w:p>
    <w:p>
      <w:pPr>
        <w:spacing w:after="0" w:line="17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our business, or if they downgrade their recommendations regarding our common shares, our share price and trading volume could decline.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420"/>
          </w:cols>
          <w:pgMar w:left="240" w:top="581" w:right="239" w:bottom="1440" w:gutter="0" w:footer="0" w:header="0"/>
        </w:sectPr>
      </w:pPr>
    </w:p>
    <w:bookmarkStart w:id="86" w:name="page87"/>
    <w:bookmarkEnd w:id="86"/>
    <w:p>
      <w:pPr>
        <w:jc w:val="both"/>
        <w:spacing w:after="0" w:line="261" w:lineRule="auto"/>
        <w:rPr>
          <w:sz w:val="20"/>
          <w:szCs w:val="20"/>
          <w:color w:val="auto"/>
        </w:rPr>
      </w:pPr>
      <w:r>
        <w:rPr>
          <w:rFonts w:ascii="Arial" w:cs="Arial" w:eastAsia="Arial" w:hAnsi="Arial"/>
          <w:sz w:val="16"/>
          <w:szCs w:val="16"/>
          <w:color w:val="auto"/>
        </w:rPr>
        <w:t>The trading market for our common shares are influenced by the research and reports that industry or securities analysts publish about us or our business. If any of the analysts who cover us downgrades our common units or publishes inaccurate or unfavorable research about our business, our common share price may decline. If analysts cease coverage of us or fail to regularly publish reports on us, we could lose visibility in the financial markets, which in turn could cause our common share price or trading volume to decline and our common shares to be less liquid.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2. Unregistered Sales of Equity Securities and Use of Proceeds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3. Defaults Upon Senior Securities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4. Mine Safety Disclosures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5. Other Information</w:t>
      </w:r>
    </w:p>
    <w:p>
      <w:pPr>
        <w:spacing w:after="0" w:line="17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Board of Directors of the Company has appointed its Interim Chief Financial Officer, Mr. Scott Christopher, 44, as its Chief Financial Officer, effective as of May 4, 2017. Mr. Christopher has served as the Company’s Chief Accounting Officer since May 2015, and will continue to serve in that capacity. For Mr. Christopher’s biography and compensation information, please see the sections entitled “Executive Officer” and “Executive and Manager Compensation” included in the Company’s Schedule 14A filed on April 19, 2017, such biography and compensation information incorporated herein by reference.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6. Exhibits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See Index to Exhibits immediately following the signature page of this Form 10-Q.</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00497F"/>
        </w:rPr>
        <w:t>SIGNATURES</w:t>
      </w:r>
    </w:p>
    <w:p>
      <w:pPr>
        <w:spacing w:after="0" w:line="196"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FORTRESS TRANSPORTATION AND INFRASTRUCTURE INVESTORS LLC</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540" w:type="dxa"/>
            <w:vAlign w:val="bottom"/>
          </w:tcPr>
          <w:p>
            <w:pPr>
              <w:spacing w:after="0"/>
              <w:rPr>
                <w:sz w:val="20"/>
                <w:szCs w:val="20"/>
                <w:color w:val="auto"/>
              </w:rPr>
            </w:pPr>
            <w:r>
              <w:rPr>
                <w:rFonts w:ascii="Arial" w:cs="Arial" w:eastAsia="Arial" w:hAnsi="Arial"/>
                <w:sz w:val="16"/>
                <w:szCs w:val="16"/>
                <w:color w:val="auto"/>
              </w:rPr>
              <w:t>By:</w:t>
            </w:r>
          </w:p>
        </w:tc>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 Joseph P. Adams, Jr.</w:t>
            </w:r>
          </w:p>
        </w:tc>
        <w:tc>
          <w:tcPr>
            <w:tcW w:w="4600" w:type="dxa"/>
            <w:vAlign w:val="bottom"/>
          </w:tcPr>
          <w:p>
            <w:pPr>
              <w:ind w:left="3900"/>
              <w:spacing w:after="0"/>
              <w:rPr>
                <w:sz w:val="20"/>
                <w:szCs w:val="20"/>
                <w:color w:val="auto"/>
              </w:rPr>
            </w:pPr>
            <w:r>
              <w:rPr>
                <w:rFonts w:ascii="Arial" w:cs="Arial" w:eastAsia="Arial" w:hAnsi="Arial"/>
                <w:sz w:val="16"/>
                <w:szCs w:val="16"/>
                <w:color w:val="auto"/>
              </w:rPr>
              <w:t>Date:</w:t>
            </w:r>
          </w:p>
        </w:tc>
        <w:tc>
          <w:tcPr>
            <w:tcW w:w="1220" w:type="dxa"/>
            <w:vAlign w:val="bottom"/>
          </w:tcPr>
          <w:p>
            <w:pPr>
              <w:ind w:left="320"/>
              <w:spacing w:after="0"/>
              <w:rPr>
                <w:sz w:val="20"/>
                <w:szCs w:val="20"/>
                <w:color w:val="auto"/>
              </w:rPr>
            </w:pPr>
            <w:r>
              <w:rPr>
                <w:rFonts w:ascii="Arial" w:cs="Arial" w:eastAsia="Arial" w:hAnsi="Arial"/>
                <w:sz w:val="16"/>
                <w:szCs w:val="16"/>
                <w:color w:val="auto"/>
                <w:w w:val="99"/>
              </w:rPr>
              <w:t>May 5, 2017</w:t>
            </w:r>
          </w:p>
        </w:tc>
      </w:tr>
      <w:tr>
        <w:trPr>
          <w:trHeight w:val="241"/>
        </w:trPr>
        <w:tc>
          <w:tcPr>
            <w:tcW w:w="540" w:type="dxa"/>
            <w:vAlign w:val="bottom"/>
          </w:tcPr>
          <w:p>
            <w:pPr>
              <w:spacing w:after="0"/>
              <w:rPr>
                <w:sz w:val="20"/>
                <w:szCs w:val="20"/>
                <w:color w:val="auto"/>
              </w:rPr>
            </w:pPr>
          </w:p>
        </w:tc>
        <w:tc>
          <w:tcPr>
            <w:tcW w:w="3660" w:type="dxa"/>
            <w:vAlign w:val="bottom"/>
          </w:tcPr>
          <w:p>
            <w:pPr>
              <w:ind w:left="40"/>
              <w:spacing w:after="0"/>
              <w:rPr>
                <w:sz w:val="20"/>
                <w:szCs w:val="20"/>
                <w:color w:val="auto"/>
              </w:rPr>
            </w:pPr>
            <w:r>
              <w:rPr>
                <w:rFonts w:ascii="Arial" w:cs="Arial" w:eastAsia="Arial" w:hAnsi="Arial"/>
                <w:sz w:val="16"/>
                <w:szCs w:val="16"/>
                <w:color w:val="auto"/>
              </w:rPr>
              <w:t>Joseph P. Adams, Jr.</w:t>
            </w:r>
          </w:p>
        </w:tc>
        <w:tc>
          <w:tcPr>
            <w:tcW w:w="46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0"/>
        </w:trPr>
        <w:tc>
          <w:tcPr>
            <w:tcW w:w="540" w:type="dxa"/>
            <w:vAlign w:val="bottom"/>
          </w:tcPr>
          <w:p>
            <w:pPr>
              <w:spacing w:after="0"/>
              <w:rPr>
                <w:sz w:val="23"/>
                <w:szCs w:val="23"/>
                <w:color w:val="auto"/>
              </w:rPr>
            </w:pPr>
          </w:p>
        </w:tc>
        <w:tc>
          <w:tcPr>
            <w:tcW w:w="3660" w:type="dxa"/>
            <w:vAlign w:val="bottom"/>
          </w:tcPr>
          <w:p>
            <w:pPr>
              <w:ind w:left="40"/>
              <w:spacing w:after="0"/>
              <w:rPr>
                <w:sz w:val="20"/>
                <w:szCs w:val="20"/>
                <w:color w:val="auto"/>
              </w:rPr>
            </w:pPr>
            <w:r>
              <w:rPr>
                <w:rFonts w:ascii="Arial" w:cs="Arial" w:eastAsia="Arial" w:hAnsi="Arial"/>
                <w:sz w:val="16"/>
                <w:szCs w:val="16"/>
                <w:color w:val="auto"/>
              </w:rPr>
              <w:t>Chairman and Chief Executive Officer</w:t>
            </w:r>
          </w:p>
        </w:tc>
        <w:tc>
          <w:tcPr>
            <w:tcW w:w="46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711"/>
        </w:trPr>
        <w:tc>
          <w:tcPr>
            <w:tcW w:w="540" w:type="dxa"/>
            <w:vAlign w:val="bottom"/>
          </w:tcPr>
          <w:p>
            <w:pPr>
              <w:spacing w:after="0"/>
              <w:rPr>
                <w:sz w:val="20"/>
                <w:szCs w:val="20"/>
                <w:color w:val="auto"/>
              </w:rPr>
            </w:pPr>
            <w:r>
              <w:rPr>
                <w:rFonts w:ascii="Arial" w:cs="Arial" w:eastAsia="Arial" w:hAnsi="Arial"/>
                <w:sz w:val="16"/>
                <w:szCs w:val="16"/>
                <w:color w:val="auto"/>
              </w:rPr>
              <w:t>By:</w:t>
            </w:r>
          </w:p>
        </w:tc>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 Scott Christopher</w:t>
            </w:r>
          </w:p>
        </w:tc>
        <w:tc>
          <w:tcPr>
            <w:tcW w:w="4600" w:type="dxa"/>
            <w:vAlign w:val="bottom"/>
          </w:tcPr>
          <w:p>
            <w:pPr>
              <w:ind w:left="3900"/>
              <w:spacing w:after="0"/>
              <w:rPr>
                <w:sz w:val="20"/>
                <w:szCs w:val="20"/>
                <w:color w:val="auto"/>
              </w:rPr>
            </w:pPr>
            <w:r>
              <w:rPr>
                <w:rFonts w:ascii="Arial" w:cs="Arial" w:eastAsia="Arial" w:hAnsi="Arial"/>
                <w:sz w:val="16"/>
                <w:szCs w:val="16"/>
                <w:color w:val="auto"/>
              </w:rPr>
              <w:t>Date:</w:t>
            </w:r>
          </w:p>
        </w:tc>
        <w:tc>
          <w:tcPr>
            <w:tcW w:w="1220" w:type="dxa"/>
            <w:vAlign w:val="bottom"/>
          </w:tcPr>
          <w:p>
            <w:pPr>
              <w:ind w:left="320"/>
              <w:spacing w:after="0"/>
              <w:rPr>
                <w:sz w:val="20"/>
                <w:szCs w:val="20"/>
                <w:color w:val="auto"/>
              </w:rPr>
            </w:pPr>
            <w:r>
              <w:rPr>
                <w:rFonts w:ascii="Arial" w:cs="Arial" w:eastAsia="Arial" w:hAnsi="Arial"/>
                <w:sz w:val="16"/>
                <w:szCs w:val="16"/>
                <w:color w:val="auto"/>
                <w:w w:val="99"/>
              </w:rPr>
              <w:t>May 5, 2017</w:t>
            </w:r>
          </w:p>
        </w:tc>
      </w:tr>
      <w:tr>
        <w:trPr>
          <w:trHeight w:val="241"/>
        </w:trPr>
        <w:tc>
          <w:tcPr>
            <w:tcW w:w="540" w:type="dxa"/>
            <w:vAlign w:val="bottom"/>
          </w:tcPr>
          <w:p>
            <w:pPr>
              <w:spacing w:after="0"/>
              <w:rPr>
                <w:sz w:val="20"/>
                <w:szCs w:val="20"/>
                <w:color w:val="auto"/>
              </w:rPr>
            </w:pPr>
          </w:p>
        </w:tc>
        <w:tc>
          <w:tcPr>
            <w:tcW w:w="3660" w:type="dxa"/>
            <w:vAlign w:val="bottom"/>
          </w:tcPr>
          <w:p>
            <w:pPr>
              <w:ind w:left="40"/>
              <w:spacing w:after="0"/>
              <w:rPr>
                <w:sz w:val="20"/>
                <w:szCs w:val="20"/>
                <w:color w:val="auto"/>
              </w:rPr>
            </w:pPr>
            <w:r>
              <w:rPr>
                <w:rFonts w:ascii="Arial" w:cs="Arial" w:eastAsia="Arial" w:hAnsi="Arial"/>
                <w:sz w:val="16"/>
                <w:szCs w:val="16"/>
                <w:color w:val="auto"/>
              </w:rPr>
              <w:t>Scott Christopher</w:t>
            </w:r>
          </w:p>
        </w:tc>
        <w:tc>
          <w:tcPr>
            <w:tcW w:w="46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0"/>
        </w:trPr>
        <w:tc>
          <w:tcPr>
            <w:tcW w:w="540" w:type="dxa"/>
            <w:vAlign w:val="bottom"/>
          </w:tcPr>
          <w:p>
            <w:pPr>
              <w:spacing w:after="0"/>
              <w:rPr>
                <w:sz w:val="23"/>
                <w:szCs w:val="23"/>
                <w:color w:val="auto"/>
              </w:rPr>
            </w:pPr>
          </w:p>
        </w:tc>
        <w:tc>
          <w:tcPr>
            <w:tcW w:w="3660" w:type="dxa"/>
            <w:vAlign w:val="bottom"/>
          </w:tcPr>
          <w:p>
            <w:pPr>
              <w:ind w:left="40"/>
              <w:spacing w:after="0"/>
              <w:rPr>
                <w:sz w:val="20"/>
                <w:szCs w:val="20"/>
                <w:color w:val="auto"/>
              </w:rPr>
            </w:pPr>
            <w:r>
              <w:rPr>
                <w:rFonts w:ascii="Arial" w:cs="Arial" w:eastAsia="Arial" w:hAnsi="Arial"/>
                <w:sz w:val="16"/>
                <w:szCs w:val="16"/>
                <w:color w:val="auto"/>
              </w:rPr>
              <w:t>Chief Financial Officer and</w:t>
            </w:r>
          </w:p>
        </w:tc>
        <w:tc>
          <w:tcPr>
            <w:tcW w:w="46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0"/>
        </w:trPr>
        <w:tc>
          <w:tcPr>
            <w:tcW w:w="540" w:type="dxa"/>
            <w:vAlign w:val="bottom"/>
          </w:tcPr>
          <w:p>
            <w:pPr>
              <w:spacing w:after="0"/>
              <w:rPr>
                <w:sz w:val="23"/>
                <w:szCs w:val="23"/>
                <w:color w:val="auto"/>
              </w:rPr>
            </w:pPr>
          </w:p>
        </w:tc>
        <w:tc>
          <w:tcPr>
            <w:tcW w:w="3660" w:type="dxa"/>
            <w:vAlign w:val="bottom"/>
          </w:tcPr>
          <w:p>
            <w:pPr>
              <w:ind w:left="40"/>
              <w:spacing w:after="0"/>
              <w:rPr>
                <w:sz w:val="20"/>
                <w:szCs w:val="20"/>
                <w:color w:val="auto"/>
              </w:rPr>
            </w:pPr>
            <w:r>
              <w:rPr>
                <w:rFonts w:ascii="Arial" w:cs="Arial" w:eastAsia="Arial" w:hAnsi="Arial"/>
                <w:sz w:val="16"/>
                <w:szCs w:val="16"/>
                <w:color w:val="auto"/>
              </w:rPr>
              <w:t>Chief Accounting Officer</w:t>
            </w:r>
          </w:p>
        </w:tc>
        <w:tc>
          <w:tcPr>
            <w:tcW w:w="46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675"/>
        </w:trPr>
        <w:tc>
          <w:tcPr>
            <w:tcW w:w="5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600" w:type="dxa"/>
            <w:vAlign w:val="bottom"/>
          </w:tcPr>
          <w:p>
            <w:pPr>
              <w:jc w:val="right"/>
              <w:ind w:right="2959"/>
              <w:spacing w:after="0"/>
              <w:rPr>
                <w:sz w:val="20"/>
                <w:szCs w:val="20"/>
                <w:color w:val="auto"/>
              </w:rPr>
            </w:pPr>
            <w:r>
              <w:rPr>
                <w:rFonts w:ascii="Arial" w:cs="Arial" w:eastAsia="Arial" w:hAnsi="Arial"/>
                <w:sz w:val="16"/>
                <w:szCs w:val="16"/>
                <w:color w:val="auto"/>
              </w:rPr>
              <w:t>87</w:t>
            </w:r>
          </w:p>
        </w:tc>
        <w:tc>
          <w:tcPr>
            <w:tcW w:w="1220" w:type="dxa"/>
            <w:vAlign w:val="bottom"/>
          </w:tcPr>
          <w:p>
            <w:pPr>
              <w:spacing w:after="0"/>
              <w:rPr>
                <w:sz w:val="24"/>
                <w:szCs w:val="24"/>
                <w:color w:val="auto"/>
              </w:rPr>
            </w:pPr>
          </w:p>
        </w:tc>
      </w:tr>
    </w:tbl>
    <w:p>
      <w:pPr>
        <w:sectPr>
          <w:pgSz w:w="11900" w:h="16838" w:orient="portrait"/>
          <w:cols w:equalWidth="0" w:num="1">
            <w:col w:w="11420"/>
          </w:cols>
          <w:pgMar w:left="240" w:top="581" w:right="239" w:bottom="1440" w:gutter="0" w:footer="0" w:header="0"/>
        </w:sectPr>
      </w:pPr>
    </w:p>
    <w:bookmarkStart w:id="87" w:name="page88"/>
    <w:bookmarkEnd w:id="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920" w:type="dxa"/>
            <w:vAlign w:val="bottom"/>
          </w:tcPr>
          <w:p>
            <w:pPr>
              <w:ind w:left="3440"/>
              <w:spacing w:after="0"/>
              <w:rPr>
                <w:sz w:val="20"/>
                <w:szCs w:val="20"/>
                <w:color w:val="auto"/>
              </w:rPr>
            </w:pPr>
            <w:r>
              <w:rPr>
                <w:rFonts w:ascii="Arial" w:cs="Arial" w:eastAsia="Arial" w:hAnsi="Arial"/>
                <w:sz w:val="16"/>
                <w:szCs w:val="16"/>
                <w:b w:val="1"/>
                <w:bCs w:val="1"/>
                <w:color w:val="00497F"/>
              </w:rPr>
              <w:t>INDEX TO EXHIBITS</w:t>
            </w:r>
          </w:p>
        </w:tc>
      </w:tr>
      <w:tr>
        <w:trPr>
          <w:trHeight w:val="385"/>
        </w:trPr>
        <w:tc>
          <w:tcPr>
            <w:tcW w:w="240" w:type="dxa"/>
            <w:vAlign w:val="bottom"/>
          </w:tcPr>
          <w:p>
            <w:pPr>
              <w:spacing w:after="0"/>
              <w:rPr>
                <w:sz w:val="24"/>
                <w:szCs w:val="24"/>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No.</w:t>
            </w:r>
          </w:p>
        </w:tc>
        <w:tc>
          <w:tcPr>
            <w:tcW w:w="9920" w:type="dxa"/>
            <w:vAlign w:val="bottom"/>
          </w:tcPr>
          <w:p>
            <w:pPr>
              <w:ind w:left="4560"/>
              <w:spacing w:after="0"/>
              <w:rPr>
                <w:sz w:val="20"/>
                <w:szCs w:val="20"/>
                <w:color w:val="auto"/>
              </w:rPr>
            </w:pPr>
            <w:r>
              <w:rPr>
                <w:rFonts w:ascii="Arial" w:cs="Arial" w:eastAsia="Arial" w:hAnsi="Arial"/>
                <w:sz w:val="14"/>
                <w:szCs w:val="14"/>
                <w:b w:val="1"/>
                <w:bCs w:val="1"/>
                <w:color w:val="auto"/>
              </w:rPr>
              <w:t>Description</w:t>
            </w:r>
          </w:p>
        </w:tc>
      </w:tr>
      <w:tr>
        <w:trPr>
          <w:trHeight w:val="170"/>
        </w:trPr>
        <w:tc>
          <w:tcPr>
            <w:tcW w:w="240" w:type="dxa"/>
            <w:vAlign w:val="bottom"/>
          </w:tcPr>
          <w:p>
            <w:pPr>
              <w:spacing w:after="0"/>
              <w:rPr>
                <w:sz w:val="14"/>
                <w:szCs w:val="14"/>
                <w:color w:val="auto"/>
              </w:rPr>
            </w:pPr>
          </w:p>
        </w:tc>
        <w:tc>
          <w:tcPr>
            <w:tcW w:w="11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4"/>
                <w:szCs w:val="14"/>
                <w:color w:val="auto"/>
              </w:rPr>
            </w:pPr>
          </w:p>
        </w:tc>
        <w:tc>
          <w:tcPr>
            <w:tcW w:w="99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Certificate of Formation (incorporated by reference to Exhibit 3.1 of Amendment No. 4 to the Company's Registration Statement on Form S-1, filed on April</w:t>
            </w:r>
          </w:p>
        </w:tc>
      </w:tr>
      <w:tr>
        <w:trPr>
          <w:trHeight w:val="198"/>
        </w:trPr>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30, 2015).</w:t>
            </w:r>
          </w:p>
        </w:tc>
      </w:tr>
      <w:tr>
        <w:trPr>
          <w:trHeight w:val="180"/>
        </w:trPr>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15"/>
                <w:szCs w:val="15"/>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Amended and Restated Limited Liability Company Agreement of Fortress Transportation and Infrastructure Investors LLC (incorporated by reference to</w:t>
            </w:r>
          </w:p>
        </w:tc>
      </w:tr>
      <w:tr>
        <w:trPr>
          <w:trHeight w:val="202"/>
        </w:trPr>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Exhibit 3.2 of the Company's Current Report on Form 8-K, filed on May 21, 2015).</w:t>
            </w:r>
          </w:p>
        </w:tc>
      </w:tr>
      <w:tr>
        <w:trPr>
          <w:trHeight w:val="176"/>
        </w:trPr>
        <w:tc>
          <w:tcPr>
            <w:tcW w:w="240" w:type="dxa"/>
            <w:vAlign w:val="bottom"/>
          </w:tcPr>
          <w:p>
            <w:pPr>
              <w:spacing w:after="0"/>
              <w:rPr>
                <w:sz w:val="15"/>
                <w:szCs w:val="15"/>
                <w:color w:val="auto"/>
              </w:rPr>
            </w:pPr>
          </w:p>
        </w:tc>
        <w:tc>
          <w:tcPr>
            <w:tcW w:w="1140" w:type="dxa"/>
            <w:vAlign w:val="bottom"/>
          </w:tcPr>
          <w:p>
            <w:pPr>
              <w:ind w:left="20"/>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5"/>
                <w:szCs w:val="15"/>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First Amendment to Amended and Restated Limited Liability Company Agreement of Fortress Transportation and Infrastructure Investors LLC</w:t>
            </w:r>
          </w:p>
        </w:tc>
      </w:tr>
      <w:tr>
        <w:trPr>
          <w:trHeight w:val="198"/>
        </w:trPr>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(incorporated by reference to Exhibit 3.3 of the Company's Annual Report on Form 10-K, filed on March 10, 2016).</w:t>
            </w:r>
          </w:p>
        </w:tc>
      </w:tr>
      <w:tr>
        <w:trPr>
          <w:trHeight w:val="180"/>
        </w:trPr>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15"/>
                <w:szCs w:val="15"/>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Indenture, dated March 15, 2017, between Fortress Transportation and Infrastructure Investors LLC and U.S. Bank National</w:t>
            </w:r>
          </w:p>
        </w:tc>
      </w:tr>
      <w:tr>
        <w:trPr>
          <w:trHeight w:val="162"/>
        </w:trPr>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Association, as trustee, relating to the Company’s 6.75% senior unsecured notes due 2022 (incorporated by reference to Exhibit 4.1 of the Company’s</w:t>
            </w:r>
          </w:p>
        </w:tc>
      </w:tr>
      <w:tr>
        <w:trPr>
          <w:trHeight w:val="194"/>
        </w:trPr>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Report on Form 8-K, filed on March 15, 2017).</w:t>
            </w:r>
          </w:p>
        </w:tc>
      </w:tr>
      <w:tr>
        <w:trPr>
          <w:trHeight w:val="170"/>
        </w:trPr>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920" w:type="dxa"/>
            <w:vAlign w:val="bottom"/>
            <w:shd w:val="clear" w:color="auto" w:fill="CCEEFF"/>
          </w:tcPr>
          <w:p>
            <w:pPr>
              <w:spacing w:after="0"/>
              <w:rPr>
                <w:sz w:val="14"/>
                <w:szCs w:val="14"/>
                <w:color w:val="auto"/>
              </w:rPr>
            </w:pPr>
          </w:p>
        </w:tc>
      </w:tr>
      <w:tr>
        <w:trPr>
          <w:trHeight w:val="208"/>
        </w:trPr>
        <w:tc>
          <w:tcPr>
            <w:tcW w:w="240" w:type="dxa"/>
            <w:vAlign w:val="bottom"/>
          </w:tcPr>
          <w:p>
            <w:pPr>
              <w:spacing w:after="0"/>
              <w:rPr>
                <w:sz w:val="18"/>
                <w:szCs w:val="18"/>
                <w:color w:val="auto"/>
              </w:rPr>
            </w:pPr>
          </w:p>
        </w:tc>
        <w:tc>
          <w:tcPr>
            <w:tcW w:w="1140" w:type="dxa"/>
            <w:vAlign w:val="bottom"/>
          </w:tcPr>
          <w:p>
            <w:pPr>
              <w:ind w:left="20"/>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Form of global note representing the Company’s 6.75% senior unsecured notes due 2022 (included in Exhibit 4.1).</w:t>
            </w:r>
          </w:p>
        </w:tc>
      </w:tr>
      <w:tr>
        <w:trPr>
          <w:trHeight w:val="62"/>
        </w:trPr>
        <w:tc>
          <w:tcPr>
            <w:tcW w:w="2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920" w:type="dxa"/>
            <w:vAlign w:val="bottom"/>
          </w:tcPr>
          <w:p>
            <w:pPr>
              <w:spacing w:after="0"/>
              <w:rPr>
                <w:sz w:val="5"/>
                <w:szCs w:val="5"/>
                <w:color w:val="auto"/>
              </w:rPr>
            </w:pPr>
          </w:p>
        </w:tc>
      </w:tr>
      <w:tr>
        <w:trPr>
          <w:trHeight w:val="176"/>
        </w:trPr>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15"/>
                <w:szCs w:val="15"/>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Fourth Amended and Restated Partnership Agreement of Fortress Worldwide Transportation and Infrastructure General Partnership (incorporated by</w:t>
            </w:r>
          </w:p>
        </w:tc>
      </w:tr>
      <w:tr>
        <w:trPr>
          <w:trHeight w:val="202"/>
        </w:trPr>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reference to Exhibit 10.1 of the Company's Current Report on Form 8-K, filed on May 21, 2015).</w:t>
            </w:r>
          </w:p>
        </w:tc>
      </w:tr>
      <w:tr>
        <w:trPr>
          <w:trHeight w:val="176"/>
        </w:trPr>
        <w:tc>
          <w:tcPr>
            <w:tcW w:w="240" w:type="dxa"/>
            <w:vAlign w:val="bottom"/>
          </w:tcPr>
          <w:p>
            <w:pPr>
              <w:ind w:left="40"/>
              <w:spacing w:after="0"/>
              <w:rPr>
                <w:sz w:val="20"/>
                <w:szCs w:val="20"/>
                <w:color w:val="auto"/>
              </w:rPr>
            </w:pPr>
            <w:r>
              <w:rPr>
                <w:rFonts w:ascii="Arial" w:cs="Arial" w:eastAsia="Arial" w:hAnsi="Arial"/>
                <w:sz w:val="14"/>
                <w:szCs w:val="14"/>
                <w:color w:val="auto"/>
              </w:rPr>
              <w:t>†</w:t>
            </w:r>
          </w:p>
        </w:tc>
        <w:tc>
          <w:tcPr>
            <w:tcW w:w="1140" w:type="dxa"/>
            <w:vAlign w:val="bottom"/>
          </w:tcPr>
          <w:p>
            <w:pPr>
              <w:ind w:left="20"/>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15"/>
                <w:szCs w:val="15"/>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Management and Advisory Agreement, dated as of May 20, 2015, between Fortress Transportation and Infrastructure Investors LLC and FIG LLC</w:t>
            </w:r>
          </w:p>
        </w:tc>
      </w:tr>
      <w:tr>
        <w:trPr>
          <w:trHeight w:val="198"/>
        </w:trPr>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(incorporated by reference to Exhibit 10.2 of the Company's Current Report on Form 8-K, filed on May 21, 2015).</w:t>
            </w:r>
          </w:p>
        </w:tc>
      </w:tr>
      <w:tr>
        <w:trPr>
          <w:trHeight w:val="180"/>
        </w:trPr>
        <w:tc>
          <w:tcPr>
            <w:tcW w:w="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CCEEFF"/>
          </w:tcPr>
          <w:p>
            <w:pPr>
              <w:spacing w:after="0"/>
              <w:rPr>
                <w:sz w:val="15"/>
                <w:szCs w:val="15"/>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Registration Rights Agreement, dated as of May 20, 2015, among Fortress Transportation and Infrastructure Investors LLC, FIG LLC and Fortress</w:t>
            </w:r>
          </w:p>
        </w:tc>
      </w:tr>
      <w:tr>
        <w:trPr>
          <w:trHeight w:val="162"/>
        </w:trPr>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Transportation and Infrastructure Master GP LLC (incorporated by reference to Exhibit 10.3 of the Company's Current Report on Form 8-K, filed on May</w:t>
            </w:r>
          </w:p>
        </w:tc>
      </w:tr>
      <w:tr>
        <w:trPr>
          <w:trHeight w:val="202"/>
        </w:trPr>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21, 2015).</w:t>
            </w:r>
          </w:p>
        </w:tc>
      </w:tr>
      <w:tr>
        <w:trPr>
          <w:trHeight w:val="176"/>
        </w:trPr>
        <w:tc>
          <w:tcPr>
            <w:tcW w:w="240" w:type="dxa"/>
            <w:vAlign w:val="bottom"/>
          </w:tcPr>
          <w:p>
            <w:pPr>
              <w:spacing w:after="0"/>
              <w:rPr>
                <w:sz w:val="15"/>
                <w:szCs w:val="15"/>
                <w:color w:val="auto"/>
              </w:rPr>
            </w:pPr>
          </w:p>
        </w:tc>
        <w:tc>
          <w:tcPr>
            <w:tcW w:w="1140" w:type="dxa"/>
            <w:vAlign w:val="bottom"/>
          </w:tcPr>
          <w:p>
            <w:pPr>
              <w:ind w:left="20"/>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15"/>
                <w:szCs w:val="15"/>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Fortress Transportation and Infrastructure Investors LLC Nonqualified Stock Option and Incentive Award Plan (incorporated by reference to Exhibit 10.4 of</w:t>
            </w:r>
          </w:p>
        </w:tc>
      </w:tr>
      <w:tr>
        <w:trPr>
          <w:trHeight w:val="198"/>
        </w:trPr>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the Company's Current Report on Form 8-K, filed on May 21, 2015).</w:t>
            </w:r>
          </w:p>
        </w:tc>
      </w:tr>
      <w:tr>
        <w:trPr>
          <w:trHeight w:val="180"/>
        </w:trPr>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10.5</w:t>
            </w:r>
          </w:p>
        </w:tc>
        <w:tc>
          <w:tcPr>
            <w:tcW w:w="120" w:type="dxa"/>
            <w:vAlign w:val="bottom"/>
            <w:shd w:val="clear" w:color="auto" w:fill="CCEEFF"/>
          </w:tcPr>
          <w:p>
            <w:pPr>
              <w:spacing w:after="0"/>
              <w:rPr>
                <w:sz w:val="15"/>
                <w:szCs w:val="15"/>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Form of director and officer indemnification agreement of Fortress Transportation and Infrastructure Investors LLC (incorporated by reference to Exhibit</w:t>
            </w:r>
          </w:p>
        </w:tc>
      </w:tr>
      <w:tr>
        <w:trPr>
          <w:trHeight w:val="202"/>
        </w:trPr>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10.5 of Amendment No. 4 to the Company's Registration Statement on Form S-1, filed April 30, 2015).</w:t>
            </w:r>
          </w:p>
        </w:tc>
      </w:tr>
      <w:tr>
        <w:trPr>
          <w:trHeight w:val="176"/>
        </w:trPr>
        <w:tc>
          <w:tcPr>
            <w:tcW w:w="240" w:type="dxa"/>
            <w:vAlign w:val="bottom"/>
          </w:tcPr>
          <w:p>
            <w:pPr>
              <w:spacing w:after="0"/>
              <w:rPr>
                <w:sz w:val="15"/>
                <w:szCs w:val="15"/>
                <w:color w:val="auto"/>
              </w:rPr>
            </w:pPr>
          </w:p>
        </w:tc>
        <w:tc>
          <w:tcPr>
            <w:tcW w:w="1140" w:type="dxa"/>
            <w:vAlign w:val="bottom"/>
          </w:tcPr>
          <w:p>
            <w:pPr>
              <w:ind w:left="20"/>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15"/>
                <w:szCs w:val="15"/>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Credit Agreement, dated as of August 27, 2014, among Morgan Stanley Senior Funding, Inc., as administrative agent, Jefferson Gulf Coast Energy</w:t>
            </w:r>
          </w:p>
        </w:tc>
      </w:tr>
      <w:tr>
        <w:trPr>
          <w:trHeight w:val="162"/>
        </w:trPr>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Partners LLC and the other lenders party thereto (incorporated by reference to Exhibit 10.6 of Amendment No. 4 to the Company's Registration Statement</w:t>
            </w:r>
          </w:p>
        </w:tc>
      </w:tr>
      <w:tr>
        <w:trPr>
          <w:trHeight w:val="198"/>
        </w:trPr>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on Form S-1, filed April 30, 2015).</w:t>
            </w:r>
          </w:p>
        </w:tc>
      </w:tr>
      <w:tr>
        <w:trPr>
          <w:trHeight w:val="180"/>
        </w:trPr>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10.7</w:t>
            </w:r>
          </w:p>
        </w:tc>
        <w:tc>
          <w:tcPr>
            <w:tcW w:w="120" w:type="dxa"/>
            <w:vAlign w:val="bottom"/>
            <w:shd w:val="clear" w:color="auto" w:fill="CCEEFF"/>
          </w:tcPr>
          <w:p>
            <w:pPr>
              <w:spacing w:after="0"/>
              <w:rPr>
                <w:sz w:val="15"/>
                <w:szCs w:val="15"/>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Trust Indenture and Security Agreement between the District and The Bank of New York Mellon Trust Company, National Association, dated as of February</w:t>
            </w:r>
          </w:p>
        </w:tc>
      </w:tr>
      <w:tr>
        <w:trPr>
          <w:trHeight w:val="202"/>
        </w:trPr>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1, 2016 (incorporated by reference to Exhibit 10.7 of the Company's Annual Report on Form 10-K, filed on March 10, 2016).</w:t>
            </w:r>
          </w:p>
        </w:tc>
      </w:tr>
      <w:tr>
        <w:trPr>
          <w:trHeight w:val="176"/>
        </w:trPr>
        <w:tc>
          <w:tcPr>
            <w:tcW w:w="240" w:type="dxa"/>
            <w:vAlign w:val="bottom"/>
          </w:tcPr>
          <w:p>
            <w:pPr>
              <w:spacing w:after="0"/>
              <w:rPr>
                <w:sz w:val="15"/>
                <w:szCs w:val="15"/>
                <w:color w:val="auto"/>
              </w:rPr>
            </w:pPr>
          </w:p>
        </w:tc>
        <w:tc>
          <w:tcPr>
            <w:tcW w:w="1140" w:type="dxa"/>
            <w:vAlign w:val="bottom"/>
          </w:tcPr>
          <w:p>
            <w:pPr>
              <w:ind w:left="20"/>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15"/>
                <w:szCs w:val="15"/>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Standby Bond Purchase Agreement among the Port of Beaumont Navigation District of Jefferson County, Texas, The Bank of New York Mellon Trust</w:t>
            </w:r>
          </w:p>
        </w:tc>
      </w:tr>
      <w:tr>
        <w:trPr>
          <w:trHeight w:val="162"/>
        </w:trPr>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Company, National Association, Jefferson Railport Terminal II Holdings LLC and Jefferson Railport Terminal II LLC dated as of February 1, 2016</w:t>
            </w:r>
          </w:p>
        </w:tc>
      </w:tr>
      <w:tr>
        <w:trPr>
          <w:trHeight w:val="198"/>
        </w:trPr>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(incorporated by reference to Exhibit 10.8 of the Company's Annual Report on Form 10-K, filed on March 10, 2016).</w:t>
            </w:r>
          </w:p>
        </w:tc>
      </w:tr>
      <w:tr>
        <w:trPr>
          <w:trHeight w:val="180"/>
        </w:trPr>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10.9</w:t>
            </w:r>
          </w:p>
        </w:tc>
        <w:tc>
          <w:tcPr>
            <w:tcW w:w="120" w:type="dxa"/>
            <w:vAlign w:val="bottom"/>
            <w:shd w:val="clear" w:color="auto" w:fill="CCEEFF"/>
          </w:tcPr>
          <w:p>
            <w:pPr>
              <w:spacing w:after="0"/>
              <w:rPr>
                <w:sz w:val="15"/>
                <w:szCs w:val="15"/>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Call Agreement, by and among Fortress Transportation and Infrastructure Investors LLC, FTAI Energy Holdings LLC, FTAI Partner Holdings LLC,</w:t>
            </w:r>
          </w:p>
        </w:tc>
      </w:tr>
      <w:tr>
        <w:trPr>
          <w:trHeight w:val="162"/>
        </w:trPr>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Midstream GP Holdings LLC, FTAI Midstream GP LLC, FTAI Midstream Holdings LLC, FTAI Energy Partners LLC and Jefferson Railport Terminal II</w:t>
            </w:r>
          </w:p>
        </w:tc>
      </w:tr>
      <w:tr>
        <w:trPr>
          <w:trHeight w:val="162"/>
        </w:trPr>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Holdings LLC, dated as of February 1, 2016 (incorporated by reference to Exhibit 10.9 of the Company's Annual Report on Form 10-K, filed on March 10,</w:t>
            </w:r>
          </w:p>
        </w:tc>
      </w:tr>
      <w:tr>
        <w:trPr>
          <w:trHeight w:val="202"/>
        </w:trPr>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2016).</w:t>
            </w:r>
          </w:p>
        </w:tc>
      </w:tr>
      <w:tr>
        <w:trPr>
          <w:trHeight w:val="176"/>
        </w:trPr>
        <w:tc>
          <w:tcPr>
            <w:tcW w:w="240" w:type="dxa"/>
            <w:vAlign w:val="bottom"/>
          </w:tcPr>
          <w:p>
            <w:pPr>
              <w:spacing w:after="0"/>
              <w:rPr>
                <w:sz w:val="15"/>
                <w:szCs w:val="15"/>
                <w:color w:val="auto"/>
              </w:rPr>
            </w:pPr>
          </w:p>
        </w:tc>
        <w:tc>
          <w:tcPr>
            <w:tcW w:w="1140" w:type="dxa"/>
            <w:vAlign w:val="bottom"/>
          </w:tcPr>
          <w:p>
            <w:pPr>
              <w:ind w:left="20"/>
              <w:spacing w:after="0"/>
              <w:rPr>
                <w:sz w:val="20"/>
                <w:szCs w:val="20"/>
                <w:color w:val="auto"/>
              </w:rPr>
            </w:pPr>
            <w:r>
              <w:rPr>
                <w:rFonts w:ascii="Arial" w:cs="Arial" w:eastAsia="Arial" w:hAnsi="Arial"/>
                <w:sz w:val="14"/>
                <w:szCs w:val="14"/>
                <w:color w:val="auto"/>
              </w:rPr>
              <w:t>10.10</w:t>
            </w:r>
          </w:p>
        </w:tc>
        <w:tc>
          <w:tcPr>
            <w:tcW w:w="120" w:type="dxa"/>
            <w:vAlign w:val="bottom"/>
          </w:tcPr>
          <w:p>
            <w:pPr>
              <w:spacing w:after="0"/>
              <w:rPr>
                <w:sz w:val="15"/>
                <w:szCs w:val="15"/>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Fee and Support Agreement, among FTAI Energy Holdings LLC, FEP Terminal Holdings LLC, FTAI Energy Partners LLC and Jefferson Railport Terminal II</w:t>
            </w:r>
          </w:p>
        </w:tc>
      </w:tr>
      <w:tr>
        <w:trPr>
          <w:trHeight w:val="162"/>
        </w:trPr>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LLC, dated as of March 7, 2016 (incorporated by reference to Exhibit 10.10 of the Company's Amended Annual Report on Form 10-K/A, filed on April 29,</w:t>
            </w:r>
          </w:p>
        </w:tc>
      </w:tr>
      <w:tr>
        <w:trPr>
          <w:trHeight w:val="198"/>
        </w:trPr>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2016).</w:t>
            </w:r>
          </w:p>
        </w:tc>
      </w:tr>
      <w:tr>
        <w:trPr>
          <w:trHeight w:val="180"/>
        </w:trPr>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10.11</w:t>
            </w:r>
          </w:p>
        </w:tc>
        <w:tc>
          <w:tcPr>
            <w:tcW w:w="120" w:type="dxa"/>
            <w:vAlign w:val="bottom"/>
            <w:shd w:val="clear" w:color="auto" w:fill="CCEEFF"/>
          </w:tcPr>
          <w:p>
            <w:pPr>
              <w:spacing w:after="0"/>
              <w:rPr>
                <w:sz w:val="15"/>
                <w:szCs w:val="15"/>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and Development Agreement (Facilities Lease), dated as of February 1, 2016, by and between the Port of Beaumont Navigation District of Jefferson</w:t>
            </w:r>
          </w:p>
        </w:tc>
      </w:tr>
      <w:tr>
        <w:trPr>
          <w:trHeight w:val="162"/>
        </w:trPr>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County, Texas and Jefferson Railport Terminal II LLC (incorporated by reference to Exhibit 10.11 of the Company's Annual Report on Form 10-K, filed on</w:t>
            </w:r>
          </w:p>
        </w:tc>
      </w:tr>
      <w:tr>
        <w:trPr>
          <w:trHeight w:val="202"/>
        </w:trPr>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March 10, 2016).</w:t>
            </w:r>
          </w:p>
        </w:tc>
      </w:tr>
      <w:tr>
        <w:trPr>
          <w:trHeight w:val="176"/>
        </w:trPr>
        <w:tc>
          <w:tcPr>
            <w:tcW w:w="240" w:type="dxa"/>
            <w:vAlign w:val="bottom"/>
          </w:tcPr>
          <w:p>
            <w:pPr>
              <w:spacing w:after="0"/>
              <w:rPr>
                <w:sz w:val="15"/>
                <w:szCs w:val="15"/>
                <w:color w:val="auto"/>
              </w:rPr>
            </w:pPr>
          </w:p>
        </w:tc>
        <w:tc>
          <w:tcPr>
            <w:tcW w:w="1140" w:type="dxa"/>
            <w:vAlign w:val="bottom"/>
          </w:tcPr>
          <w:p>
            <w:pPr>
              <w:ind w:left="20"/>
              <w:spacing w:after="0"/>
              <w:rPr>
                <w:sz w:val="20"/>
                <w:szCs w:val="20"/>
                <w:color w:val="auto"/>
              </w:rPr>
            </w:pPr>
            <w:r>
              <w:rPr>
                <w:rFonts w:ascii="Arial" w:cs="Arial" w:eastAsia="Arial" w:hAnsi="Arial"/>
                <w:sz w:val="14"/>
                <w:szCs w:val="14"/>
                <w:color w:val="auto"/>
              </w:rPr>
              <w:t>10.12</w:t>
            </w:r>
          </w:p>
        </w:tc>
        <w:tc>
          <w:tcPr>
            <w:tcW w:w="120" w:type="dxa"/>
            <w:vAlign w:val="bottom"/>
          </w:tcPr>
          <w:p>
            <w:pPr>
              <w:spacing w:after="0"/>
              <w:rPr>
                <w:sz w:val="15"/>
                <w:szCs w:val="15"/>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Deed of Trust of Jefferson Railport Terminal II LLC, dated as of February 1, 2016 (incorporated by reference to Exhibit 10.12 of the Company's Annual</w:t>
            </w:r>
          </w:p>
        </w:tc>
      </w:tr>
      <w:tr>
        <w:trPr>
          <w:trHeight w:val="198"/>
        </w:trPr>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Report on Form 10-K, filed on March 10, 2016).</w:t>
            </w:r>
          </w:p>
        </w:tc>
      </w:tr>
      <w:tr>
        <w:trPr>
          <w:trHeight w:val="180"/>
        </w:trPr>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10.13</w:t>
            </w:r>
          </w:p>
        </w:tc>
        <w:tc>
          <w:tcPr>
            <w:tcW w:w="120" w:type="dxa"/>
            <w:vAlign w:val="bottom"/>
            <w:shd w:val="clear" w:color="auto" w:fill="CCEEFF"/>
          </w:tcPr>
          <w:p>
            <w:pPr>
              <w:spacing w:after="0"/>
              <w:rPr>
                <w:sz w:val="15"/>
                <w:szCs w:val="15"/>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Credit Agreement, dated January 23, 2017, among Fortress Transportation and Infrastructure Investors LLC, as holdings, Fortress Worldwide</w:t>
            </w:r>
          </w:p>
        </w:tc>
      </w:tr>
      <w:tr>
        <w:trPr>
          <w:trHeight w:val="162"/>
        </w:trPr>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Transportation and Infrastructure General Partnership, as IntermediateCo, WWTAI Finance Ltd., as Borrower, the Subsidiary Guarantors from time to time</w:t>
            </w:r>
          </w:p>
        </w:tc>
      </w:tr>
      <w:tr>
        <w:trPr>
          <w:trHeight w:val="162"/>
        </w:trPr>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party thereto, the lenders from time to time party thereto and Morgan Stanley Senior Funding, Inc., as Administrative Agent (incorporated by reference to</w:t>
            </w:r>
          </w:p>
        </w:tc>
      </w:tr>
      <w:tr>
        <w:trPr>
          <w:trHeight w:val="202"/>
        </w:trPr>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Exhibit 10.1 of the Company's Current Report on Form 8-K, filed on January 27, 2017).</w:t>
            </w:r>
          </w:p>
        </w:tc>
      </w:tr>
      <w:tr>
        <w:trPr>
          <w:trHeight w:val="208"/>
        </w:trPr>
        <w:tc>
          <w:tcPr>
            <w:tcW w:w="240" w:type="dxa"/>
            <w:vAlign w:val="bottom"/>
          </w:tcPr>
          <w:p>
            <w:pPr>
              <w:spacing w:after="0"/>
              <w:rPr>
                <w:sz w:val="18"/>
                <w:szCs w:val="18"/>
                <w:color w:val="auto"/>
              </w:rPr>
            </w:pPr>
          </w:p>
        </w:tc>
        <w:tc>
          <w:tcPr>
            <w:tcW w:w="1140" w:type="dxa"/>
            <w:vAlign w:val="bottom"/>
          </w:tcPr>
          <w:p>
            <w:pPr>
              <w:ind w:left="20"/>
              <w:spacing w:after="0"/>
              <w:rPr>
                <w:sz w:val="20"/>
                <w:szCs w:val="20"/>
                <w:color w:val="auto"/>
              </w:rPr>
            </w:pPr>
            <w:r>
              <w:rPr>
                <w:rFonts w:ascii="Arial" w:cs="Arial" w:eastAsia="Arial" w:hAnsi="Arial"/>
                <w:sz w:val="14"/>
                <w:szCs w:val="14"/>
                <w:color w:val="auto"/>
              </w:rPr>
              <w:t>31.1</w:t>
            </w: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Certification of Chief Executive Officer pursuant to Rule 13a-14(a)/15d-14(a), as adopted pursuant to Section 302 of the Sarbanes-Oxley Act of 2002.</w:t>
            </w:r>
          </w:p>
        </w:tc>
      </w:tr>
      <w:tr>
        <w:trPr>
          <w:trHeight w:val="62"/>
        </w:trPr>
        <w:tc>
          <w:tcPr>
            <w:tcW w:w="2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920" w:type="dxa"/>
            <w:vAlign w:val="bottom"/>
          </w:tcPr>
          <w:p>
            <w:pPr>
              <w:spacing w:after="0"/>
              <w:rPr>
                <w:sz w:val="5"/>
                <w:szCs w:val="5"/>
                <w:color w:val="auto"/>
              </w:rPr>
            </w:pPr>
          </w:p>
        </w:tc>
      </w:tr>
      <w:tr>
        <w:trPr>
          <w:trHeight w:val="208"/>
        </w:trPr>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31.2</w:t>
            </w:r>
          </w:p>
        </w:tc>
        <w:tc>
          <w:tcPr>
            <w:tcW w:w="120" w:type="dxa"/>
            <w:vAlign w:val="bottom"/>
            <w:shd w:val="clear" w:color="auto" w:fill="CCEEFF"/>
          </w:tcPr>
          <w:p>
            <w:pPr>
              <w:spacing w:after="0"/>
              <w:rPr>
                <w:sz w:val="18"/>
                <w:szCs w:val="18"/>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Certification of Chief Financial Officer pursuant to Rule 13a-14(a)/15d-14(a), as adopted pursuant to Section 302 of the Sarbanes-Oxley Act of 2002</w:t>
            </w:r>
          </w:p>
        </w:tc>
      </w:tr>
      <w:tr>
        <w:trPr>
          <w:trHeight w:val="62"/>
        </w:trPr>
        <w:tc>
          <w:tcPr>
            <w:tcW w:w="2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920" w:type="dxa"/>
            <w:vAlign w:val="bottom"/>
            <w:shd w:val="clear" w:color="auto" w:fill="CCEEFF"/>
          </w:tcPr>
          <w:p>
            <w:pPr>
              <w:spacing w:after="0"/>
              <w:rPr>
                <w:sz w:val="5"/>
                <w:szCs w:val="5"/>
                <w:color w:val="auto"/>
              </w:rPr>
            </w:pPr>
          </w:p>
        </w:tc>
      </w:tr>
      <w:tr>
        <w:trPr>
          <w:trHeight w:val="208"/>
        </w:trPr>
        <w:tc>
          <w:tcPr>
            <w:tcW w:w="240" w:type="dxa"/>
            <w:vAlign w:val="bottom"/>
          </w:tcPr>
          <w:p>
            <w:pPr>
              <w:spacing w:after="0"/>
              <w:rPr>
                <w:sz w:val="18"/>
                <w:szCs w:val="18"/>
                <w:color w:val="auto"/>
              </w:rPr>
            </w:pPr>
          </w:p>
        </w:tc>
        <w:tc>
          <w:tcPr>
            <w:tcW w:w="1140" w:type="dxa"/>
            <w:vAlign w:val="bottom"/>
          </w:tcPr>
          <w:p>
            <w:pPr>
              <w:ind w:left="20"/>
              <w:spacing w:after="0"/>
              <w:rPr>
                <w:sz w:val="20"/>
                <w:szCs w:val="20"/>
                <w:color w:val="auto"/>
              </w:rPr>
            </w:pPr>
            <w:r>
              <w:rPr>
                <w:rFonts w:ascii="Arial" w:cs="Arial" w:eastAsia="Arial" w:hAnsi="Arial"/>
                <w:sz w:val="14"/>
                <w:szCs w:val="14"/>
                <w:color w:val="auto"/>
              </w:rPr>
              <w:t>32.1</w:t>
            </w: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Certification of Chief Executive Officer pursuant to 18 U.S.C. Section 1350, as adopted pursuant to Section 906 of the Sarbanes-Oxley Act of 2002.</w:t>
            </w:r>
          </w:p>
        </w:tc>
      </w:tr>
      <w:tr>
        <w:trPr>
          <w:trHeight w:val="62"/>
        </w:trPr>
        <w:tc>
          <w:tcPr>
            <w:tcW w:w="2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920" w:type="dxa"/>
            <w:vAlign w:val="bottom"/>
          </w:tcPr>
          <w:p>
            <w:pPr>
              <w:spacing w:after="0"/>
              <w:rPr>
                <w:sz w:val="5"/>
                <w:szCs w:val="5"/>
                <w:color w:val="auto"/>
              </w:rPr>
            </w:pPr>
          </w:p>
        </w:tc>
      </w:tr>
      <w:tr>
        <w:trPr>
          <w:trHeight w:val="208"/>
        </w:trPr>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32.2</w:t>
            </w:r>
          </w:p>
        </w:tc>
        <w:tc>
          <w:tcPr>
            <w:tcW w:w="120" w:type="dxa"/>
            <w:vAlign w:val="bottom"/>
            <w:shd w:val="clear" w:color="auto" w:fill="CCEEFF"/>
          </w:tcPr>
          <w:p>
            <w:pPr>
              <w:spacing w:after="0"/>
              <w:rPr>
                <w:sz w:val="18"/>
                <w:szCs w:val="18"/>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Certification of Chief Financial Officer pursuant to 18 U.S.C. Section 1350, as adopted pursuant to Section 906 of the Sarbanes-Oxley Act of 2002.</w:t>
            </w:r>
          </w:p>
        </w:tc>
      </w:tr>
      <w:tr>
        <w:trPr>
          <w:trHeight w:val="62"/>
        </w:trPr>
        <w:tc>
          <w:tcPr>
            <w:tcW w:w="2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920" w:type="dxa"/>
            <w:vAlign w:val="bottom"/>
            <w:shd w:val="clear" w:color="auto" w:fill="CCEEFF"/>
          </w:tcPr>
          <w:p>
            <w:pPr>
              <w:spacing w:after="0"/>
              <w:rPr>
                <w:sz w:val="5"/>
                <w:szCs w:val="5"/>
                <w:color w:val="auto"/>
              </w:rPr>
            </w:pPr>
          </w:p>
        </w:tc>
      </w:tr>
      <w:tr>
        <w:trPr>
          <w:trHeight w:val="208"/>
        </w:trPr>
        <w:tc>
          <w:tcPr>
            <w:tcW w:w="24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color w:val="auto"/>
              </w:rPr>
              <w:t>101.INS</w:t>
            </w:r>
          </w:p>
        </w:tc>
        <w:tc>
          <w:tcPr>
            <w:tcW w:w="9920" w:type="dxa"/>
            <w:vAlign w:val="bottom"/>
          </w:tcPr>
          <w:p>
            <w:pPr>
              <w:ind w:left="20"/>
              <w:spacing w:after="0"/>
              <w:rPr>
                <w:sz w:val="20"/>
                <w:szCs w:val="20"/>
                <w:color w:val="auto"/>
              </w:rPr>
            </w:pPr>
            <w:r>
              <w:rPr>
                <w:rFonts w:ascii="Arial" w:cs="Arial" w:eastAsia="Arial" w:hAnsi="Arial"/>
                <w:sz w:val="14"/>
                <w:szCs w:val="14"/>
                <w:color w:val="auto"/>
              </w:rPr>
              <w:t>XBRL Instance Document.</w:t>
            </w:r>
          </w:p>
        </w:tc>
      </w:tr>
      <w:tr>
        <w:trPr>
          <w:trHeight w:val="62"/>
        </w:trPr>
        <w:tc>
          <w:tcPr>
            <w:tcW w:w="2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920" w:type="dxa"/>
            <w:vAlign w:val="bottom"/>
          </w:tcPr>
          <w:p>
            <w:pPr>
              <w:spacing w:after="0"/>
              <w:rPr>
                <w:sz w:val="5"/>
                <w:szCs w:val="5"/>
                <w:color w:val="auto"/>
              </w:rPr>
            </w:pPr>
          </w:p>
        </w:tc>
      </w:tr>
      <w:tr>
        <w:trPr>
          <w:trHeight w:val="208"/>
        </w:trPr>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101.SCH</w:t>
            </w: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XBRL Taxonomy Extension Schema Document.</w:t>
            </w:r>
          </w:p>
        </w:tc>
      </w:tr>
      <w:tr>
        <w:trPr>
          <w:trHeight w:val="62"/>
        </w:trPr>
        <w:tc>
          <w:tcPr>
            <w:tcW w:w="2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920" w:type="dxa"/>
            <w:vAlign w:val="bottom"/>
            <w:shd w:val="clear" w:color="auto" w:fill="CCEEFF"/>
          </w:tcPr>
          <w:p>
            <w:pPr>
              <w:spacing w:after="0"/>
              <w:rPr>
                <w:sz w:val="5"/>
                <w:szCs w:val="5"/>
                <w:color w:val="auto"/>
              </w:rPr>
            </w:pPr>
          </w:p>
        </w:tc>
      </w:tr>
      <w:tr>
        <w:trPr>
          <w:trHeight w:val="208"/>
        </w:trPr>
        <w:tc>
          <w:tcPr>
            <w:tcW w:w="24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color w:val="auto"/>
              </w:rPr>
              <w:t>101.CAL</w:t>
            </w:r>
          </w:p>
        </w:tc>
        <w:tc>
          <w:tcPr>
            <w:tcW w:w="9920" w:type="dxa"/>
            <w:vAlign w:val="bottom"/>
          </w:tcPr>
          <w:p>
            <w:pPr>
              <w:ind w:left="20"/>
              <w:spacing w:after="0"/>
              <w:rPr>
                <w:sz w:val="20"/>
                <w:szCs w:val="20"/>
                <w:color w:val="auto"/>
              </w:rPr>
            </w:pPr>
            <w:r>
              <w:rPr>
                <w:rFonts w:ascii="Arial" w:cs="Arial" w:eastAsia="Arial" w:hAnsi="Arial"/>
                <w:sz w:val="14"/>
                <w:szCs w:val="14"/>
                <w:color w:val="auto"/>
              </w:rPr>
              <w:t>XBRL Taxonomy Extension Calculation Linkbase Document.</w:t>
            </w:r>
          </w:p>
        </w:tc>
      </w:tr>
      <w:tr>
        <w:trPr>
          <w:trHeight w:val="62"/>
        </w:trPr>
        <w:tc>
          <w:tcPr>
            <w:tcW w:w="2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920" w:type="dxa"/>
            <w:vAlign w:val="bottom"/>
          </w:tcPr>
          <w:p>
            <w:pPr>
              <w:spacing w:after="0"/>
              <w:rPr>
                <w:sz w:val="5"/>
                <w:szCs w:val="5"/>
                <w:color w:val="auto"/>
              </w:rPr>
            </w:pPr>
          </w:p>
        </w:tc>
      </w:tr>
      <w:tr>
        <w:trPr>
          <w:trHeight w:val="208"/>
        </w:trPr>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101.DEF</w:t>
            </w: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XBRL Taxonomy Extension Definition Linkbase Document.</w:t>
            </w:r>
          </w:p>
        </w:tc>
      </w:tr>
      <w:tr>
        <w:trPr>
          <w:trHeight w:val="62"/>
        </w:trPr>
        <w:tc>
          <w:tcPr>
            <w:tcW w:w="2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920" w:type="dxa"/>
            <w:vAlign w:val="bottom"/>
            <w:shd w:val="clear" w:color="auto" w:fill="CCEEFF"/>
          </w:tcPr>
          <w:p>
            <w:pPr>
              <w:spacing w:after="0"/>
              <w:rPr>
                <w:sz w:val="5"/>
                <w:szCs w:val="5"/>
                <w:color w:val="auto"/>
              </w:rPr>
            </w:pPr>
          </w:p>
        </w:tc>
      </w:tr>
      <w:tr>
        <w:trPr>
          <w:trHeight w:val="208"/>
        </w:trPr>
        <w:tc>
          <w:tcPr>
            <w:tcW w:w="24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color w:val="auto"/>
              </w:rPr>
              <w:t>101.LAB</w:t>
            </w:r>
          </w:p>
        </w:tc>
        <w:tc>
          <w:tcPr>
            <w:tcW w:w="9920" w:type="dxa"/>
            <w:vAlign w:val="bottom"/>
          </w:tcPr>
          <w:p>
            <w:pPr>
              <w:ind w:left="20"/>
              <w:spacing w:after="0"/>
              <w:rPr>
                <w:sz w:val="20"/>
                <w:szCs w:val="20"/>
                <w:color w:val="auto"/>
              </w:rPr>
            </w:pPr>
            <w:r>
              <w:rPr>
                <w:rFonts w:ascii="Arial" w:cs="Arial" w:eastAsia="Arial" w:hAnsi="Arial"/>
                <w:sz w:val="14"/>
                <w:szCs w:val="14"/>
                <w:color w:val="auto"/>
              </w:rPr>
              <w:t>XBRL Taxonomy Extension Label Linkbase Document.</w:t>
            </w:r>
          </w:p>
        </w:tc>
      </w:tr>
      <w:tr>
        <w:trPr>
          <w:trHeight w:val="62"/>
        </w:trPr>
        <w:tc>
          <w:tcPr>
            <w:tcW w:w="2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920" w:type="dxa"/>
            <w:vAlign w:val="bottom"/>
          </w:tcPr>
          <w:p>
            <w:pPr>
              <w:spacing w:after="0"/>
              <w:rPr>
                <w:sz w:val="5"/>
                <w:szCs w:val="5"/>
                <w:color w:val="auto"/>
              </w:rPr>
            </w:pPr>
          </w:p>
        </w:tc>
      </w:tr>
      <w:tr>
        <w:trPr>
          <w:trHeight w:val="208"/>
        </w:trPr>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101.PRE</w:t>
            </w: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XBRL Taxonomy Extension Presentation Linkbase Document.</w:t>
            </w:r>
          </w:p>
        </w:tc>
      </w:tr>
      <w:tr>
        <w:trPr>
          <w:trHeight w:val="62"/>
        </w:trPr>
        <w:tc>
          <w:tcPr>
            <w:tcW w:w="2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920" w:type="dxa"/>
            <w:vAlign w:val="bottom"/>
            <w:shd w:val="clear" w:color="auto" w:fill="CCEEFF"/>
          </w:tcPr>
          <w:p>
            <w:pPr>
              <w:spacing w:after="0"/>
              <w:rPr>
                <w:sz w:val="5"/>
                <w:szCs w:val="5"/>
                <w:color w:val="auto"/>
              </w:rPr>
            </w:pPr>
          </w:p>
        </w:tc>
      </w:tr>
    </w:tbl>
    <w:p>
      <w:pPr>
        <w:spacing w:after="0" w:line="16" w:lineRule="exact"/>
        <w:rPr>
          <w:sz w:val="20"/>
          <w:szCs w:val="20"/>
          <w:color w:val="auto"/>
        </w:rPr>
      </w:pPr>
    </w:p>
    <w:p>
      <w:pPr>
        <w:ind w:left="260" w:hanging="225"/>
        <w:spacing w:after="0"/>
        <w:tabs>
          <w:tab w:leader="none" w:pos="260" w:val="left"/>
        </w:tabs>
        <w:numPr>
          <w:ilvl w:val="0"/>
          <w:numId w:val="35"/>
        </w:numPr>
        <w:rPr>
          <w:rFonts w:ascii="Arial" w:cs="Arial" w:eastAsia="Arial" w:hAnsi="Arial"/>
          <w:sz w:val="14"/>
          <w:szCs w:val="14"/>
          <w:i w:val="1"/>
          <w:iCs w:val="1"/>
          <w:color w:val="auto"/>
        </w:rPr>
      </w:pPr>
      <w:r>
        <w:rPr>
          <w:rFonts w:ascii="Arial" w:cs="Arial" w:eastAsia="Arial" w:hAnsi="Arial"/>
          <w:sz w:val="14"/>
          <w:szCs w:val="14"/>
          <w:i w:val="1"/>
          <w:iCs w:val="1"/>
          <w:color w:val="auto"/>
        </w:rPr>
        <w:t>Management contracts and compensatory plans or arrangements.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20"/>
          </w:cols>
          <w:pgMar w:left="240" w:top="363"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6"/>
          <w:szCs w:val="16"/>
          <w:b w:val="1"/>
          <w:bCs w:val="1"/>
          <w:color w:val="auto"/>
        </w:rPr>
        <w:t>EXHIBIT 31.1</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302 CERTIFICATION OF CHIEF EXECUTIVE OFFICER</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I, Joseph P. Adams. Jr., certify that:</w:t>
      </w:r>
    </w:p>
    <w:p>
      <w:pPr>
        <w:spacing w:after="0" w:line="194" w:lineRule="exact"/>
        <w:rPr>
          <w:sz w:val="20"/>
          <w:szCs w:val="20"/>
          <w:color w:val="auto"/>
        </w:rPr>
      </w:pPr>
    </w:p>
    <w:p>
      <w:pPr>
        <w:ind w:left="320" w:hanging="312"/>
        <w:spacing w:after="0"/>
        <w:tabs>
          <w:tab w:leader="none" w:pos="3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Fortress Transportation and Infrastructure Investors LLC (the “registrant”);</w:t>
      </w:r>
    </w:p>
    <w:p>
      <w:pPr>
        <w:spacing w:after="0" w:line="167" w:lineRule="exact"/>
        <w:rPr>
          <w:rFonts w:ascii="Arial" w:cs="Arial" w:eastAsia="Arial" w:hAnsi="Arial"/>
          <w:sz w:val="16"/>
          <w:szCs w:val="16"/>
          <w:color w:val="auto"/>
        </w:rPr>
      </w:pPr>
    </w:p>
    <w:p>
      <w:pPr>
        <w:ind w:right="20" w:firstLine="8"/>
        <w:spacing w:after="0" w:line="291" w:lineRule="auto"/>
        <w:tabs>
          <w:tab w:leader="none" w:pos="396"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6"/>
          <w:szCs w:val="16"/>
          <w:color w:val="auto"/>
        </w:rPr>
      </w:pPr>
    </w:p>
    <w:p>
      <w:pPr>
        <w:ind w:right="20" w:firstLine="8"/>
        <w:spacing w:after="0" w:line="291" w:lineRule="auto"/>
        <w:tabs>
          <w:tab w:leader="none" w:pos="33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Arial" w:cs="Arial" w:eastAsia="Arial" w:hAnsi="Arial"/>
          <w:sz w:val="16"/>
          <w:szCs w:val="16"/>
          <w:color w:val="auto"/>
        </w:rPr>
      </w:pPr>
    </w:p>
    <w:p>
      <w:pPr>
        <w:jc w:val="both"/>
        <w:ind w:firstLine="8"/>
        <w:spacing w:after="0" w:line="269" w:lineRule="auto"/>
        <w:tabs>
          <w:tab w:leader="none" w:pos="442"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rFonts w:ascii="Arial" w:cs="Arial" w:eastAsia="Arial" w:hAnsi="Arial"/>
          <w:sz w:val="16"/>
          <w:szCs w:val="16"/>
          <w:color w:val="auto"/>
        </w:rPr>
      </w:pPr>
    </w:p>
    <w:p>
      <w:pPr>
        <w:jc w:val="both"/>
        <w:ind w:firstLine="656"/>
        <w:spacing w:after="0" w:line="269" w:lineRule="auto"/>
        <w:tabs>
          <w:tab w:leader="none" w:pos="1038" w:val="left"/>
        </w:tabs>
        <w:numPr>
          <w:ilvl w:val="1"/>
          <w:numId w:val="3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Arial" w:cs="Arial" w:eastAsia="Arial" w:hAnsi="Arial"/>
          <w:sz w:val="16"/>
          <w:szCs w:val="16"/>
          <w:color w:val="auto"/>
        </w:rPr>
      </w:pPr>
    </w:p>
    <w:p>
      <w:pPr>
        <w:jc w:val="both"/>
        <w:ind w:firstLine="656"/>
        <w:spacing w:after="0" w:line="269" w:lineRule="auto"/>
        <w:tabs>
          <w:tab w:leader="none" w:pos="1204" w:val="left"/>
        </w:tabs>
        <w:numPr>
          <w:ilvl w:val="1"/>
          <w:numId w:val="3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0" w:lineRule="exact"/>
        <w:rPr>
          <w:rFonts w:ascii="Arial" w:cs="Arial" w:eastAsia="Arial" w:hAnsi="Arial"/>
          <w:sz w:val="16"/>
          <w:szCs w:val="16"/>
          <w:color w:val="auto"/>
        </w:rPr>
      </w:pPr>
    </w:p>
    <w:p>
      <w:pPr>
        <w:ind w:firstLine="656"/>
        <w:spacing w:after="0" w:line="291" w:lineRule="auto"/>
        <w:tabs>
          <w:tab w:leader="none" w:pos="1138"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Arial" w:cs="Arial" w:eastAsia="Arial" w:hAnsi="Arial"/>
          <w:sz w:val="16"/>
          <w:szCs w:val="16"/>
          <w:color w:val="auto"/>
        </w:rPr>
      </w:pPr>
    </w:p>
    <w:p>
      <w:pPr>
        <w:jc w:val="both"/>
        <w:ind w:firstLine="656"/>
        <w:spacing w:after="0" w:line="269" w:lineRule="auto"/>
        <w:tabs>
          <w:tab w:leader="none" w:pos="1078" w:val="left"/>
        </w:tabs>
        <w:numPr>
          <w:ilvl w:val="1"/>
          <w:numId w:val="3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0" w:lineRule="exact"/>
        <w:rPr>
          <w:rFonts w:ascii="Arial" w:cs="Arial" w:eastAsia="Arial" w:hAnsi="Arial"/>
          <w:sz w:val="16"/>
          <w:szCs w:val="16"/>
          <w:color w:val="auto"/>
        </w:rPr>
      </w:pPr>
    </w:p>
    <w:p>
      <w:pPr>
        <w:ind w:firstLine="8"/>
        <w:spacing w:after="0" w:line="291" w:lineRule="auto"/>
        <w:tabs>
          <w:tab w:leader="none" w:pos="389"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6"/>
          <w:szCs w:val="16"/>
          <w:color w:val="auto"/>
        </w:rPr>
      </w:pPr>
    </w:p>
    <w:p>
      <w:pPr>
        <w:ind w:firstLine="656"/>
        <w:spacing w:after="0" w:line="291" w:lineRule="auto"/>
        <w:tabs>
          <w:tab w:leader="none" w:pos="1062"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Arial" w:cs="Arial" w:eastAsia="Arial" w:hAnsi="Arial"/>
          <w:sz w:val="16"/>
          <w:szCs w:val="16"/>
          <w:color w:val="auto"/>
        </w:rPr>
      </w:pPr>
    </w:p>
    <w:p>
      <w:pPr>
        <w:ind w:right="20" w:firstLine="656"/>
        <w:spacing w:after="0" w:line="291" w:lineRule="auto"/>
        <w:tabs>
          <w:tab w:leader="none" w:pos="1048" w:val="left"/>
        </w:tabs>
        <w:numPr>
          <w:ilvl w:val="1"/>
          <w:numId w:val="3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8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May 5, 2017</w:t>
            </w:r>
          </w:p>
        </w:tc>
        <w:tc>
          <w:tcPr>
            <w:tcW w:w="5820" w:type="dxa"/>
            <w:vAlign w:val="bottom"/>
          </w:tcPr>
          <w:p>
            <w:pPr>
              <w:spacing w:after="0"/>
              <w:rPr>
                <w:sz w:val="20"/>
                <w:szCs w:val="20"/>
                <w:color w:val="auto"/>
              </w:rPr>
            </w:pPr>
          </w:p>
        </w:tc>
        <w:tc>
          <w:tcPr>
            <w:tcW w:w="37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 Joseph P. Adams, Jr.</w:t>
            </w:r>
          </w:p>
        </w:tc>
      </w:tr>
      <w:tr>
        <w:trPr>
          <w:trHeight w:val="241"/>
        </w:trPr>
        <w:tc>
          <w:tcPr>
            <w:tcW w:w="7660" w:type="dxa"/>
            <w:vAlign w:val="bottom"/>
            <w:gridSpan w:val="2"/>
          </w:tcPr>
          <w:p>
            <w:pPr>
              <w:ind w:left="40"/>
              <w:spacing w:after="0"/>
              <w:rPr>
                <w:sz w:val="20"/>
                <w:szCs w:val="20"/>
                <w:color w:val="auto"/>
              </w:rPr>
            </w:pPr>
            <w:r>
              <w:rPr>
                <w:rFonts w:ascii="Arial" w:cs="Arial" w:eastAsia="Arial" w:hAnsi="Arial"/>
                <w:sz w:val="16"/>
                <w:szCs w:val="16"/>
                <w:color w:val="auto"/>
              </w:rPr>
              <w:t>(Date)</w:t>
            </w:r>
          </w:p>
        </w:tc>
        <w:tc>
          <w:tcPr>
            <w:tcW w:w="3760" w:type="dxa"/>
            <w:vAlign w:val="bottom"/>
          </w:tcPr>
          <w:p>
            <w:pPr>
              <w:ind w:left="40"/>
              <w:spacing w:after="0"/>
              <w:rPr>
                <w:sz w:val="20"/>
                <w:szCs w:val="20"/>
                <w:color w:val="auto"/>
              </w:rPr>
            </w:pPr>
            <w:r>
              <w:rPr>
                <w:rFonts w:ascii="Arial" w:cs="Arial" w:eastAsia="Arial" w:hAnsi="Arial"/>
                <w:sz w:val="16"/>
                <w:szCs w:val="16"/>
                <w:color w:val="auto"/>
              </w:rPr>
              <w:t>Joseph P. Adams, Jr.</w:t>
            </w:r>
          </w:p>
        </w:tc>
      </w:tr>
      <w:tr>
        <w:trPr>
          <w:trHeight w:val="270"/>
        </w:trPr>
        <w:tc>
          <w:tcPr>
            <w:tcW w:w="1840" w:type="dxa"/>
            <w:vAlign w:val="bottom"/>
          </w:tcPr>
          <w:p>
            <w:pPr>
              <w:spacing w:after="0"/>
              <w:rPr>
                <w:sz w:val="23"/>
                <w:szCs w:val="23"/>
                <w:color w:val="auto"/>
              </w:rPr>
            </w:pPr>
          </w:p>
        </w:tc>
        <w:tc>
          <w:tcPr>
            <w:tcW w:w="582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Arial" w:cs="Arial" w:eastAsia="Arial" w:hAnsi="Arial"/>
                <w:sz w:val="16"/>
                <w:szCs w:val="16"/>
                <w:color w:val="auto"/>
              </w:rPr>
              <w:t>Chief Executive Officer</w:t>
            </w:r>
          </w:p>
        </w:tc>
      </w:tr>
    </w:tbl>
    <w:p>
      <w:pPr>
        <w:sectPr>
          <w:pgSz w:w="11900" w:h="16838" w:orient="portrait"/>
          <w:cols w:equalWidth="0" w:num="1">
            <w:col w:w="11420"/>
          </w:cols>
          <w:pgMar w:left="240" w:top="578"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6"/>
          <w:szCs w:val="16"/>
          <w:b w:val="1"/>
          <w:bCs w:val="1"/>
          <w:color w:val="auto"/>
        </w:rPr>
        <w:t>EXHIBIT 31.2</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302 CERTIFICATION OF CHIEF FINANCIAL OFFICER</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I, Scott Christopher, certify that:</w:t>
      </w:r>
    </w:p>
    <w:p>
      <w:pPr>
        <w:spacing w:after="0" w:line="194" w:lineRule="exact"/>
        <w:rPr>
          <w:sz w:val="20"/>
          <w:szCs w:val="20"/>
          <w:color w:val="auto"/>
        </w:rPr>
      </w:pPr>
    </w:p>
    <w:p>
      <w:pPr>
        <w:ind w:left="320" w:hanging="312"/>
        <w:spacing w:after="0"/>
        <w:tabs>
          <w:tab w:leader="none" w:pos="3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Fortress Transportation and Infrastructure Investors LLC (the “registrant”);</w:t>
      </w:r>
    </w:p>
    <w:p>
      <w:pPr>
        <w:spacing w:after="0" w:line="167" w:lineRule="exact"/>
        <w:rPr>
          <w:rFonts w:ascii="Arial" w:cs="Arial" w:eastAsia="Arial" w:hAnsi="Arial"/>
          <w:sz w:val="16"/>
          <w:szCs w:val="16"/>
          <w:color w:val="auto"/>
        </w:rPr>
      </w:pPr>
    </w:p>
    <w:p>
      <w:pPr>
        <w:ind w:firstLine="8"/>
        <w:spacing w:after="0" w:line="291" w:lineRule="auto"/>
        <w:tabs>
          <w:tab w:leader="none" w:pos="452"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6"/>
          <w:szCs w:val="16"/>
          <w:color w:val="auto"/>
        </w:rPr>
      </w:pPr>
    </w:p>
    <w:p>
      <w:pPr>
        <w:ind w:right="20" w:firstLine="8"/>
        <w:spacing w:after="0" w:line="291" w:lineRule="auto"/>
        <w:tabs>
          <w:tab w:leader="none" w:pos="33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Arial" w:cs="Arial" w:eastAsia="Arial" w:hAnsi="Arial"/>
          <w:sz w:val="16"/>
          <w:szCs w:val="16"/>
          <w:color w:val="auto"/>
        </w:rPr>
      </w:pPr>
    </w:p>
    <w:p>
      <w:pPr>
        <w:jc w:val="both"/>
        <w:ind w:firstLine="8"/>
        <w:spacing w:after="0" w:line="269" w:lineRule="auto"/>
        <w:tabs>
          <w:tab w:leader="none" w:pos="442"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rFonts w:ascii="Arial" w:cs="Arial" w:eastAsia="Arial" w:hAnsi="Arial"/>
          <w:sz w:val="16"/>
          <w:szCs w:val="16"/>
          <w:color w:val="auto"/>
        </w:rPr>
      </w:pPr>
    </w:p>
    <w:p>
      <w:pPr>
        <w:jc w:val="both"/>
        <w:ind w:firstLine="656"/>
        <w:spacing w:after="0" w:line="269" w:lineRule="auto"/>
        <w:tabs>
          <w:tab w:leader="none" w:pos="1038" w:val="left"/>
        </w:tabs>
        <w:numPr>
          <w:ilvl w:val="1"/>
          <w:numId w:val="3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Arial" w:cs="Arial" w:eastAsia="Arial" w:hAnsi="Arial"/>
          <w:sz w:val="16"/>
          <w:szCs w:val="16"/>
          <w:color w:val="auto"/>
        </w:rPr>
      </w:pPr>
    </w:p>
    <w:p>
      <w:pPr>
        <w:jc w:val="both"/>
        <w:ind w:firstLine="656"/>
        <w:spacing w:after="0" w:line="269" w:lineRule="auto"/>
        <w:tabs>
          <w:tab w:leader="none" w:pos="1204" w:val="left"/>
        </w:tabs>
        <w:numPr>
          <w:ilvl w:val="1"/>
          <w:numId w:val="3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0" w:lineRule="exact"/>
        <w:rPr>
          <w:rFonts w:ascii="Arial" w:cs="Arial" w:eastAsia="Arial" w:hAnsi="Arial"/>
          <w:sz w:val="16"/>
          <w:szCs w:val="16"/>
          <w:color w:val="auto"/>
        </w:rPr>
      </w:pPr>
    </w:p>
    <w:p>
      <w:pPr>
        <w:ind w:firstLine="656"/>
        <w:spacing w:after="0" w:line="291" w:lineRule="auto"/>
        <w:tabs>
          <w:tab w:leader="none" w:pos="1138"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Arial" w:cs="Arial" w:eastAsia="Arial" w:hAnsi="Arial"/>
          <w:sz w:val="16"/>
          <w:szCs w:val="16"/>
          <w:color w:val="auto"/>
        </w:rPr>
      </w:pPr>
    </w:p>
    <w:p>
      <w:pPr>
        <w:jc w:val="both"/>
        <w:ind w:firstLine="656"/>
        <w:spacing w:after="0" w:line="269" w:lineRule="auto"/>
        <w:tabs>
          <w:tab w:leader="none" w:pos="1078" w:val="left"/>
        </w:tabs>
        <w:numPr>
          <w:ilvl w:val="1"/>
          <w:numId w:val="3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0" w:lineRule="exact"/>
        <w:rPr>
          <w:rFonts w:ascii="Arial" w:cs="Arial" w:eastAsia="Arial" w:hAnsi="Arial"/>
          <w:sz w:val="16"/>
          <w:szCs w:val="16"/>
          <w:color w:val="auto"/>
        </w:rPr>
      </w:pPr>
    </w:p>
    <w:p>
      <w:pPr>
        <w:ind w:firstLine="8"/>
        <w:spacing w:after="0" w:line="291" w:lineRule="auto"/>
        <w:tabs>
          <w:tab w:leader="none" w:pos="389"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6"/>
          <w:szCs w:val="16"/>
          <w:color w:val="auto"/>
        </w:rPr>
      </w:pPr>
    </w:p>
    <w:p>
      <w:pPr>
        <w:ind w:firstLine="656"/>
        <w:spacing w:after="0" w:line="291" w:lineRule="auto"/>
        <w:tabs>
          <w:tab w:leader="none" w:pos="1062"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Arial" w:cs="Arial" w:eastAsia="Arial" w:hAnsi="Arial"/>
          <w:sz w:val="16"/>
          <w:szCs w:val="16"/>
          <w:color w:val="auto"/>
        </w:rPr>
      </w:pPr>
    </w:p>
    <w:p>
      <w:pPr>
        <w:ind w:right="20" w:firstLine="656"/>
        <w:spacing w:after="0" w:line="291" w:lineRule="auto"/>
        <w:tabs>
          <w:tab w:leader="none" w:pos="1048" w:val="left"/>
        </w:tabs>
        <w:numPr>
          <w:ilvl w:val="1"/>
          <w:numId w:val="3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9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May 5, 2017</w:t>
            </w:r>
          </w:p>
        </w:tc>
        <w:tc>
          <w:tcPr>
            <w:tcW w:w="5700" w:type="dxa"/>
            <w:vAlign w:val="bottom"/>
          </w:tcPr>
          <w:p>
            <w:pPr>
              <w:spacing w:after="0"/>
              <w:rPr>
                <w:sz w:val="20"/>
                <w:szCs w:val="20"/>
                <w:color w:val="auto"/>
              </w:rPr>
            </w:pPr>
          </w:p>
        </w:tc>
        <w:tc>
          <w:tcPr>
            <w:tcW w:w="37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 Scott Christopher</w:t>
            </w:r>
          </w:p>
        </w:tc>
      </w:tr>
      <w:tr>
        <w:trPr>
          <w:trHeight w:val="241"/>
        </w:trPr>
        <w:tc>
          <w:tcPr>
            <w:tcW w:w="7660" w:type="dxa"/>
            <w:vAlign w:val="bottom"/>
            <w:gridSpan w:val="2"/>
          </w:tcPr>
          <w:p>
            <w:pPr>
              <w:ind w:left="40"/>
              <w:spacing w:after="0"/>
              <w:rPr>
                <w:sz w:val="20"/>
                <w:szCs w:val="20"/>
                <w:color w:val="auto"/>
              </w:rPr>
            </w:pPr>
            <w:r>
              <w:rPr>
                <w:rFonts w:ascii="Arial" w:cs="Arial" w:eastAsia="Arial" w:hAnsi="Arial"/>
                <w:sz w:val="16"/>
                <w:szCs w:val="16"/>
                <w:color w:val="auto"/>
              </w:rPr>
              <w:t>(Date)</w:t>
            </w:r>
          </w:p>
        </w:tc>
        <w:tc>
          <w:tcPr>
            <w:tcW w:w="3760" w:type="dxa"/>
            <w:vAlign w:val="bottom"/>
          </w:tcPr>
          <w:p>
            <w:pPr>
              <w:ind w:left="40"/>
              <w:spacing w:after="0"/>
              <w:rPr>
                <w:sz w:val="20"/>
                <w:szCs w:val="20"/>
                <w:color w:val="auto"/>
              </w:rPr>
            </w:pPr>
            <w:r>
              <w:rPr>
                <w:rFonts w:ascii="Arial" w:cs="Arial" w:eastAsia="Arial" w:hAnsi="Arial"/>
                <w:sz w:val="16"/>
                <w:szCs w:val="16"/>
                <w:color w:val="auto"/>
              </w:rPr>
              <w:t>Scott Christopher</w:t>
            </w:r>
          </w:p>
        </w:tc>
      </w:tr>
      <w:tr>
        <w:trPr>
          <w:trHeight w:val="270"/>
        </w:trPr>
        <w:tc>
          <w:tcPr>
            <w:tcW w:w="1960" w:type="dxa"/>
            <w:vAlign w:val="bottom"/>
          </w:tcPr>
          <w:p>
            <w:pPr>
              <w:spacing w:after="0"/>
              <w:rPr>
                <w:sz w:val="23"/>
                <w:szCs w:val="23"/>
                <w:color w:val="auto"/>
              </w:rPr>
            </w:pPr>
          </w:p>
        </w:tc>
        <w:tc>
          <w:tcPr>
            <w:tcW w:w="570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Arial" w:cs="Arial" w:eastAsia="Arial" w:hAnsi="Arial"/>
                <w:sz w:val="16"/>
                <w:szCs w:val="16"/>
                <w:color w:val="auto"/>
              </w:rPr>
              <w:t>Chief Financial Officer</w:t>
            </w:r>
          </w:p>
        </w:tc>
      </w:tr>
    </w:tbl>
    <w:p>
      <w:pPr>
        <w:sectPr>
          <w:pgSz w:w="11900" w:h="16838" w:orient="portrait"/>
          <w:cols w:equalWidth="0" w:num="1">
            <w:col w:w="11420"/>
          </w:cols>
          <w:pgMar w:left="240" w:top="579" w:right="23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CERTIFICATION OF CHIEF EXECUTIVE OFFICER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33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connection with the Quarterly Report on Form 10-Q of Fortress Transportation and Infrastructure Investors LLC (the “Company”) for the quarterly period ended March 31, 2017 as filed with the Securities and Exchange Commission on the date hereof (the “Report”), Joseph P. Adams, Jr., as Chief Executive Officer of the Company, hereby certifies, pursuant to 18 U.S.C. Section 1350, as adopted pursuant to Section 906 of the Sarbanes-Oxley Act of 2002, that, to the best of his knowledge:</w:t>
      </w:r>
    </w:p>
    <w:p>
      <w:pPr>
        <w:spacing w:after="0" w:line="118" w:lineRule="exact"/>
        <w:rPr>
          <w:sz w:val="20"/>
          <w:szCs w:val="20"/>
          <w:color w:val="auto"/>
        </w:rPr>
      </w:pPr>
    </w:p>
    <w:p>
      <w:pPr>
        <w:ind w:left="380" w:hanging="372"/>
        <w:spacing w:after="0"/>
        <w:tabs>
          <w:tab w:leader="none" w:pos="3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329" w:lineRule="exact"/>
        <w:rPr>
          <w:rFonts w:ascii="Arial" w:cs="Arial" w:eastAsia="Arial" w:hAnsi="Arial"/>
          <w:sz w:val="16"/>
          <w:szCs w:val="16"/>
          <w:color w:val="auto"/>
        </w:rPr>
      </w:pPr>
    </w:p>
    <w:p>
      <w:pPr>
        <w:ind w:left="380" w:hanging="372"/>
        <w:spacing w:after="0"/>
        <w:tabs>
          <w:tab w:leader="none" w:pos="3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Joseph P. Adams,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Joseph P. Adams, Jr.</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Chief Executive Officer</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May 5, 2017</w:t>
      </w:r>
    </w:p>
    <w:p>
      <w:pPr>
        <w:spacing w:after="0" w:line="19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9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ectPr>
          <w:pgSz w:w="11900" w:h="16838" w:orient="portrait"/>
          <w:cols w:equalWidth="0" w:num="1">
            <w:col w:w="11420"/>
          </w:cols>
          <w:pgMar w:left="240" w:top="578" w:right="239"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16"/>
          <w:szCs w:val="16"/>
          <w:b w:val="1"/>
          <w:bCs w:val="1"/>
          <w:color w:val="auto"/>
        </w:rPr>
        <w:t>EXHIBIT 32.2</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CERTIFICATION OF CHIEF FINANCIAL OFFICER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33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connection with the Quarterly Report on Form 10-Q of Fortress Transportation and Infrastructure Investors LLC (the “Company”) for the quarterly period ended March 31, 2017 as filed with the Securities and Exchange Commission on the date hereof (the “Report”), Scott Christopher, as Chief Financial Officer of the Company, hereby certifies, pursuant to 18 U.S.C. Section 1350, as adopted pursuant to Section 906 of the Sarbanes-Oxley Act of 2002, that, to the best of his knowledge:</w:t>
      </w:r>
    </w:p>
    <w:p>
      <w:pPr>
        <w:spacing w:after="0" w:line="118" w:lineRule="exact"/>
        <w:rPr>
          <w:sz w:val="20"/>
          <w:szCs w:val="20"/>
          <w:color w:val="auto"/>
        </w:rPr>
      </w:pPr>
    </w:p>
    <w:p>
      <w:pPr>
        <w:ind w:left="380" w:hanging="372"/>
        <w:spacing w:after="0"/>
        <w:tabs>
          <w:tab w:leader="none" w:pos="3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329" w:lineRule="exact"/>
        <w:rPr>
          <w:rFonts w:ascii="Arial" w:cs="Arial" w:eastAsia="Arial" w:hAnsi="Arial"/>
          <w:sz w:val="16"/>
          <w:szCs w:val="16"/>
          <w:color w:val="auto"/>
        </w:rPr>
      </w:pPr>
    </w:p>
    <w:p>
      <w:pPr>
        <w:ind w:left="380" w:hanging="372"/>
        <w:spacing w:after="0"/>
        <w:tabs>
          <w:tab w:leader="none" w:pos="3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Scott Christopher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Scott Christopher</w: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Chief Financial Officer</w:t>
      </w:r>
    </w:p>
    <w:p>
      <w:pPr>
        <w:spacing w:after="0" w:line="86" w:lineRule="exact"/>
        <w:rPr>
          <w:sz w:val="20"/>
          <w:szCs w:val="20"/>
          <w:color w:val="auto"/>
        </w:rPr>
      </w:pPr>
    </w:p>
    <w:p>
      <w:pPr>
        <w:ind w:left="80"/>
        <w:spacing w:after="0"/>
        <w:rPr>
          <w:sz w:val="20"/>
          <w:szCs w:val="20"/>
          <w:color w:val="auto"/>
        </w:rPr>
      </w:pPr>
      <w:r>
        <w:rPr>
          <w:rFonts w:ascii="Arial" w:cs="Arial" w:eastAsia="Arial" w:hAnsi="Arial"/>
          <w:sz w:val="16"/>
          <w:szCs w:val="16"/>
          <w:color w:val="auto"/>
        </w:rPr>
        <w:t>May 5, 2017</w:t>
      </w:r>
    </w:p>
    <w:p>
      <w:pPr>
        <w:spacing w:after="0" w:line="19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9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sectPr>
      <w:pgSz w:w="11900" w:h="16838" w:orient="portrait"/>
      <w:cols w:equalWidth="0" w:num="1">
        <w:col w:w="11420"/>
      </w:cols>
      <w:pgMar w:left="240" w:top="57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1."/>
      <w:numFmt w:val="decimal"/>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1)"/>
      <w:numFmt w:val="decimal"/>
      <w:start w:val="1"/>
    </w:lvl>
  </w:abstractNum>
  <w:abstractNum w:abstractNumId="8">
    <w:nsid w:val="75A2A8D4"/>
    <w:multiLevelType w:val="hybridMultilevel"/>
    <w:lvl w:ilvl="0">
      <w:lvlJc w:val="left"/>
      <w:lvlText w:val="(%1)"/>
      <w:numFmt w:val="decimal"/>
      <w:start w:val="3"/>
    </w:lvl>
  </w:abstractNum>
  <w:abstractNum w:abstractNumId="9">
    <w:nsid w:val="8EDBDAB"/>
    <w:multiLevelType w:val="hybridMultilevel"/>
    <w:lvl w:ilvl="0">
      <w:lvlJc w:val="left"/>
      <w:lvlText w:val="(%1)"/>
      <w:numFmt w:val="lowerLetter"/>
      <w:start w:val="2"/>
    </w:lvl>
  </w:abstractNum>
  <w:abstractNum w:abstractNumId="10">
    <w:nsid w:val="79838CB2"/>
    <w:multiLevelType w:val="hybridMultilevel"/>
    <w:lvl w:ilvl="0">
      <w:lvlJc w:val="left"/>
      <w:lvlText w:val="(%1)"/>
      <w:numFmt w:val="decimal"/>
      <w:start w:val="1"/>
    </w:lvl>
  </w:abstractNum>
  <w:abstractNum w:abstractNumId="11">
    <w:nsid w:val="4353D0CD"/>
    <w:multiLevelType w:val="hybridMultilevel"/>
    <w:lvl w:ilvl="0">
      <w:lvlJc w:val="left"/>
      <w:lvlText w:val="(%1)"/>
      <w:numFmt w:val="decimal"/>
      <w:start w:val="3"/>
    </w:lvl>
  </w:abstractNum>
  <w:abstractNum w:abstractNumId="12">
    <w:nsid w:val="B03E0C6"/>
    <w:multiLevelType w:val="hybridMultilevel"/>
    <w:lvl w:ilvl="0">
      <w:lvlJc w:val="left"/>
      <w:lvlText w:val="(%1)"/>
      <w:numFmt w:val="decimal"/>
      <w:start w:val="1"/>
    </w:lvl>
  </w:abstractNum>
  <w:abstractNum w:abstractNumId="13">
    <w:nsid w:val="189A769B"/>
    <w:multiLevelType w:val="hybridMultilevel"/>
    <w:lvl w:ilvl="0">
      <w:lvlJc w:val="left"/>
      <w:lvlText w:val="(%1)"/>
      <w:numFmt w:val="decimal"/>
      <w:start w:val="2"/>
    </w:lvl>
  </w:abstractNum>
  <w:abstractNum w:abstractNumId="14">
    <w:nsid w:val="54E49EB4"/>
    <w:multiLevelType w:val="hybridMultilevel"/>
    <w:lvl w:ilvl="0">
      <w:lvlJc w:val="left"/>
      <w:lvlText w:val="(%1)"/>
      <w:numFmt w:val="decimal"/>
      <w:start w:val="1"/>
    </w:lvl>
  </w:abstractNum>
  <w:abstractNum w:abstractNumId="15">
    <w:nsid w:val="71F32454"/>
    <w:multiLevelType w:val="hybridMultilevel"/>
    <w:lvl w:ilvl="0">
      <w:lvlJc w:val="left"/>
      <w:lvlText w:val="(%1)"/>
      <w:numFmt w:val="decimal"/>
      <w:start w:val="1"/>
    </w:lvl>
  </w:abstractNum>
  <w:abstractNum w:abstractNumId="16">
    <w:nsid w:val="2CA88611"/>
    <w:multiLevelType w:val="hybridMultilevel"/>
    <w:lvl w:ilvl="0">
      <w:lvlJc w:val="left"/>
      <w:lvlText w:val="(%1)"/>
      <w:numFmt w:val="decimal"/>
      <w:start w:val="2"/>
    </w:lvl>
  </w:abstractNum>
  <w:abstractNum w:abstractNumId="17">
    <w:nsid w:val="836C40E"/>
    <w:multiLevelType w:val="hybridMultilevel"/>
    <w:lvl w:ilvl="0">
      <w:lvlJc w:val="left"/>
      <w:lvlText w:val="(%1)"/>
      <w:numFmt w:val="decimal"/>
      <w:start w:val="1"/>
    </w:lvl>
  </w:abstractNum>
  <w:abstractNum w:abstractNumId="18">
    <w:nsid w:val="2901D82"/>
    <w:multiLevelType w:val="hybridMultilevel"/>
    <w:lvl w:ilvl="0">
      <w:lvlJc w:val="left"/>
      <w:lvlText w:val="(%1)"/>
      <w:numFmt w:val="decimal"/>
      <w:start w:val="2"/>
    </w:lvl>
  </w:abstractNum>
  <w:abstractNum w:abstractNumId="19">
    <w:nsid w:val="3A95F874"/>
    <w:multiLevelType w:val="hybridMultilevel"/>
    <w:lvl w:ilvl="0">
      <w:lvlJc w:val="left"/>
      <w:lvlText w:val="(%1)"/>
      <w:numFmt w:val="decimal"/>
      <w:start w:val="1"/>
    </w:lvl>
  </w:abstractNum>
  <w:abstractNum w:abstractNumId="20">
    <w:nsid w:val="8138641"/>
    <w:multiLevelType w:val="hybridMultilevel"/>
    <w:lvl w:ilvl="0">
      <w:lvlJc w:val="left"/>
      <w:lvlText w:val="(%1)"/>
      <w:numFmt w:val="decimal"/>
      <w:start w:val="2"/>
    </w:lvl>
    <w:lvl w:ilvl="1">
      <w:lvlJc w:val="left"/>
      <w:lvlText w:val="(%2)"/>
      <w:numFmt w:val="lowerRoman"/>
      <w:start w:val="2"/>
    </w:lvl>
  </w:abstractNum>
  <w:abstractNum w:abstractNumId="21">
    <w:nsid w:val="1E7FF521"/>
    <w:multiLevelType w:val="hybridMultilevel"/>
    <w:lvl w:ilvl="0">
      <w:lvlJc w:val="left"/>
      <w:lvlText w:val="(%1)"/>
      <w:numFmt w:val="decimal"/>
      <w:start w:val="1"/>
    </w:lvl>
  </w:abstractNum>
  <w:abstractNum w:abstractNumId="22">
    <w:nsid w:val="7C3DBD3D"/>
    <w:multiLevelType w:val="hybridMultilevel"/>
    <w:lvl w:ilvl="0">
      <w:lvlJc w:val="left"/>
      <w:lvlText w:val="(%1)"/>
      <w:numFmt w:val="lowerRoman"/>
      <w:start w:val="3"/>
    </w:lvl>
    <w:lvl w:ilvl="1">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1)"/>
      <w:numFmt w:val="decimal"/>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1)"/>
      <w:numFmt w:val="decimal"/>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2019-12-29T06:32:10Z</dcterms:created>
  <dcterms:modified xsi:type="dcterms:W3CDTF">2019-12-29T06:32:10Z</dcterms:modified>
</cp:coreProperties>
</file>