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82" w:lineRule="exact"/>
        <w:rPr>
          <w:sz w:val="24"/>
          <w:szCs w:val="24"/>
          <w:color w:val="auto"/>
        </w:rPr>
      </w:pPr>
    </w:p>
    <w:p>
      <w:pPr>
        <w:ind w:left="1700" w:hanging="18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left="4180" w:right="1480" w:hanging="2691"/>
        <w:spacing w:after="0" w:line="559" w:lineRule="auto"/>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48895</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Delaware</w:t>
            </w:r>
          </w:p>
        </w:tc>
        <w:tc>
          <w:tcPr>
            <w:tcW w:w="5240" w:type="dxa"/>
            <w:vAlign w:val="bottom"/>
          </w:tcPr>
          <w:p>
            <w:pPr>
              <w:jc w:val="right"/>
              <w:ind w:right="209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01"/>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rPr>
              <w:t>1345 Avenue of the Americas,</w:t>
            </w:r>
          </w:p>
        </w:tc>
        <w:tc>
          <w:tcPr>
            <w:tcW w:w="5240" w:type="dxa"/>
            <w:vAlign w:val="bottom"/>
          </w:tcPr>
          <w:p>
            <w:pPr>
              <w:spacing w:after="0"/>
              <w:rPr>
                <w:sz w:val="24"/>
                <w:szCs w:val="24"/>
                <w:color w:val="auto"/>
              </w:rPr>
            </w:pPr>
          </w:p>
        </w:tc>
      </w:tr>
      <w:tr>
        <w:trPr>
          <w:trHeight w:val="228"/>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New York, NY</w:t>
            </w:r>
          </w:p>
        </w:tc>
        <w:tc>
          <w:tcPr>
            <w:tcW w:w="920" w:type="dxa"/>
            <w:vAlign w:val="bottom"/>
          </w:tcPr>
          <w:p>
            <w:pPr>
              <w:spacing w:after="0"/>
              <w:rPr>
                <w:sz w:val="19"/>
                <w:szCs w:val="19"/>
                <w:color w:val="auto"/>
              </w:rPr>
            </w:pPr>
          </w:p>
        </w:tc>
        <w:tc>
          <w:tcPr>
            <w:tcW w:w="5240" w:type="dxa"/>
            <w:vAlign w:val="bottom"/>
            <w:tcBorders>
              <w:bottom w:val="single" w:sz="8" w:color="auto"/>
            </w:tcBorders>
          </w:tcPr>
          <w:p>
            <w:pPr>
              <w:jc w:val="right"/>
              <w:ind w:right="2319"/>
              <w:spacing w:after="0"/>
              <w:rPr>
                <w:sz w:val="20"/>
                <w:szCs w:val="20"/>
                <w:color w:val="auto"/>
              </w:rPr>
            </w:pPr>
            <w:r>
              <w:rPr>
                <w:rFonts w:ascii="Arial" w:cs="Arial" w:eastAsia="Arial" w:hAnsi="Arial"/>
                <w:sz w:val="16"/>
                <w:szCs w:val="16"/>
                <w:b w:val="1"/>
                <w:bCs w:val="1"/>
                <w:color w:val="auto"/>
              </w:rPr>
              <w:t>10105</w:t>
            </w:r>
          </w:p>
        </w:tc>
      </w:tr>
      <w:tr>
        <w:trPr>
          <w:trHeight w:val="224"/>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268"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160" w:space="720"/>
            <w:col w:w="3540"/>
          </w:cols>
          <w:pgMar w:left="240" w:top="229" w:right="239" w:bottom="1440" w:gutter="0" w:footer="0" w:header="0"/>
          <w:type w:val="continuous"/>
        </w:sectPr>
      </w:pPr>
    </w:p>
    <w:p>
      <w:pPr>
        <w:spacing w:after="0" w:line="41"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3440" w:space="80"/>
            <w:col w:w="3220" w:space="720"/>
            <w:col w:w="3960"/>
          </w:cols>
          <w:pgMar w:left="240" w:top="229" w:right="239" w:bottom="1440" w:gutter="0" w:footer="0" w:header="0"/>
          <w:type w:val="continuous"/>
        </w:sectPr>
      </w:pPr>
    </w:p>
    <w:p>
      <w:pPr>
        <w:jc w:val="cente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229" w:right="239" w:bottom="1440" w:gutter="0" w:footer="0" w:header="0"/>
          <w:type w:val="continuous"/>
        </w:sectPr>
      </w:pPr>
    </w:p>
    <w:p>
      <w:pPr>
        <w:spacing w:after="0" w:line="261"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There were 82,787,466 common shares representing limited liability company interests outstanding at July 31, 2018.</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98"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right="20" w:hanging="326"/>
        <w:spacing w:after="0" w:line="260"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87"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effects of the merger of Fortress Investment Group LLC with affiliates of SoftBank Group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709"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121920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840" w:type="dxa"/>
            <w:vAlign w:val="bottom"/>
            <w:gridSpan w:val="6"/>
          </w:tcPr>
          <w:p>
            <w:pPr>
              <w:ind w:left="480"/>
              <w:spacing w:after="0"/>
              <w:rPr>
                <w:sz w:val="20"/>
                <w:szCs w:val="20"/>
                <w:color w:val="auto"/>
              </w:rPr>
            </w:pPr>
            <w:r>
              <w:rPr>
                <w:rFonts w:ascii="Arial" w:cs="Arial" w:eastAsia="Arial" w:hAnsi="Arial"/>
                <w:sz w:val="14"/>
                <w:szCs w:val="14"/>
                <w:b w:val="1"/>
                <w:bCs w:val="1"/>
                <w:color w:val="006EBF"/>
              </w:rPr>
              <w:t>PART I - FINANCIAL INFORMATION</w:t>
            </w:r>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7980" w:type="dxa"/>
            <w:vAlign w:val="bottom"/>
            <w:gridSpan w:val="8"/>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2060" w:type="dxa"/>
            <w:vAlign w:val="bottom"/>
            <w:gridSpan w:val="2"/>
          </w:tcPr>
          <w:p>
            <w:pPr>
              <w:jc w:val="center"/>
              <w:ind w:left="1908"/>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16"/>
                <w:szCs w:val="16"/>
                <w:color w:val="auto"/>
              </w:rPr>
            </w:pPr>
          </w:p>
        </w:tc>
      </w:tr>
      <w:tr>
        <w:trPr>
          <w:trHeight w:val="250"/>
        </w:trPr>
        <w:tc>
          <w:tcPr>
            <w:tcW w:w="10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6400" w:type="dxa"/>
            <w:vAlign w:val="bottom"/>
            <w:tcBorders>
              <w:top w:val="single" w:sz="8" w:color="0000EE"/>
            </w:tcBorders>
            <w:gridSpan w:val="6"/>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June 30, 2018 and December 31, 2017</w:t>
              </w:r>
            </w:hyperlink>
          </w:p>
        </w:tc>
        <w:tc>
          <w:tcPr>
            <w:tcW w:w="1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Borders>
              <w:top w:val="single" w:sz="8" w:color="0000EE"/>
            </w:tcBorders>
          </w:tcPr>
          <w:p>
            <w:pPr>
              <w:jc w:val="cente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4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380" w:type="dxa"/>
            <w:vAlign w:val="bottom"/>
            <w:tcBorders>
              <w:bottom w:val="single" w:sz="8" w:color="0000EE"/>
            </w:tcBorders>
            <w:gridSpan w:val="5"/>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and six months ended June 30, 2018 and 2017</w:t>
              </w:r>
            </w:hyperlink>
          </w:p>
        </w:tc>
        <w:tc>
          <w:tcPr>
            <w:tcW w:w="1260" w:type="dxa"/>
            <w:vAlign w:val="bottom"/>
            <w:gridSpan w:val="2"/>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40" w:type="dxa"/>
            <w:vAlign w:val="bottom"/>
            <w:tcBorders>
              <w:bottom w:val="single" w:sz="8" w:color="0000EE"/>
            </w:tcBorders>
            <w:gridSpan w:val="7"/>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Income (Loss) for the three and six months ended June 30, 2018 and 2017</w:t>
              </w:r>
            </w:hyperlink>
          </w:p>
        </w:tc>
        <w:tc>
          <w:tcPr>
            <w:tcW w:w="19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tcBorders>
              <w:bottom w:val="single" w:sz="8" w:color="0000EE"/>
            </w:tcBorders>
            <w:gridSpan w:val="3"/>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six months ended June 30, 2018</w:t>
              </w:r>
            </w:hyperlink>
          </w:p>
        </w:tc>
        <w:tc>
          <w:tcPr>
            <w:tcW w:w="2160" w:type="dxa"/>
            <w:vAlign w:val="bottom"/>
            <w:gridSpan w:val="4"/>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80" w:type="dxa"/>
            <w:vAlign w:val="bottom"/>
            <w:tcBorders>
              <w:bottom w:val="single" w:sz="8" w:color="0000EE"/>
            </w:tcBorders>
            <w:gridSpan w:val="4"/>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six months ended June 30, 2018 and 2017</w:t>
              </w:r>
            </w:hyperlink>
          </w:p>
        </w:tc>
        <w:tc>
          <w:tcPr>
            <w:tcW w:w="1860" w:type="dxa"/>
            <w:vAlign w:val="bottom"/>
            <w:gridSpan w:val="3"/>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c>
          <w:tcPr>
            <w:tcW w:w="4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40" w:type="dxa"/>
            <w:vAlign w:val="bottom"/>
            <w:gridSpan w:val="7"/>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2100" w:type="dxa"/>
            <w:vAlign w:val="bottom"/>
            <w:gridSpan w:val="3"/>
          </w:tcPr>
          <w:p>
            <w:pPr>
              <w:jc w:val="center"/>
              <w:ind w:left="1868"/>
              <w:spacing w:after="0"/>
              <w:rPr>
                <w:rFonts w:ascii="Arial" w:cs="Arial" w:eastAsia="Arial" w:hAnsi="Arial"/>
                <w:sz w:val="14"/>
                <w:szCs w:val="14"/>
                <w:color w:val="0000EE"/>
              </w:rPr>
            </w:pPr>
            <w:hyperlink w:anchor="page11">
              <w:r>
                <w:rPr>
                  <w:rFonts w:ascii="Arial" w:cs="Arial" w:eastAsia="Arial" w:hAnsi="Arial"/>
                  <w:sz w:val="14"/>
                  <w:szCs w:val="14"/>
                  <w:color w:val="0000EE"/>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360" w:type="dxa"/>
            <w:vAlign w:val="bottom"/>
            <w:gridSpan w:val="24"/>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160" w:type="dxa"/>
            <w:vAlign w:val="bottom"/>
          </w:tcPr>
          <w:p>
            <w:pPr>
              <w:jc w:val="right"/>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80" w:type="dxa"/>
            <w:vAlign w:val="bottom"/>
            <w:tcBorders>
              <w:bottom w:val="single" w:sz="8" w:color="0000EE"/>
            </w:tcBorders>
            <w:gridSpan w:val="20"/>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6080" w:type="dxa"/>
            <w:vAlign w:val="bottom"/>
            <w:gridSpan w:val="4"/>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20" w:type="dxa"/>
            <w:vAlign w:val="bottom"/>
            <w:tcBorders>
              <w:bottom w:val="single" w:sz="8" w:color="0000EE"/>
            </w:tcBorders>
            <w:gridSpan w:val="12"/>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Note 3: Leasing Equipment, net</w:t>
              </w:r>
            </w:hyperlink>
          </w:p>
        </w:tc>
        <w:tc>
          <w:tcPr>
            <w:tcW w:w="7340" w:type="dxa"/>
            <w:vAlign w:val="bottom"/>
            <w:gridSpan w:val="12"/>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6">
              <w:r>
                <w:rPr>
                  <w:rFonts w:ascii="Arial" w:cs="Arial" w:eastAsia="Arial" w:hAnsi="Arial"/>
                  <w:sz w:val="14"/>
                  <w:szCs w:val="14"/>
                  <w:color w:val="0000EE"/>
                  <w:w w:val="89"/>
                </w:rPr>
                <w:t>16</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4: Finance Leases, net</w:t>
              </w:r>
            </w:hyperlink>
          </w:p>
        </w:tc>
        <w:tc>
          <w:tcPr>
            <w:tcW w:w="160" w:type="dxa"/>
            <w:vAlign w:val="bottom"/>
          </w:tcPr>
          <w:p>
            <w:pPr>
              <w:jc w:val="right"/>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740" w:type="dxa"/>
            <w:vAlign w:val="bottom"/>
            <w:tcBorders>
              <w:bottom w:val="single" w:sz="8" w:color="0000EE"/>
            </w:tcBorders>
            <w:gridSpan w:val="17"/>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Note 5: Property, Plant and Equipment, net</w:t>
              </w:r>
            </w:hyperlink>
          </w:p>
        </w:tc>
        <w:tc>
          <w:tcPr>
            <w:tcW w:w="6620" w:type="dxa"/>
            <w:vAlign w:val="bottom"/>
            <w:gridSpan w:val="7"/>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Note 6: Investments</w:t>
              </w:r>
            </w:hyperlink>
          </w:p>
        </w:tc>
        <w:tc>
          <w:tcPr>
            <w:tcW w:w="160" w:type="dxa"/>
            <w:vAlign w:val="bottom"/>
          </w:tcPr>
          <w:p>
            <w:pPr>
              <w:jc w:val="right"/>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tcBorders>
              <w:bottom w:val="single" w:sz="8" w:color="0000EE"/>
            </w:tcBorders>
            <w:gridSpan w:val="18"/>
          </w:tcPr>
          <w:p>
            <w:pPr>
              <w:spacing w:after="0"/>
              <w:rPr>
                <w:rFonts w:ascii="Arial" w:cs="Arial" w:eastAsia="Arial" w:hAnsi="Arial"/>
                <w:sz w:val="14"/>
                <w:szCs w:val="14"/>
                <w:color w:val="0000EE"/>
              </w:rPr>
            </w:pPr>
            <w:hyperlink w:anchor="page20">
              <w:r>
                <w:rPr>
                  <w:rFonts w:ascii="Arial" w:cs="Arial" w:eastAsia="Arial" w:hAnsi="Arial"/>
                  <w:sz w:val="14"/>
                  <w:szCs w:val="14"/>
                  <w:color w:val="0000EE"/>
                </w:rPr>
                <w:t>Note 7: Intangible Assets and Liabilities, net</w:t>
              </w:r>
            </w:hyperlink>
          </w:p>
        </w:tc>
        <w:tc>
          <w:tcPr>
            <w:tcW w:w="6560" w:type="dxa"/>
            <w:vAlign w:val="bottom"/>
            <w:gridSpan w:val="6"/>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Borders>
              <w:bottom w:val="single" w:sz="8" w:color="0000EE"/>
            </w:tcBorders>
            <w:gridSpan w:val="6"/>
          </w:tcPr>
          <w:p>
            <w:pPr>
              <w:spacing w:after="0"/>
              <w:rPr>
                <w:rFonts w:ascii="Arial" w:cs="Arial" w:eastAsia="Arial" w:hAnsi="Arial"/>
                <w:sz w:val="14"/>
                <w:szCs w:val="14"/>
                <w:color w:val="0000EE"/>
              </w:rPr>
            </w:pPr>
            <w:hyperlink w:anchor="page21">
              <w:r>
                <w:rPr>
                  <w:rFonts w:ascii="Arial" w:cs="Arial" w:eastAsia="Arial" w:hAnsi="Arial"/>
                  <w:sz w:val="14"/>
                  <w:szCs w:val="14"/>
                  <w:color w:val="0000EE"/>
                </w:rPr>
                <w:t>Note 8: Debt, net</w:t>
              </w:r>
            </w:hyperlink>
          </w:p>
        </w:tc>
        <w:tc>
          <w:tcPr>
            <w:tcW w:w="8260" w:type="dxa"/>
            <w:vAlign w:val="bottom"/>
            <w:gridSpan w:val="18"/>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1">
              <w:r>
                <w:rPr>
                  <w:rFonts w:ascii="Arial" w:cs="Arial" w:eastAsia="Arial" w:hAnsi="Arial"/>
                  <w:sz w:val="14"/>
                  <w:szCs w:val="14"/>
                  <w:color w:val="0000EE"/>
                  <w:w w:val="89"/>
                </w:rPr>
                <w:t>21</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Note 9: Fair Value Measurements</w:t>
              </w:r>
            </w:hyperlink>
          </w:p>
        </w:tc>
        <w:tc>
          <w:tcPr>
            <w:tcW w:w="160" w:type="dxa"/>
            <w:vAlign w:val="bottom"/>
          </w:tcPr>
          <w:p>
            <w:pPr>
              <w:jc w:val="right"/>
              <w:spacing w:after="0"/>
              <w:rPr>
                <w:rFonts w:ascii="Arial" w:cs="Arial" w:eastAsia="Arial" w:hAnsi="Arial"/>
                <w:sz w:val="14"/>
                <w:szCs w:val="14"/>
                <w:color w:val="0000EE"/>
                <w:w w:val="89"/>
              </w:rPr>
            </w:pPr>
            <w:hyperlink w:anchor="page24">
              <w:r>
                <w:rPr>
                  <w:rFonts w:ascii="Arial" w:cs="Arial" w:eastAsia="Arial" w:hAnsi="Arial"/>
                  <w:sz w:val="14"/>
                  <w:szCs w:val="14"/>
                  <w:color w:val="0000EE"/>
                  <w:w w:val="89"/>
                </w:rPr>
                <w:t>24</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Note 10: Revenues</w:t>
              </w:r>
            </w:hyperlink>
          </w:p>
        </w:tc>
        <w:tc>
          <w:tcPr>
            <w:tcW w:w="860" w:type="dxa"/>
            <w:vAlign w:val="bottom"/>
            <w:tcBorders>
              <w:top w:val="single" w:sz="8" w:color="0000EE"/>
            </w:tcBorders>
            <w:gridSpan w:val="6"/>
          </w:tcPr>
          <w:p>
            <w:pPr>
              <w:spacing w:after="0"/>
              <w:rPr>
                <w:sz w:val="21"/>
                <w:szCs w:val="21"/>
                <w:color w:val="auto"/>
              </w:rPr>
            </w:pPr>
          </w:p>
        </w:tc>
        <w:tc>
          <w:tcPr>
            <w:tcW w:w="7220" w:type="dxa"/>
            <w:vAlign w:val="bottom"/>
            <w:gridSpan w:val="11"/>
          </w:tcPr>
          <w:p>
            <w:pPr>
              <w:spacing w:after="0"/>
              <w:rPr>
                <w:sz w:val="21"/>
                <w:szCs w:val="21"/>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26">
              <w:r>
                <w:rPr>
                  <w:rFonts w:ascii="Arial" w:cs="Arial" w:eastAsia="Arial" w:hAnsi="Arial"/>
                  <w:sz w:val="14"/>
                  <w:szCs w:val="14"/>
                  <w:color w:val="0000EE"/>
                  <w:w w:val="89"/>
                </w:rPr>
                <w:t>26</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20" w:type="dxa"/>
            <w:vAlign w:val="bottom"/>
            <w:tcBorders>
              <w:bottom w:val="single" w:sz="8" w:color="0000EE"/>
            </w:tcBorders>
            <w:gridSpan w:val="14"/>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Note 11: Equity-Based Compensation</w:t>
              </w:r>
            </w:hyperlink>
          </w:p>
        </w:tc>
        <w:tc>
          <w:tcPr>
            <w:tcW w:w="6940" w:type="dxa"/>
            <w:vAlign w:val="bottom"/>
            <w:gridSpan w:val="10"/>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8">
              <w:r>
                <w:rPr>
                  <w:rFonts w:ascii="Arial" w:cs="Arial" w:eastAsia="Arial" w:hAnsi="Arial"/>
                  <w:sz w:val="14"/>
                  <w:szCs w:val="14"/>
                  <w:color w:val="0000EE"/>
                  <w:w w:val="89"/>
                </w:rPr>
                <w:t>28</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Borders>
              <w:bottom w:val="single" w:sz="8" w:color="0000EE"/>
            </w:tcBorders>
            <w:gridSpan w:val="8"/>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Note 12: Income Taxes</w:t>
              </w:r>
            </w:hyperlink>
          </w:p>
        </w:tc>
        <w:tc>
          <w:tcPr>
            <w:tcW w:w="7880" w:type="dxa"/>
            <w:vAlign w:val="bottom"/>
            <w:gridSpan w:val="16"/>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29</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20" w:type="dxa"/>
            <w:vAlign w:val="bottom"/>
            <w:tcBorders>
              <w:bottom w:val="single" w:sz="8" w:color="0000EE"/>
            </w:tcBorders>
            <w:gridSpan w:val="22"/>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Note 13: Management Agreement and Affiliate Transactions</w:t>
              </w:r>
            </w:hyperlink>
          </w:p>
        </w:tc>
        <w:tc>
          <w:tcPr>
            <w:tcW w:w="5540" w:type="dxa"/>
            <w:vAlign w:val="bottom"/>
            <w:gridSpan w:val="2"/>
          </w:tcPr>
          <w:p>
            <w:pPr>
              <w:spacing w:after="0"/>
              <w:rPr>
                <w:sz w:val="21"/>
                <w:szCs w:val="21"/>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29</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Note 14: Segment Information</w:t>
              </w:r>
            </w:hyperlink>
          </w:p>
        </w:tc>
        <w:tc>
          <w:tcPr>
            <w:tcW w:w="160" w:type="dxa"/>
            <w:vAlign w:val="bottom"/>
          </w:tcPr>
          <w:p>
            <w:pPr>
              <w:jc w:val="right"/>
              <w:spacing w:after="0"/>
              <w:rPr>
                <w:rFonts w:ascii="Arial" w:cs="Arial" w:eastAsia="Arial" w:hAnsi="Arial"/>
                <w:sz w:val="14"/>
                <w:szCs w:val="14"/>
                <w:color w:val="0000EE"/>
                <w:w w:val="89"/>
              </w:rPr>
            </w:pPr>
            <w:hyperlink w:anchor="page31">
              <w:r>
                <w:rPr>
                  <w:rFonts w:ascii="Arial" w:cs="Arial" w:eastAsia="Arial" w:hAnsi="Arial"/>
                  <w:sz w:val="14"/>
                  <w:szCs w:val="14"/>
                  <w:color w:val="0000EE"/>
                  <w:w w:val="89"/>
                </w:rPr>
                <w:t>31</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Note 15: Earnings per Share and Equity</w:t>
              </w:r>
            </w:hyperlink>
          </w:p>
        </w:tc>
        <w:tc>
          <w:tcPr>
            <w:tcW w:w="160" w:type="dxa"/>
            <w:vAlign w:val="bottom"/>
          </w:tcPr>
          <w:p>
            <w:pPr>
              <w:jc w:val="right"/>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41</w:t>
              </w:r>
            </w:hyperlink>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360" w:type="dxa"/>
            <w:vAlign w:val="bottom"/>
            <w:gridSpan w:val="24"/>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Note 16: Commitments and Contingencies</w:t>
              </w:r>
            </w:hyperlink>
          </w:p>
        </w:tc>
        <w:tc>
          <w:tcPr>
            <w:tcW w:w="160" w:type="dxa"/>
            <w:vAlign w:val="bottom"/>
          </w:tcPr>
          <w:p>
            <w:pPr>
              <w:jc w:val="right"/>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42</w:t>
              </w:r>
            </w:hyperlink>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40" w:type="dxa"/>
            <w:vAlign w:val="bottom"/>
            <w:tcBorders>
              <w:top w:val="single" w:sz="8" w:color="0000EE"/>
              <w:bottom w:val="single" w:sz="8" w:color="0000EE"/>
            </w:tcBorders>
            <w:gridSpan w:val="10"/>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Note 17: Subsequent Events</w:t>
              </w:r>
            </w:hyperlink>
          </w:p>
        </w:tc>
        <w:tc>
          <w:tcPr>
            <w:tcW w:w="860" w:type="dxa"/>
            <w:vAlign w:val="bottom"/>
            <w:tcBorders>
              <w:top w:val="single" w:sz="8" w:color="0000EE"/>
            </w:tcBorders>
            <w:gridSpan w:val="6"/>
          </w:tcPr>
          <w:p>
            <w:pPr>
              <w:spacing w:after="0"/>
              <w:rPr>
                <w:sz w:val="21"/>
                <w:szCs w:val="21"/>
                <w:color w:val="auto"/>
              </w:rPr>
            </w:pPr>
          </w:p>
        </w:tc>
        <w:tc>
          <w:tcPr>
            <w:tcW w:w="6660" w:type="dxa"/>
            <w:vAlign w:val="bottom"/>
            <w:gridSpan w:val="8"/>
          </w:tcPr>
          <w:p>
            <w:pPr>
              <w:spacing w:after="0"/>
              <w:rPr>
                <w:sz w:val="21"/>
                <w:szCs w:val="21"/>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43">
              <w:r>
                <w:rPr>
                  <w:rFonts w:ascii="Arial" w:cs="Arial" w:eastAsia="Arial" w:hAnsi="Arial"/>
                  <w:sz w:val="14"/>
                  <w:szCs w:val="14"/>
                  <w:color w:val="0000EE"/>
                  <w:w w:val="89"/>
                </w:rPr>
                <w:t>43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5660" w:type="dxa"/>
            <w:vAlign w:val="bottom"/>
            <w:tcBorders>
              <w:bottom w:val="single" w:sz="8" w:color="0000EE"/>
            </w:tcBorders>
            <w:gridSpan w:val="25"/>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Management’s Discussion and Analysis of Financial Condition and Results of Operations</w:t>
              </w:r>
            </w:hyperlink>
          </w:p>
        </w:tc>
        <w:tc>
          <w:tcPr>
            <w:tcW w:w="4260" w:type="dxa"/>
            <w:vAlign w:val="bottom"/>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44">
              <w:r>
                <w:rPr>
                  <w:rFonts w:ascii="Arial" w:cs="Arial" w:eastAsia="Arial" w:hAnsi="Arial"/>
                  <w:sz w:val="14"/>
                  <w:szCs w:val="14"/>
                  <w:color w:val="0000EE"/>
                  <w:w w:val="89"/>
                </w:rPr>
                <w:t>44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920" w:type="dxa"/>
            <w:vAlign w:val="bottom"/>
            <w:gridSpan w:val="26"/>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Quantitative and Qualitative Disclosures About Market Risk</w:t>
              </w:r>
            </w:hyperlink>
          </w:p>
        </w:tc>
        <w:tc>
          <w:tcPr>
            <w:tcW w:w="160" w:type="dxa"/>
            <w:vAlign w:val="bottom"/>
          </w:tcPr>
          <w:p>
            <w:pPr>
              <w:jc w:val="right"/>
              <w:spacing w:after="0"/>
              <w:rPr>
                <w:rFonts w:ascii="Arial" w:cs="Arial" w:eastAsia="Arial" w:hAnsi="Arial"/>
                <w:sz w:val="14"/>
                <w:szCs w:val="14"/>
                <w:color w:val="0000EE"/>
                <w:w w:val="89"/>
              </w:rPr>
            </w:pPr>
            <w:hyperlink w:anchor="page71">
              <w:r>
                <w:rPr>
                  <w:rFonts w:ascii="Arial" w:cs="Arial" w:eastAsia="Arial" w:hAnsi="Arial"/>
                  <w:sz w:val="14"/>
                  <w:szCs w:val="14"/>
                  <w:color w:val="0000EE"/>
                  <w:w w:val="89"/>
                </w:rPr>
                <w:t>71</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3760" w:type="dxa"/>
            <w:vAlign w:val="bottom"/>
            <w:tcBorders>
              <w:top w:val="single" w:sz="8" w:color="0000EE"/>
            </w:tcBorders>
            <w:gridSpan w:val="21"/>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Controls and Procedures</w:t>
              </w:r>
            </w:hyperlink>
          </w:p>
        </w:tc>
        <w:tc>
          <w:tcPr>
            <w:tcW w:w="6160" w:type="dxa"/>
            <w:vAlign w:val="bottom"/>
            <w:gridSpan w:val="5"/>
          </w:tcPr>
          <w:p>
            <w:pPr>
              <w:spacing w:after="0"/>
              <w:rPr>
                <w:sz w:val="17"/>
                <w:szCs w:val="17"/>
                <w:color w:val="auto"/>
              </w:rPr>
            </w:pPr>
          </w:p>
        </w:tc>
        <w:tc>
          <w:tcPr>
            <w:tcW w:w="160" w:type="dxa"/>
            <w:vAlign w:val="bottom"/>
            <w:tcBorders>
              <w:top w:val="single" w:sz="8" w:color="0000EE"/>
            </w:tcBorders>
          </w:tcPr>
          <w:p>
            <w:pPr>
              <w:jc w:val="right"/>
              <w:spacing w:after="0"/>
              <w:rPr>
                <w:rFonts w:ascii="Arial" w:cs="Arial" w:eastAsia="Arial" w:hAnsi="Arial"/>
                <w:sz w:val="14"/>
                <w:szCs w:val="14"/>
                <w:color w:val="0000EE"/>
                <w:w w:val="89"/>
              </w:rPr>
            </w:pPr>
            <w:hyperlink w:anchor="page72">
              <w:r>
                <w:rPr>
                  <w:rFonts w:ascii="Arial" w:cs="Arial" w:eastAsia="Arial" w:hAnsi="Arial"/>
                  <w:sz w:val="14"/>
                  <w:szCs w:val="14"/>
                  <w:color w:val="0000EE"/>
                  <w:w w:val="89"/>
                </w:rPr>
                <w:t>72</w:t>
              </w:r>
            </w:hyperlink>
          </w:p>
        </w:tc>
      </w:tr>
      <w:tr>
        <w:trPr>
          <w:trHeight w:val="549"/>
        </w:trPr>
        <w:tc>
          <w:tcPr>
            <w:tcW w:w="10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6"/>
          </w:tcPr>
          <w:p>
            <w:pPr>
              <w:ind w:left="360"/>
              <w:spacing w:after="0"/>
              <w:rPr>
                <w:sz w:val="20"/>
                <w:szCs w:val="20"/>
                <w:color w:val="auto"/>
              </w:rPr>
            </w:pPr>
            <w:r>
              <w:rPr>
                <w:rFonts w:ascii="Arial" w:cs="Arial" w:eastAsia="Arial" w:hAnsi="Arial"/>
                <w:sz w:val="14"/>
                <w:szCs w:val="14"/>
                <w:b w:val="1"/>
                <w:bCs w:val="1"/>
                <w:color w:val="006EBF"/>
              </w:rPr>
              <w:t>PART II - OTHER INFORMATION</w:t>
            </w:r>
          </w:p>
        </w:tc>
        <w:tc>
          <w:tcPr>
            <w:tcW w:w="160" w:type="dxa"/>
            <w:vAlign w:val="bottom"/>
            <w:tcBorders>
              <w:top w:val="single" w:sz="8" w:color="0000EE"/>
            </w:tcBorders>
          </w:tcPr>
          <w:p>
            <w:pPr>
              <w:spacing w:after="0"/>
              <w:rPr>
                <w:sz w:val="24"/>
                <w:szCs w:val="24"/>
                <w:color w:val="auto"/>
              </w:rPr>
            </w:pPr>
          </w:p>
        </w:tc>
      </w:tr>
      <w:tr>
        <w:trPr>
          <w:trHeight w:val="18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920" w:type="dxa"/>
            <w:vAlign w:val="bottom"/>
            <w:gridSpan w:val="26"/>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Legal Proceedings</w:t>
              </w:r>
            </w:hyperlink>
          </w:p>
        </w:tc>
        <w:tc>
          <w:tcPr>
            <w:tcW w:w="160" w:type="dxa"/>
            <w:vAlign w:val="bottom"/>
          </w:tcPr>
          <w:p>
            <w:pPr>
              <w:jc w:val="right"/>
              <w:spacing w:after="0"/>
              <w:rPr>
                <w:rFonts w:ascii="Arial" w:cs="Arial" w:eastAsia="Arial" w:hAnsi="Arial"/>
                <w:sz w:val="14"/>
                <w:szCs w:val="14"/>
                <w:color w:val="0000EE"/>
                <w:w w:val="89"/>
              </w:rPr>
            </w:pPr>
            <w:hyperlink w:anchor="page73">
              <w:r>
                <w:rPr>
                  <w:rFonts w:ascii="Arial" w:cs="Arial" w:eastAsia="Arial" w:hAnsi="Arial"/>
                  <w:sz w:val="14"/>
                  <w:szCs w:val="14"/>
                  <w:color w:val="0000EE"/>
                  <w:w w:val="89"/>
                </w:rPr>
                <w:t>73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00" w:type="dxa"/>
            <w:vAlign w:val="bottom"/>
            <w:tcBorders>
              <w:top w:val="single" w:sz="8" w:color="0000EE"/>
              <w:bottom w:val="single" w:sz="8" w:color="0000EE"/>
            </w:tcBorders>
            <w:gridSpan w:val="3"/>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Risk Factors</w:t>
              </w:r>
            </w:hyperlink>
          </w:p>
        </w:tc>
        <w:tc>
          <w:tcPr>
            <w:tcW w:w="380" w:type="dxa"/>
            <w:vAlign w:val="bottom"/>
            <w:tcBorders>
              <w:top w:val="single" w:sz="8" w:color="0000EE"/>
            </w:tcBorders>
            <w:gridSpan w:val="2"/>
          </w:tcPr>
          <w:p>
            <w:pPr>
              <w:spacing w:after="0"/>
              <w:rPr>
                <w:sz w:val="17"/>
                <w:szCs w:val="17"/>
                <w:color w:val="auto"/>
              </w:rPr>
            </w:pPr>
          </w:p>
        </w:tc>
        <w:tc>
          <w:tcPr>
            <w:tcW w:w="8740" w:type="dxa"/>
            <w:vAlign w:val="bottom"/>
            <w:gridSpan w:val="21"/>
          </w:tcPr>
          <w:p>
            <w:pPr>
              <w:spacing w:after="0"/>
              <w:rPr>
                <w:sz w:val="17"/>
                <w:szCs w:val="17"/>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73">
              <w:r>
                <w:rPr>
                  <w:rFonts w:ascii="Arial" w:cs="Arial" w:eastAsia="Arial" w:hAnsi="Arial"/>
                  <w:sz w:val="14"/>
                  <w:szCs w:val="14"/>
                  <w:color w:val="0000EE"/>
                  <w:w w:val="89"/>
                </w:rPr>
                <w:t>73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3880" w:type="dxa"/>
            <w:vAlign w:val="bottom"/>
            <w:tcBorders>
              <w:bottom w:val="single" w:sz="8" w:color="0000EE"/>
            </w:tcBorders>
            <w:gridSpan w:val="23"/>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Unregistered Sales of Equity Securities and Use of Proceeds</w:t>
              </w:r>
            </w:hyperlink>
          </w:p>
        </w:tc>
        <w:tc>
          <w:tcPr>
            <w:tcW w:w="6040" w:type="dxa"/>
            <w:vAlign w:val="bottom"/>
            <w:gridSpan w:val="3"/>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5">
              <w:r>
                <w:rPr>
                  <w:rFonts w:ascii="Arial" w:cs="Arial" w:eastAsia="Arial" w:hAnsi="Arial"/>
                  <w:sz w:val="14"/>
                  <w:szCs w:val="14"/>
                  <w:color w:val="0000EE"/>
                  <w:w w:val="89"/>
                </w:rPr>
                <w:t>95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2040" w:type="dxa"/>
            <w:vAlign w:val="bottom"/>
            <w:tcBorders>
              <w:bottom w:val="single" w:sz="8" w:color="0000EE"/>
            </w:tcBorders>
            <w:gridSpan w:val="10"/>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Defaults Upon Senior Securities</w:t>
              </w:r>
            </w:hyperlink>
          </w:p>
        </w:tc>
        <w:tc>
          <w:tcPr>
            <w:tcW w:w="7880" w:type="dxa"/>
            <w:vAlign w:val="bottom"/>
            <w:gridSpan w:val="16"/>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5">
              <w:r>
                <w:rPr>
                  <w:rFonts w:ascii="Arial" w:cs="Arial" w:eastAsia="Arial" w:hAnsi="Arial"/>
                  <w:sz w:val="14"/>
                  <w:szCs w:val="14"/>
                  <w:color w:val="0000EE"/>
                  <w:w w:val="89"/>
                </w:rPr>
                <w:t>95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1540" w:type="dxa"/>
            <w:vAlign w:val="bottom"/>
            <w:tcBorders>
              <w:bottom w:val="single" w:sz="8" w:color="0000EE"/>
            </w:tcBorders>
            <w:gridSpan w:val="6"/>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Mine Safety Disclosures</w:t>
              </w:r>
            </w:hyperlink>
          </w:p>
        </w:tc>
        <w:tc>
          <w:tcPr>
            <w:tcW w:w="8380" w:type="dxa"/>
            <w:vAlign w:val="bottom"/>
            <w:gridSpan w:val="20"/>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5">
              <w:r>
                <w:rPr>
                  <w:rFonts w:ascii="Arial" w:cs="Arial" w:eastAsia="Arial" w:hAnsi="Arial"/>
                  <w:sz w:val="14"/>
                  <w:szCs w:val="14"/>
                  <w:color w:val="0000EE"/>
                  <w:w w:val="89"/>
                </w:rPr>
                <w:t>95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1120" w:type="dxa"/>
            <w:vAlign w:val="bottom"/>
            <w:tcBorders>
              <w:bottom w:val="single" w:sz="8" w:color="0000EE"/>
            </w:tcBorders>
            <w:gridSpan w:val="4"/>
          </w:tcPr>
          <w:p>
            <w:pPr>
              <w:spacing w:after="0"/>
              <w:rPr>
                <w:rFonts w:ascii="Arial" w:cs="Arial" w:eastAsia="Arial" w:hAnsi="Arial"/>
                <w:sz w:val="14"/>
                <w:szCs w:val="14"/>
                <w:color w:val="0000EE"/>
              </w:rPr>
            </w:pPr>
            <w:hyperlink w:anchor="page95">
              <w:r>
                <w:rPr>
                  <w:rFonts w:ascii="Arial" w:cs="Arial" w:eastAsia="Arial" w:hAnsi="Arial"/>
                  <w:sz w:val="14"/>
                  <w:szCs w:val="14"/>
                  <w:color w:val="0000EE"/>
                </w:rPr>
                <w:t>Other Information</w:t>
              </w:r>
            </w:hyperlink>
          </w:p>
        </w:tc>
        <w:tc>
          <w:tcPr>
            <w:tcW w:w="8800" w:type="dxa"/>
            <w:vAlign w:val="bottom"/>
            <w:gridSpan w:val="2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5">
              <w:r>
                <w:rPr>
                  <w:rFonts w:ascii="Arial" w:cs="Arial" w:eastAsia="Arial" w:hAnsi="Arial"/>
                  <w:sz w:val="14"/>
                  <w:szCs w:val="14"/>
                  <w:color w:val="0000EE"/>
                  <w:w w:val="89"/>
                </w:rPr>
                <w:t>95</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500" w:type="dxa"/>
            <w:vAlign w:val="bottom"/>
            <w:tcBorders>
              <w:bottom w:val="single" w:sz="8" w:color="0000EE"/>
            </w:tcBorders>
          </w:tcPr>
          <w:p>
            <w:pPr>
              <w:spacing w:after="0"/>
              <w:rPr>
                <w:rFonts w:ascii="Arial" w:cs="Arial" w:eastAsia="Arial" w:hAnsi="Arial"/>
                <w:sz w:val="14"/>
                <w:szCs w:val="14"/>
                <w:color w:val="0000EE"/>
                <w:w w:val="97"/>
              </w:rPr>
            </w:pPr>
            <w:hyperlink w:anchor="page96">
              <w:r>
                <w:rPr>
                  <w:rFonts w:ascii="Arial" w:cs="Arial" w:eastAsia="Arial" w:hAnsi="Arial"/>
                  <w:sz w:val="14"/>
                  <w:szCs w:val="14"/>
                  <w:color w:val="0000EE"/>
                  <w:w w:val="97"/>
                </w:rPr>
                <w:t>Exhibits</w:t>
              </w:r>
            </w:hyperlink>
          </w:p>
        </w:tc>
        <w:tc>
          <w:tcPr>
            <w:tcW w:w="9420" w:type="dxa"/>
            <w:vAlign w:val="bottom"/>
            <w:gridSpan w:val="25"/>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6">
              <w:r>
                <w:rPr>
                  <w:rFonts w:ascii="Arial" w:cs="Arial" w:eastAsia="Arial" w:hAnsi="Arial"/>
                  <w:sz w:val="14"/>
                  <w:szCs w:val="14"/>
                  <w:color w:val="0000EE"/>
                  <w:w w:val="89"/>
                </w:rPr>
                <w:t>96</w:t>
              </w:r>
            </w:hyperlink>
          </w:p>
        </w:tc>
      </w:tr>
    </w:tbl>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20"/>
          </w:cols>
          <w:pgMar w:left="280" w:top="661"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8" w:lineRule="exact"/>
        <w:rPr>
          <w:sz w:val="20"/>
          <w:szCs w:val="20"/>
          <w:color w:val="auto"/>
        </w:rPr>
      </w:pPr>
    </w:p>
    <w:p>
      <w:pPr>
        <w:ind w:right="3820"/>
        <w:spacing w:after="0" w:line="376"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23"/>
                <w:szCs w:val="23"/>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2"/>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9"/>
                <w:szCs w:val="19"/>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40,319</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59,400</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Restricted cash</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33,526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33,406</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41,882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31,076</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Leasing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1,203,741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1,074,130</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Finance leases, net</w:t>
            </w:r>
          </w:p>
        </w:tc>
        <w:tc>
          <w:tcPr>
            <w:tcW w:w="7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16,293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9,244</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599,723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489,949</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Investments</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43,404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42,538</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Intangible assets,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36,019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40,043</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79,781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59,436</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2,211,272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83,920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68,226</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Debt, net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862,746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703,264</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deposits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122,617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103,464</w:t>
            </w:r>
          </w:p>
        </w:tc>
        <w:tc>
          <w:tcPr>
            <w:tcW w:w="0" w:type="dxa"/>
            <w:vAlign w:val="bottom"/>
          </w:tcPr>
          <w:p>
            <w:pPr>
              <w:spacing w:after="0"/>
              <w:rPr>
                <w:sz w:val="1"/>
                <w:szCs w:val="1"/>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Security deposits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30,850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27,257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21,813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18,520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1,121,946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920,731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Commitments and contingencies</w:t>
            </w:r>
          </w:p>
        </w:tc>
        <w:tc>
          <w:tcPr>
            <w:tcW w:w="70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Common shares ($0.01 par value per share; 2,000,000,000 shares authorized; 82,787,466 and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75,771,738 shares issued and outstanding as of June 30, 2018 and December 31, 2017, respectively)</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Additional paid in capital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1,065,474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985,009</w:t>
            </w:r>
          </w:p>
        </w:tc>
        <w:tc>
          <w:tcPr>
            <w:tcW w:w="0" w:type="dxa"/>
            <w:vAlign w:val="bottom"/>
          </w:tcPr>
          <w:p>
            <w:pPr>
              <w:spacing w:after="0"/>
              <w:rPr>
                <w:sz w:val="1"/>
                <w:szCs w:val="1"/>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deficit</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(38,432)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0" w:type="dxa"/>
            <w:vAlign w:val="bottom"/>
          </w:tcPr>
          <w:p>
            <w:pPr>
              <w:spacing w:after="0"/>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Accumulated other comprehensive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Shareholders' equity</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1,027,870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947,068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61,456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88,007</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1,089,326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c>
          <w:tcPr>
            <w:tcW w:w="0" w:type="dxa"/>
            <w:vAlign w:val="bottom"/>
          </w:tcPr>
          <w:p>
            <w:pPr>
              <w:spacing w:after="0"/>
              <w:rPr>
                <w:sz w:val="1"/>
                <w:szCs w:val="1"/>
                <w:color w:val="auto"/>
              </w:rPr>
            </w:pPr>
          </w:p>
        </w:tc>
      </w:tr>
      <w:tr>
        <w:trPr>
          <w:trHeight w:val="216"/>
        </w:trPr>
        <w:tc>
          <w:tcPr>
            <w:tcW w:w="708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2,211,272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1,955,806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6" w:right="239" w:bottom="1440" w:gutter="0" w:footer="0" w:header="0"/>
        </w:sectPr>
      </w:pPr>
    </w:p>
    <w:bookmarkStart w:id="5" w:name="page6"/>
    <w:bookmarkEnd w:id="5"/>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71"/>
        </w:trPr>
        <w:tc>
          <w:tcPr>
            <w:tcW w:w="3900" w:type="dxa"/>
            <w:vAlign w:val="bottom"/>
            <w:vMerge w:val="continue"/>
          </w:tcPr>
          <w:p>
            <w:pPr>
              <w:spacing w:after="0"/>
              <w:rPr>
                <w:sz w:val="6"/>
                <w:szCs w:val="6"/>
                <w:color w:val="auto"/>
              </w:rPr>
            </w:pPr>
          </w:p>
        </w:tc>
        <w:tc>
          <w:tcPr>
            <w:tcW w:w="11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Notes</w:t>
            </w:r>
          </w:p>
        </w:tc>
        <w:tc>
          <w:tcPr>
            <w:tcW w:w="124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3900" w:type="dxa"/>
            <w:vAlign w:val="bottom"/>
          </w:tcPr>
          <w:p>
            <w:pPr>
              <w:ind w:left="40"/>
              <w:spacing w:after="0"/>
              <w:rPr>
                <w:sz w:val="20"/>
                <w:szCs w:val="20"/>
                <w:color w:val="auto"/>
              </w:rPr>
            </w:pPr>
            <w:r>
              <w:rPr>
                <w:rFonts w:ascii="Arial" w:cs="Arial" w:eastAsia="Arial" w:hAnsi="Arial"/>
                <w:sz w:val="14"/>
                <w:szCs w:val="14"/>
                <w:i w:val="1"/>
                <w:iCs w:val="1"/>
                <w:color w:val="auto"/>
              </w:rPr>
              <w:t>data)</w:t>
            </w:r>
          </w:p>
        </w:tc>
        <w:tc>
          <w:tcPr>
            <w:tcW w:w="118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Equipment leasing revenues</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59,330</w:t>
            </w:r>
          </w:p>
        </w:tc>
        <w:tc>
          <w:tcPr>
            <w:tcW w:w="14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40,383</w:t>
            </w:r>
          </w:p>
        </w:tc>
        <w:tc>
          <w:tcPr>
            <w:tcW w:w="12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115,114</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71,771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Infrastructure revenues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12,649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10,811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25,709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24,096</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71,979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51,194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140,823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95,867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27,593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55,172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42,337</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4,573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8,159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7,176</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Management fees and incentive allocation to 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4,495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8,234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7,758</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32,844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62,431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12,857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24,728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12,378</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83,870</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58,315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161,998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110,579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Equity in losses of unconsolidated entities</w:t>
            </w:r>
          </w:p>
        </w:tc>
        <w:tc>
          <w:tcPr>
            <w:tcW w:w="6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(251)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sale of equipment, net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4,996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4,017</w:t>
            </w: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6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22"/>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income</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income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1,157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1,337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other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5,976</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Loss before 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(5,915)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(14,345)</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Provision for income taxes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Net loss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(15,021)</w:t>
            </w:r>
          </w:p>
        </w:tc>
        <w:tc>
          <w:tcPr>
            <w:tcW w:w="0" w:type="dxa"/>
            <w:vAlign w:val="bottom"/>
          </w:tcPr>
          <w:p>
            <w:pPr>
              <w:spacing w:after="0"/>
              <w:rPr>
                <w:sz w:val="1"/>
                <w:szCs w:val="1"/>
                <w:color w:val="auto"/>
              </w:rPr>
            </w:pPr>
          </w:p>
        </w:tc>
      </w:tr>
      <w:tr>
        <w:trPr>
          <w:trHeight w:val="174"/>
        </w:trPr>
        <w:tc>
          <w:tcPr>
            <w:tcW w:w="3900" w:type="dxa"/>
            <w:vAlign w:val="bottom"/>
          </w:tcPr>
          <w:p>
            <w:pPr>
              <w:ind w:left="440"/>
              <w:spacing w:after="0"/>
              <w:rPr>
                <w:sz w:val="20"/>
                <w:szCs w:val="20"/>
                <w:color w:val="auto"/>
              </w:rPr>
            </w:pPr>
            <w:r>
              <w:rPr>
                <w:rFonts w:ascii="Arial" w:cs="Arial" w:eastAsia="Arial" w:hAnsi="Arial"/>
                <w:sz w:val="14"/>
                <w:szCs w:val="14"/>
                <w:color w:val="auto"/>
              </w:rPr>
              <w:t>Less: Net loss attributable to non-controlling interests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(7,288)</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(16,049)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in consolidated subsidiaries</w:t>
            </w: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 per share</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500"/>
              <w:spacing w:after="0"/>
              <w:rPr>
                <w:sz w:val="20"/>
                <w:szCs w:val="20"/>
                <w:color w:val="auto"/>
              </w:rPr>
            </w:pPr>
            <w:r>
              <w:rPr>
                <w:rFonts w:ascii="Arial" w:cs="Arial" w:eastAsia="Arial" w:hAnsi="Arial"/>
                <w:sz w:val="14"/>
                <w:szCs w:val="14"/>
                <w:b w:val="1"/>
                <w:bCs w:val="1"/>
                <w:color w:val="auto"/>
              </w:rPr>
              <w:t>Basic</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0.01</w:t>
            </w:r>
          </w:p>
        </w:tc>
        <w:tc>
          <w:tcPr>
            <w:tcW w:w="14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Diluted</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0.01</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500"/>
              <w:spacing w:after="0"/>
              <w:rPr>
                <w:sz w:val="20"/>
                <w:szCs w:val="20"/>
                <w:color w:val="auto"/>
              </w:rPr>
            </w:pPr>
            <w:r>
              <w:rPr>
                <w:rFonts w:ascii="Arial" w:cs="Arial" w:eastAsia="Arial" w:hAnsi="Arial"/>
                <w:sz w:val="14"/>
                <w:szCs w:val="14"/>
                <w:b w:val="1"/>
                <w:bCs w:val="1"/>
                <w:color w:val="auto"/>
              </w:rPr>
              <w:t>Basic</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83,160,037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75,762,674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82,351,736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75,762,480</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Diluted</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83,160,047</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75,762,674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82,351,858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75,762,480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right="2940"/>
        <w:spacing w:after="0" w:line="40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INCOME (LOSS)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5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(15,021)</w:t>
            </w: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4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available-for-sale securities</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r>
      <w:tr>
        <w:trPr>
          <w:trHeight w:val="250"/>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Comprehensive loss</w:t>
            </w: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(6,449)</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(11,945)</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(15,782)</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(16,297)</w:t>
            </w:r>
          </w:p>
        </w:tc>
      </w:tr>
      <w:tr>
        <w:trPr>
          <w:trHeight w:val="270"/>
        </w:trPr>
        <w:tc>
          <w:tcPr>
            <w:tcW w:w="4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Comprehensive loss attributable to non-controlling interest</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(16,049)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(9,147)</w:t>
            </w:r>
          </w:p>
        </w:tc>
      </w:tr>
      <w:tr>
        <w:trPr>
          <w:trHeight w:val="243"/>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 attributable to shareholders</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267</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(7,150)</w:t>
            </w: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3820"/>
        <w:spacing w:after="0" w:line="40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Additional Paid In</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6"/>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2017</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985,009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1,035,075</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for the period</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(15,782)</w:t>
            </w:r>
          </w:p>
        </w:tc>
      </w:tr>
      <w:tr>
        <w:trPr>
          <w:trHeight w:val="264"/>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loss</w:t>
            </w:r>
          </w:p>
        </w:tc>
        <w:tc>
          <w:tcPr>
            <w:tcW w:w="5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6"/>
        </w:trPr>
        <w:tc>
          <w:tcPr>
            <w:tcW w:w="2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comprehensive loss</w:t>
            </w:r>
          </w:p>
        </w:tc>
        <w:tc>
          <w:tcPr>
            <w:tcW w:w="5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(15,782)</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Transfer of non-controlling interest</w:t>
            </w: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7,225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(10,930)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(3,705)</w:t>
            </w:r>
          </w:p>
        </w:tc>
      </w:tr>
      <w:tr>
        <w:trPr>
          <w:trHeight w:val="276"/>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(54,662)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(54,662)</w:t>
            </w:r>
          </w:p>
        </w:tc>
      </w:tr>
      <w:tr>
        <w:trPr>
          <w:trHeight w:val="264"/>
        </w:trPr>
        <w:tc>
          <w:tcPr>
            <w:tcW w:w="26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5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127,893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127,963</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5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437</w:t>
            </w:r>
          </w:p>
        </w:tc>
      </w:tr>
      <w:tr>
        <w:trPr>
          <w:trHeight w:val="243"/>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Equity - June 30, 2018</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828</w:t>
            </w:r>
          </w:p>
        </w:tc>
        <w:tc>
          <w:tcPr>
            <w:tcW w:w="12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1,065,474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(38,432)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ind w:left="10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61,456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1,089,326</w:t>
            </w:r>
          </w:p>
        </w:tc>
      </w:tr>
      <w:tr>
        <w:trPr>
          <w:trHeight w:val="20"/>
        </w:trPr>
        <w:tc>
          <w:tcPr>
            <w:tcW w:w="2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80" w:right="239" w:bottom="1440" w:gutter="0" w:footer="0" w:header="0"/>
        </w:sectPr>
      </w:pPr>
    </w:p>
    <w:bookmarkStart w:id="8" w:name="page9"/>
    <w:bookmarkEnd w:id="8"/>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(15,782)</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(15,021)</w:t>
            </w:r>
          </w:p>
        </w:tc>
      </w:tr>
      <w:tr>
        <w:trPr>
          <w:trHeight w:val="276"/>
        </w:trPr>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Equity in losses of unconsolidated entities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1,593</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sale of equipment, net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(4,991)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Security deposits and maintenance claims included in earnings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(4,325)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extinguishment of debt</w:t>
            </w: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Equity-based compensation</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437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530</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62,431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12,943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3,291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2,064</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Bad debt expense</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1,521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Change in:</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w:t>
            </w:r>
          </w:p>
        </w:tc>
      </w:tr>
      <w:tr>
        <w:trPr>
          <w:trHeight w:val="264"/>
        </w:trPr>
        <w:tc>
          <w:tcPr>
            <w:tcW w:w="7900" w:type="dxa"/>
            <w:vAlign w:val="bottom"/>
          </w:tcPr>
          <w:p>
            <w:pPr>
              <w:ind w:left="1300"/>
              <w:spacing w:after="0"/>
              <w:rPr>
                <w:sz w:val="20"/>
                <w:szCs w:val="20"/>
                <w:color w:val="auto"/>
              </w:rPr>
            </w:pPr>
            <w:r>
              <w:rPr>
                <w:rFonts w:ascii="Arial" w:cs="Arial" w:eastAsia="Arial" w:hAnsi="Arial"/>
                <w:sz w:val="14"/>
                <w:szCs w:val="14"/>
                <w:color w:val="auto"/>
              </w:rPr>
              <w:t>Other assets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(10,318)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9,909</w:t>
            </w:r>
          </w:p>
        </w:tc>
      </w:tr>
      <w:tr>
        <w:trPr>
          <w:trHeight w:val="276"/>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22,091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1,871</w:t>
            </w:r>
          </w:p>
        </w:tc>
      </w:tr>
      <w:tr>
        <w:trPr>
          <w:trHeight w:val="264"/>
        </w:trPr>
        <w:tc>
          <w:tcPr>
            <w:tcW w:w="7900" w:type="dxa"/>
            <w:vAlign w:val="bottom"/>
          </w:tcPr>
          <w:p>
            <w:pPr>
              <w:ind w:left="1300"/>
              <w:spacing w:after="0"/>
              <w:rPr>
                <w:sz w:val="20"/>
                <w:szCs w:val="20"/>
                <w:color w:val="auto"/>
              </w:rPr>
            </w:pPr>
            <w:r>
              <w:rPr>
                <w:rFonts w:ascii="Arial" w:cs="Arial" w:eastAsia="Arial" w:hAnsi="Arial"/>
                <w:sz w:val="14"/>
                <w:szCs w:val="14"/>
                <w:color w:val="auto"/>
              </w:rPr>
              <w:t>Management fees payable to affiliate</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(578)</w:t>
            </w:r>
          </w:p>
        </w:tc>
      </w:tr>
      <w:tr>
        <w:trPr>
          <w:trHeight w:val="270"/>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Other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r>
      <w:tr>
        <w:trPr>
          <w:trHeight w:val="250"/>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59,152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33,275</w:t>
            </w:r>
          </w:p>
        </w:tc>
      </w:tr>
      <w:tr>
        <w:trPr>
          <w:trHeight w:val="283"/>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4"/>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notes receivable</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(1,115)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(21,172)</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(205,819)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(224,070)</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(124,039)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(50,688)</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lease intangibles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(2,225)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(197)</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deposits for acquisitions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(17,890)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(5,725)</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26,499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30,241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deposit on sale of leasing equipment</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2,505</w:t>
            </w:r>
          </w:p>
        </w:tc>
      </w:tr>
      <w:tr>
        <w:trPr>
          <w:trHeight w:val="270"/>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deposit on sale of engine</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(325,091)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(268,830)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ind w:right="3820"/>
        <w:spacing w:after="0" w:line="376"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204,350</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243,911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(45,874)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(11,875)</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Payment of deferred financing costs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(1,819)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(2,722)</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security deposits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3,748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4,590</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Return of security deposits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(1,657)</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maintenance deposits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22,355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9,975</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Release of maintenance deposits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(4,276)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(6,111)</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128,450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Common shares issuance costs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(789)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of non-controlling interest shares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Cash dividends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(54,662)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(50,024)</w:t>
            </w:r>
          </w:p>
        </w:tc>
      </w:tr>
      <w:tr>
        <w:trPr>
          <w:trHeight w:val="25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cash provided by financing activities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246,978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186,087</w:t>
            </w:r>
          </w:p>
        </w:tc>
      </w:tr>
      <w:tr>
        <w:trPr>
          <w:trHeight w:val="283"/>
        </w:trPr>
        <w:tc>
          <w:tcPr>
            <w:tcW w:w="7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Net increase in cash and cash equivalents and restricted cash</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(18,961)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(49,468)</w:t>
            </w:r>
          </w:p>
        </w:tc>
      </w:tr>
      <w:tr>
        <w:trPr>
          <w:trHeight w:val="264"/>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92,806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133,496</w:t>
            </w:r>
          </w:p>
        </w:tc>
      </w:tr>
      <w:tr>
        <w:trPr>
          <w:trHeight w:val="243"/>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73,845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84,028</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7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borrowings of debt</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108,089</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and settlement of debt</w:t>
            </w: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(4,704)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(20,834)</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(30,915)</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Settled and assumed security deposits</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1,467</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4,634</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Deferred financing costs</w:t>
            </w:r>
          </w:p>
        </w:tc>
        <w:tc>
          <w:tcPr>
            <w:tcW w:w="40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(7,837)</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Non-cash contribution from non-controlling interest</w:t>
            </w:r>
          </w:p>
        </w:tc>
        <w:tc>
          <w:tcPr>
            <w:tcW w:w="40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r>
      <w:tr>
        <w:trPr>
          <w:trHeight w:val="264"/>
        </w:trPr>
        <w:tc>
          <w:tcPr>
            <w:tcW w:w="7900" w:type="dxa"/>
            <w:vAlign w:val="bottom"/>
          </w:tcPr>
          <w:p>
            <w:pPr>
              <w:ind w:left="600"/>
              <w:spacing w:after="0"/>
              <w:rPr>
                <w:sz w:val="20"/>
                <w:szCs w:val="20"/>
                <w:color w:val="auto"/>
              </w:rPr>
            </w:pPr>
            <w:r>
              <w:rPr>
                <w:rFonts w:ascii="Arial" w:cs="Arial" w:eastAsia="Arial" w:hAnsi="Arial"/>
                <w:sz w:val="14"/>
                <w:szCs w:val="14"/>
                <w:color w:val="auto"/>
              </w:rPr>
              <w:t>Transfer of non-controlling interest</w:t>
            </w:r>
          </w:p>
        </w:tc>
        <w:tc>
          <w:tcPr>
            <w:tcW w:w="40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7,225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Issuance of common shares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35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295"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Fortress Transportation and Infrastructure Investors LLC (the “Company,” “we,” “our” or “us”)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(“Long Ridge”). We have six reportable segments, (i) Aviation Leasing, (ii) Offshore Energy, (iii) Shipping Containers, (iv) Jefferson Terminal, (v) Railroad, and (vi) Ports and Terminals, which operate in two primary businesses, Equipment Leasing and Infrastructure (Note 14).</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67"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principles (“GAAP”) and include the accounts of us and our subsidiaries.</w:t>
      </w:r>
    </w:p>
    <w:p>
      <w:pPr>
        <w:spacing w:after="0" w:line="102"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We consolidate all entities in which we have a controlling financial interest and control over significant operating decisions,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 well as variable interest entities (“VIEs”) in which we are the primary beneficiary. All significant intercompany transactions and balances have been eliminated. All adjustments (consisting of normal recurring accruals) considered necessary for a fair presentation have been included. The ownership interest of other investors in consolidated subsidiaries is recorded as non-controlling interest.</w:t>
      </w:r>
    </w:p>
    <w:p>
      <w:pPr>
        <w:spacing w:after="0" w:line="144"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w:t>
      </w:r>
    </w:p>
    <w:p>
      <w:pPr>
        <w:spacing w:after="0" w:line="122"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1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497F"/>
        </w:rPr>
        <w:t>—</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terminal services revenue and the majority of freight rail revenue are denominated in U.S. dollars.</w:t>
      </w:r>
    </w:p>
    <w:p>
      <w:pPr>
        <w:spacing w:after="0" w:line="129"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VIE and the determination of whether to consolidate a VIE requires judgment. VIEs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 Energy Partners LLC</w:t>
      </w:r>
    </w:p>
    <w:p>
      <w:pPr>
        <w:spacing w:after="0" w:line="18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During the quarter ended September 30, 2016, we initiated activities in our 50% owned joint venture, JGP Energy Partners LLC (“JGP”). The other 50% member to the joint venture is a third party ethanol producer. The purpose of the venture is to build storage capacity with capabilities to receive and/or distribute ethanol via water, rail or truck. Each member contributed up to $27,000 (for a total of $54,000) for the development and construction of the ethanol terminal facilities. JGP is governed by a designated operating committee selected by the members in proportion to their equity interests. JGP is solely reliant on its members to finance its activities and therefore is a VIE. We concluded that we are not the primary beneficiary of JGP as the members share equally in the risks and rewards and decision making authority of the entity; therefore, we do not consolidate JGP and account for this investment in accordance with the equity method. Refer to Note 6 for details.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Delaware River Partners LLC</w:t>
      </w:r>
    </w:p>
    <w:p>
      <w:pPr>
        <w:spacing w:after="0" w:line="18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On July 1, 2016, we, through Delaware River Partners LLC (“DRP”), a consolidated subsidiary, purchased the assets of Repauno, which consisted primarily of land, a storage cavern, and riparian rights for the acquired land, site improvements and rights. Upon acquisition there were no operational processes that could be applied to these assets that would result in outputs without significant green field development. We currently hold a 90% economic interest and a 100% voting interest in DRP. DRP is solely reliant on us to finance its activities and therefore is a VIE. We concluded that we were the primary beneficiary; and accordingly, DRP has been presented on a consolidated basis in the accompanying financial statements. We have the right to purchase an additional 8% economic interest from the non-controlling party after the second anniversary but prior to the fifth year anniversary of the acquisition of Repauno. At the time of the purchase, we concluded that 8% of the 10% interest held by the non-controlling party does not share in the risks or rewards of true equity.</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Ohio River Partners LLC</w:t>
      </w:r>
    </w:p>
    <w:p>
      <w:pPr>
        <w:spacing w:after="0" w:line="18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On June 16, 2017, we, through Ohio River Partners LLC (“ORP”), a consolidated subsidiary, purchased the assets of Long Ridge which consisted primarily of land, buildings, railroad track, docks, water rights, site improvements and other rights. We purchased 100% of the interests in these assets. ORP is solely reliant on us to finance its activities and therefore is a VIE. We concluded that we were the primary beneficiary; accordingly, ORP has been presented on a consolidated basis in the accompanying financial statements.</w:t>
      </w:r>
    </w:p>
    <w:p>
      <w:pPr>
        <w:spacing w:after="0" w:line="129"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102"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was $33,526 and $33,406 as of June 30, 2018 and December 31, 2017, respectively, and consists of prepaid interest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principal pursuant to the requirements of certain of our debt agreements (Note 8), and funds set aside for qualifying construction projects at Jefferson Terminal and, as of June 30, 2018, Long Ridge.</w:t>
      </w:r>
    </w:p>
    <w:p>
      <w:pPr>
        <w:spacing w:after="0" w:line="118"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497F"/>
        </w:rPr>
        <w:t>—</w:t>
      </w:r>
      <w:r>
        <w:rPr>
          <w:rFonts w:ascii="Arial" w:cs="Arial" w:eastAsia="Arial" w:hAnsi="Arial"/>
          <w:sz w:val="16"/>
          <w:szCs w:val="16"/>
          <w:color w:val="000000"/>
        </w:rPr>
        <w:t>We consider listed equity securities as available-for-sale securities recorded at fair value with unrealized gains (losses)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recorded in other comprehensive income (loss) and realized gains (losses) recorded in earnings. Our basis on which the cost of the security sold or the amount reclassified out of other comprehensive income into earnings is determined using specific identification. Available-for-sale securities are included as a component of investments in the accompanying Consolidated Balance Sheets. At each balance sheet date, we evaluate our available-for-sale securities holdings with unrealized losses to determine if an other-than-temporary impairment has occurred. Refer to Note 6 and Note 9 for details.</w:t>
      </w:r>
    </w:p>
    <w:p>
      <w:pPr>
        <w:spacing w:after="0" w:line="126"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497F"/>
        </w:rPr>
        <w:t>—</w:t>
      </w:r>
      <w:r>
        <w:rPr>
          <w:rFonts w:ascii="Arial" w:cs="Arial" w:eastAsia="Arial" w:hAnsi="Arial"/>
          <w:sz w:val="16"/>
          <w:szCs w:val="16"/>
          <w:color w:val="000000"/>
        </w:rPr>
        <w:t>Commodities are carried at the lower of cost or net realizable value on our balance sheet. Commodities are removed from inventory based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average cost at the time of sale. At June 30, 2018 and December 31, 2017, we had commodities inventory of $15,313 and $8,877, respectively. We record our inventory as a component of other assets in the accompanying Consolidated Balance Sheets.</w:t>
      </w:r>
    </w:p>
    <w:p>
      <w:pPr>
        <w:spacing w:after="0" w:line="118"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 of the underlying loans. Unamortized deferred financing costs of $10,950 and $11,423 as of June 30, 2018 and December 31, 2017, respectively, are recorded as a component of debt in the accompanying Consolidated Balance Sheets. In connection with the Jefferson Revolver, we incurred $511 of deferred financing costs as of June 30, 2018 which are recorded as a component of other assets in the accompanying Consolidated Balance Sheets. Refer to Note 8 for details.</w:t>
      </w:r>
    </w:p>
    <w:p>
      <w:pPr>
        <w:spacing w:after="0" w:line="14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Amortization expense was $1,332 and $2,483 for the three and six months ended June 30, 2018, respectively, and $931 and $2,064 for the three and six months ended June 30, 2017, respectively. Amortization expense is included as a component of interest expense in the accompanying Consolidated Statements of Operations.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7"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 xml:space="preserve">Effective January 1, 2018, we adopted FASB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and related updates. The standard’s core principle is that we will recognize revenue when we transfer promised goods or services to customers in an amount that reflect the consideration to which a company expects to be entitled in exchange for those goods or services. The adoption of this standard is applied using the modified retrospective approach. See below for a detailed description of revenue recognition by our two strategic business units, Equipment Leasing and Infrastructure.</w:t>
      </w:r>
    </w:p>
    <w:p>
      <w:pPr>
        <w:spacing w:after="0" w:line="268"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 xml:space="preserve">Lease contracts, within the scope of ASC 840, </w:t>
      </w:r>
      <w:r>
        <w:rPr>
          <w:rFonts w:ascii="Arial" w:cs="Arial" w:eastAsia="Arial" w:hAnsi="Arial"/>
          <w:sz w:val="16"/>
          <w:szCs w:val="16"/>
          <w:i w:val="1"/>
          <w:iCs w:val="1"/>
          <w:color w:val="auto"/>
        </w:rPr>
        <w:t>Leases</w:t>
      </w:r>
      <w:r>
        <w:rPr>
          <w:rFonts w:ascii="Arial" w:cs="Arial" w:eastAsia="Arial" w:hAnsi="Arial"/>
          <w:sz w:val="16"/>
          <w:szCs w:val="16"/>
          <w:color w:val="auto"/>
        </w:rPr>
        <w:t>, are specifically excluded from ASU 2014-09. Infrastructure revenues that do not qualify as leases or leases that are combined with other services are recognized as revenue only when the services have been performed or goods transferred and we expect to be entitled in exchange for the goods delivered or services performed in accordance with contractual obligations. See Note 11 for additional details regarding the disaggregation of our revenues by segment.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adoption of the standard did not have a material impact on our consolidated financial statements and related disclosures.</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Equipment Leasing Revenues</w:t>
      </w:r>
    </w:p>
    <w:p>
      <w:pPr>
        <w:spacing w:after="0" w:line="221"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color w:val="000000"/>
        </w:rPr>
        <w:t>—We lease equipment pursuant to net operating leases. Operating leases with fixed rentals and step rentals are recognized on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138"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We also recognize maintenance revenue related to the portion of maintenance payments received from lessees of aviation equipment that are not expected to be reimbursed in connection with major maintenance events.</w:t>
      </w:r>
    </w:p>
    <w:p>
      <w:pPr>
        <w:spacing w:after="0" w:line="122"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Finance Lease</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Infrastructure Revenues</w:t>
      </w:r>
    </w:p>
    <w:p>
      <w:pPr>
        <w:spacing w:after="0" w:line="221"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Rail Revenues</w:t>
      </w:r>
      <w:r>
        <w:rPr>
          <w:rFonts w:ascii="Arial" w:cs="Arial" w:eastAsia="Arial" w:hAnsi="Arial"/>
          <w:sz w:val="16"/>
          <w:szCs w:val="16"/>
          <w:color w:val="000000"/>
        </w:rPr>
        <w:t>—Rail revenues are recognized proportionally as freight moves from origin to destination. Other miscellaneous revenues, such as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unloading and switching revenue, are recognized as the service is performed or contractual obligations are met.</w:t>
      </w:r>
    </w:p>
    <w:p>
      <w:pPr>
        <w:spacing w:after="0" w:line="156"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Terminal Services Revenues</w:t>
      </w:r>
      <w:r>
        <w:rPr>
          <w:rFonts w:ascii="Arial" w:cs="Arial" w:eastAsia="Arial" w:hAnsi="Arial"/>
          <w:sz w:val="16"/>
          <w:szCs w:val="16"/>
          <w:color w:val="000000"/>
        </w:rPr>
        <w:t>—Terminal services revenues are recognized when services have been provided to the customer, the product has been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delivered, the price is considered to be fixed or determinable and collectability is reasonably assured. Prepayments for services are deferred until the period in which the above criteria are met. Terminal services fees include services provided to third-party customers related to receipt and redelivery of crude oil products.</w:t>
      </w:r>
    </w:p>
    <w:p>
      <w:pPr>
        <w:spacing w:after="0" w:line="178"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Lease Revenues</w:t>
      </w:r>
      <w:r>
        <w:rPr>
          <w:rFonts w:ascii="Arial" w:cs="Arial" w:eastAsia="Arial" w:hAnsi="Arial"/>
          <w:sz w:val="16"/>
          <w:szCs w:val="16"/>
          <w:color w:val="000000"/>
        </w:rPr>
        <w:t>—We recognize lease revenue as various tenants lease out storage space including equipment, piping and frac sand. Lease revenue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recognized based on the terms of the lease agreement.</w:t>
      </w:r>
    </w:p>
    <w:p>
      <w:pPr>
        <w:spacing w:after="0" w:line="210"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We are subject to concentrations of credit risk with respect to amounts due from customers on our finance lease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operating leases. We attempt to limit our credit risk by performing ongoing credit evaluations. During the three and six months ended June 30, 2018 and 2017, we had no revenue concentration over 10% of total revenue from any one customer.</w:t>
      </w:r>
    </w:p>
    <w:p>
      <w:pPr>
        <w:spacing w:after="0" w:line="246"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As of June 30, 2018, accounts receivable from one customer in the Jefferson Terminal segment and one customer in the Offshore Energy segment represented 22% and 10%, respectively, of total accounts receivable, net. As of December 31, 2017, accounts receivable from two customers in the Offshore Energy segment represented 17% and 10%, respectively, of total accounts receivable, net.</w:t>
      </w:r>
    </w:p>
    <w:p>
      <w:pPr>
        <w:spacing w:after="0" w:line="255"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230"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We determine the provision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The provision for doubtful accounts at June 30, 2018 and December 31, 2017 was $2,079 and $983, respectively. Bad debt expense was $80 and $1,521 for the three and six months ended June 30, 2018, respectively, and $32 and $63 for the three and six months ended June 30, 2017,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fair value changes related to the available-for-sale securities and derivatives accounted for as cash flow hedges.</w:t>
      </w:r>
    </w:p>
    <w:p>
      <w:pPr>
        <w:spacing w:after="0" w:line="70"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Derivative Financial Instruments—</w:t>
      </w:r>
      <w:r>
        <w:rPr>
          <w:rFonts w:ascii="Arial" w:cs="Arial" w:eastAsia="Arial" w:hAnsi="Arial"/>
          <w:sz w:val="16"/>
          <w:szCs w:val="16"/>
          <w:color w:val="000000"/>
        </w:rPr>
        <w:t>During 2017 we entered into short-term crude forward contracts. The fair value of the short-term derivative asset 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June 30, 2018 and December 31, 2017 was $840 and $1,022, respectively, recorded in other assets.</w:t>
      </w:r>
    </w:p>
    <w:p>
      <w:pPr>
        <w:spacing w:after="0" w:line="102" w:lineRule="exact"/>
        <w:rPr>
          <w:sz w:val="20"/>
          <w:szCs w:val="20"/>
          <w:color w:val="auto"/>
        </w:rPr>
      </w:pPr>
    </w:p>
    <w:p>
      <w:pPr>
        <w:jc w:val="both"/>
        <w:ind w:left="340"/>
        <w:spacing w:after="0" w:line="266"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commodities of $15,313 and $8,877, notes receivable of $436 and $2,623, purchase deposits for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acquisitions of $18,036 and $12,299, lease incentives of $31,550 and $23,811, and prepaid expenses of $4,969 and $4,149 as of June 30, 2018 and December 31, 2017, respectively.</w:t>
      </w:r>
    </w:p>
    <w:p>
      <w:pPr>
        <w:spacing w:after="0" w:line="118"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six months ended June 30, 2018 and 2017,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Board of Directors declared a cash dividend of $0.33 and $0.66 per share, respectively.</w:t>
      </w:r>
    </w:p>
    <w:p>
      <w:pPr>
        <w:spacing w:after="0" w:line="102"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May 2014, the FASB issued ASU 2014-09,</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Revenues from Contracts with Customers (Topic 606)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2014-09”)</w:t>
      </w:r>
      <w:r>
        <w:rPr>
          <w:rFonts w:ascii="Arial" w:cs="Arial" w:eastAsia="Arial" w:hAnsi="Arial"/>
          <w:sz w:val="16"/>
          <w:szCs w:val="16"/>
          <w:i w:val="1"/>
          <w:iCs w:val="1"/>
          <w:color w:val="000000"/>
        </w:rPr>
        <w:t>.</w:t>
      </w:r>
      <w:r>
        <w:rPr>
          <w:rFonts w:ascii="Arial" w:cs="Arial" w:eastAsia="Arial" w:hAnsi="Arial"/>
          <w:sz w:val="16"/>
          <w:szCs w:val="16"/>
          <w:color w:val="000000"/>
        </w:rPr>
        <w:t xml:space="preserve"> ASU 2014-09 requires that a company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We adopted ASU 2014-09 as of January 1, 2018 and the adoption of this guidance did not have a material impact on our consolidated financial statements.</w:t>
      </w:r>
    </w:p>
    <w:p>
      <w:pPr>
        <w:spacing w:after="0" w:line="133"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ASU 2016-01 requires (i) equity investments, except those accounted for under the equity method of accounting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We adopted ASU 2016-01 as of January 1, 2018 and the adoption of this guidance did not have any impact on our consolidated financial statements.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w:t>
      </w:r>
      <w:r>
        <w:rPr>
          <w:rFonts w:ascii="Arial" w:cs="Arial" w:eastAsia="Arial" w:hAnsi="Arial"/>
          <w:sz w:val="16"/>
          <w:szCs w:val="16"/>
          <w:i w:val="1"/>
          <w:iCs w:val="1"/>
          <w:color w:val="auto"/>
        </w:rPr>
        <w:t>.</w:t>
      </w:r>
    </w:p>
    <w:p>
      <w:pPr>
        <w:spacing w:after="0" w:line="2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2016-15 will be effective for fiscal years beginning after December 15, 2017, and interim periods within those fiscal years. Early adoption is permitted, including adoption in an interim period. We adopted ASU 2016-15 as of January 1, 2018 and the adoption of this guidance did not have a material impact on the presentation of our Statements of Cash Flows.</w:t>
      </w:r>
    </w:p>
    <w:p>
      <w:pPr>
        <w:spacing w:after="0" w:line="246"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 (“ASU 2016-16”).</w:t>
      </w:r>
      <w:r>
        <w:rPr>
          <w:rFonts w:ascii="Arial" w:cs="Arial" w:eastAsia="Arial" w:hAnsi="Arial"/>
          <w:sz w:val="16"/>
          <w:szCs w:val="16"/>
          <w:color w:val="auto"/>
        </w:rPr>
        <w:t xml:space="preserve">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or for an intra-entity transfer of inventory. ASU 2016-16 will be effective for annual reporting periods beginning after December 15, 2017, and interim periods within those annual reporting periods. Early adoption is permitted, including adoption in an interim period. We adopted ASU 2016-16 as of January 1, 2018 and the adoption of this guidance did not have a material impact on our consolidated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1"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ASU 2016-18 will be effective for fiscal years beginning after December 15, 2017, and interim periods within those fiscal years. Early adoption is permitted, including adoption in an interim period. We adopted ASU 2016-18 as of January 1, 2018 and the adoption of this guidance included changes in restricted cash in our Statements of Cash Flows for all periods presented.</w:t>
      </w:r>
    </w:p>
    <w:p>
      <w:pPr>
        <w:spacing w:after="0" w:line="24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(“ASU 2017-05”). </w:t>
      </w:r>
      <w:r>
        <w:rPr>
          <w:rFonts w:ascii="Arial" w:cs="Arial" w:eastAsia="Arial" w:hAnsi="Arial"/>
          <w:sz w:val="16"/>
          <w:szCs w:val="16"/>
          <w:color w:val="auto"/>
        </w:rPr>
        <w:t>ASU 2017-05 amends the</w:t>
      </w:r>
      <w:r>
        <w:rPr>
          <w:rFonts w:ascii="Arial" w:cs="Arial" w:eastAsia="Arial" w:hAnsi="Arial"/>
          <w:sz w:val="16"/>
          <w:szCs w:val="16"/>
          <w:i w:val="1"/>
          <w:iCs w:val="1"/>
          <w:color w:val="auto"/>
        </w:rPr>
        <w:t xml:space="preserve"> </w:t>
      </w:r>
      <w:r>
        <w:rPr>
          <w:rFonts w:ascii="Arial" w:cs="Arial" w:eastAsia="Arial" w:hAnsi="Arial"/>
          <w:sz w:val="16"/>
          <w:szCs w:val="16"/>
          <w:color w:val="auto"/>
        </w:rPr>
        <w:t>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 ASU 2017-05 will be effective for annual reporting periods beginning after December 15, 2017, and interim periods within those fiscal years. We adopted ASU 2017-05 as of January 1, 2018 and the adoption of this guidance did not have a material impact on our consolidated financial statements.</w:t>
      </w:r>
    </w:p>
    <w:p>
      <w:pPr>
        <w:spacing w:after="0" w:line="13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May 2017, the FASB issued Accounting Standards Update No.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("ASU 2017-09")</w:t>
      </w:r>
      <w:r>
        <w:rPr>
          <w:rFonts w:ascii="Arial" w:cs="Arial" w:eastAsia="Arial" w:hAnsi="Arial"/>
          <w:sz w:val="16"/>
          <w:szCs w:val="16"/>
          <w:color w:val="auto"/>
        </w:rPr>
        <w:t>, which provides guidance about which changes to the terms or conditions of a share-based payment award require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We adopted ASU 2017-09 as of January 1, 2018 and the adoption of this guidance did not have a material impact on our consolidated financial statements.</w:t>
      </w:r>
    </w:p>
    <w:p>
      <w:pPr>
        <w:spacing w:after="0" w:line="12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February 2016, the FASB issued ASU 2016-02,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 2016-02”). ASU 2016-02 amends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Our evaluation of the impact of the new guidance on our consolidated financial statements is ongoing. We are currently identifying the lease arrangements within the scope of the new guidance, and evaluating the impact of the lease arrangements. In September 2017, the FASB issued ASU 2017-13, </w:t>
      </w:r>
      <w:r>
        <w:rPr>
          <w:rFonts w:ascii="Arial" w:cs="Arial" w:eastAsia="Arial" w:hAnsi="Arial"/>
          <w:sz w:val="16"/>
          <w:szCs w:val="16"/>
          <w:i w:val="1"/>
          <w:iCs w:val="1"/>
          <w:color w:val="000000"/>
        </w:rPr>
        <w:t>Revenue Recognition (Topic 605), Revenue from contracts from customers (Topic 606), Leases (Topic 840) and Leases (Topic 842)</w:t>
      </w:r>
      <w:r>
        <w:rPr>
          <w:rFonts w:ascii="Arial" w:cs="Arial" w:eastAsia="Arial" w:hAnsi="Arial"/>
          <w:sz w:val="16"/>
          <w:szCs w:val="16"/>
          <w:color w:val="000000"/>
        </w:rPr>
        <w:t xml:space="preserve"> (“ASU 2017-13”), which adds SEC paragraphs to the new revenue and lease sections of the codification on the announcement of the SEC observer made at the July 2017 EITF meeting</w:t>
      </w:r>
      <w:r>
        <w:rPr>
          <w:rFonts w:ascii="Arial" w:cs="Arial" w:eastAsia="Arial" w:hAnsi="Arial"/>
          <w:sz w:val="16"/>
          <w:szCs w:val="16"/>
          <w:i w:val="1"/>
          <w:iCs w:val="1"/>
          <w:color w:val="000000"/>
        </w:rPr>
        <w:t>.</w:t>
      </w:r>
    </w:p>
    <w:p>
      <w:pPr>
        <w:spacing w:after="0" w:line="244"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For assets held at amortized cost basis, ASU 2016-13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We are currently evaluating the impact of adopting this new guidance on our consolidated financial statements.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1"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We are currently evaluating the impact of adopting this new guidance on our consolidated financial statements.</w:t>
      </w:r>
    </w:p>
    <w:p>
      <w:pPr>
        <w:spacing w:after="0" w:line="13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Improvements to Nonemployee Share-Based Payment Accounting</w:t>
      </w:r>
      <w:r>
        <w:rPr>
          <w:rFonts w:ascii="Arial" w:cs="Arial" w:eastAsia="Arial" w:hAnsi="Arial"/>
          <w:sz w:val="16"/>
          <w:szCs w:val="16"/>
          <w:color w:val="auto"/>
        </w:rPr>
        <w:t xml:space="preserve"> to simplify the accounting for share-based payments to nonemployees by aligning it with the accounting for share-based payments to employees, with certain exceptions. The new guidance expands the scope of ASC 718 to include share-based payments granted to nonemployees in exchange for goods or services used or consumed in an entity’s own operations and supersedes the guidance in ASC 505-50. The guidance is effective for public business entities in annual periods beginning after December 15, 2018, and interim periods within those annual periods, and early adoption is permitted. We are currently evaluating the impact of adopting this new guidance on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Leasing equipment, net is summarized as follows:</w:t>
      </w:r>
    </w:p>
    <w:p>
      <w:pPr>
        <w:spacing w:after="0" w:line="382"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1,390,177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1,217,862</w:t>
            </w:r>
          </w:p>
        </w:tc>
      </w:tr>
      <w:tr>
        <w:trPr>
          <w:trHeight w:val="264"/>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(186,436)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(143,732)</w:t>
            </w: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1,203,741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1,074,130</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During the six months ended June 30, 2018, we acquired 13 aircraft and 16 commercial engines, and sold one aircraft and six commercial engines. During the six months ended June 30, 2017, we acquired 14 aircraft and 41 commercial engines, and sold one aircraft and six commercial engines.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2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54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60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26,779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50,470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29,142</w:t>
            </w: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4. FINANCE LEASES,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Finance leases, net are summarized as follows:</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6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2017</w:t>
            </w:r>
          </w:p>
        </w:tc>
      </w:tr>
      <w:tr>
        <w:trPr>
          <w:trHeight w:val="39"/>
        </w:trPr>
        <w:tc>
          <w:tcPr>
            <w:tcW w:w="6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5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28,513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16,015</w:t>
            </w:r>
          </w:p>
        </w:tc>
      </w:tr>
      <w:tr>
        <w:trPr>
          <w:trHeight w:val="264"/>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Unearned revenue</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(6,771)</w:t>
            </w: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Finance leases,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9,244</w:t>
            </w: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six months ended June 30, 2018, we entered into a two year finance lease arrangement for the sale of one of our aircraft.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2018, future minimum lease payments to be received under finance leases for the remainder of the lease terms are as follows: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2,062</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2019</w:t>
            </w:r>
          </w:p>
        </w:tc>
        <w:tc>
          <w:tcPr>
            <w:tcW w:w="68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6,208</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10,257</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2021</w:t>
            </w:r>
          </w:p>
        </w:tc>
        <w:tc>
          <w:tcPr>
            <w:tcW w:w="68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2,008</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2,008</w:t>
            </w:r>
          </w:p>
        </w:tc>
      </w:tr>
      <w:tr>
        <w:trPr>
          <w:trHeight w:val="210"/>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5,970</w:t>
            </w:r>
          </w:p>
        </w:tc>
      </w:tr>
      <w:tr>
        <w:trPr>
          <w:trHeight w:val="216"/>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28,513</w:t>
            </w:r>
          </w:p>
        </w:tc>
      </w:tr>
      <w:tr>
        <w:trPr>
          <w:trHeight w:val="20"/>
        </w:trPr>
        <w:tc>
          <w:tcPr>
            <w:tcW w:w="8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20"/>
          </w:cols>
          <w:pgMar w:left="240" w:top="121" w:right="6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7"/>
                <w:szCs w:val="17"/>
                <w:color w:val="auto"/>
              </w:rPr>
            </w:pPr>
          </w:p>
        </w:tc>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74,413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74,268</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178,275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100,420</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9,807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9,807</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340,960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299,444</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35,338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35,371</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2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1,193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1,057</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3,429</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26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b w:val="1"/>
                <w:bCs w:val="1"/>
                <w:color w:val="auto"/>
              </w:rPr>
              <w:t>3,518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3,105</w:t>
            </w:r>
          </w:p>
        </w:tc>
      </w:tr>
      <w:tr>
        <w:trPr>
          <w:trHeight w:val="276"/>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w:t>
            </w:r>
          </w:p>
        </w:tc>
      </w:tr>
      <w:tr>
        <w:trPr>
          <w:trHeight w:val="264"/>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1,480</w:t>
            </w:r>
          </w:p>
        </w:tc>
      </w:tr>
      <w:tr>
        <w:trPr>
          <w:trHeight w:val="256"/>
        </w:trPr>
        <w:tc>
          <w:tcPr>
            <w:tcW w:w="7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648,951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528,925</w:t>
            </w:r>
          </w:p>
        </w:tc>
      </w:tr>
      <w:tr>
        <w:trPr>
          <w:trHeight w:val="264"/>
        </w:trPr>
        <w:tc>
          <w:tcPr>
            <w:tcW w:w="716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(50,747)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(40,605)</w:t>
            </w:r>
          </w:p>
        </w:tc>
      </w:tr>
      <w:tr>
        <w:trPr>
          <w:trHeight w:val="270"/>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Spare parts</w:t>
            </w:r>
          </w:p>
        </w:tc>
        <w:tc>
          <w:tcPr>
            <w:tcW w:w="2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1,519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1,629</w:t>
            </w:r>
          </w:p>
        </w:tc>
      </w:tr>
      <w:tr>
        <w:trPr>
          <w:trHeight w:val="243"/>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599,723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489,949</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During the six months ended June 30, 2018, we acquired property, plant and equipment of $119,916, which primarily consists of terminal machinery and equipment placed in service or under development at Jefferson Terminal and Repauno, and an investment in a joint venture of a natural gas production asset at Long Ridge.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8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4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840" w:type="dxa"/>
            <w:vAlign w:val="bottom"/>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6"/>
              </w:rPr>
              <w:t>5,166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6,657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Carrying Value</w:t>
            </w:r>
          </w:p>
        </w:tc>
      </w:tr>
      <w:tr>
        <w:trPr>
          <w:trHeight w:val="264"/>
        </w:trPr>
        <w:tc>
          <w:tcPr>
            <w:tcW w:w="268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Ownership Percentage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13,374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13,724</w:t>
            </w:r>
          </w:p>
        </w:tc>
      </w:tr>
      <w:tr>
        <w:trPr>
          <w:trHeight w:val="264"/>
        </w:trPr>
        <w:tc>
          <w:tcPr>
            <w:tcW w:w="268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b w:val="1"/>
                <w:bCs w:val="1"/>
                <w:color w:val="auto"/>
              </w:rPr>
              <w:t>25,948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24,920</w:t>
            </w:r>
          </w:p>
        </w:tc>
      </w:tr>
      <w:tr>
        <w:trPr>
          <w:trHeight w:val="270"/>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4,082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3,894</w:t>
            </w:r>
          </w:p>
        </w:tc>
      </w:tr>
      <w:tr>
        <w:trPr>
          <w:trHeight w:val="243"/>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Investments</w:t>
            </w:r>
          </w:p>
        </w:tc>
        <w:tc>
          <w:tcPr>
            <w:tcW w:w="2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43,404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42,538</w:t>
            </w:r>
          </w:p>
        </w:tc>
      </w:tr>
      <w:tr>
        <w:trPr>
          <w:trHeight w:val="20"/>
        </w:trPr>
        <w:tc>
          <w:tcPr>
            <w:tcW w:w="2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did not recognize any other-than-temporary impairments for the three and six months ended June 30, 2018 and 2017.</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Equity Method Investments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proportionate share of equity in losses: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264"/>
        </w:trPr>
        <w:tc>
          <w:tcPr>
            <w:tcW w:w="43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JGP Energy Partners LLC</w:t>
            </w:r>
          </w:p>
        </w:tc>
        <w:tc>
          <w:tcPr>
            <w:tcW w:w="102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Intermodal Finance I, Ltd.</w:t>
            </w:r>
          </w:p>
        </w:tc>
        <w:tc>
          <w:tcPr>
            <w:tcW w:w="10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281</w:t>
            </w:r>
          </w:p>
        </w:tc>
        <w:tc>
          <w:tcPr>
            <w:tcW w:w="10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r>
      <w:tr>
        <w:trPr>
          <w:trHeight w:val="243"/>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(1,593)</w:t>
            </w:r>
          </w:p>
        </w:tc>
      </w:tr>
      <w:tr>
        <w:trPr>
          <w:trHeight w:val="20"/>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Advanced Engine Repair JV</w:t>
      </w:r>
    </w:p>
    <w:p>
      <w:pPr>
        <w:spacing w:after="0" w:line="183" w:lineRule="exact"/>
        <w:rPr>
          <w:sz w:val="20"/>
          <w:szCs w:val="20"/>
          <w:color w:val="auto"/>
        </w:rPr>
      </w:pPr>
    </w:p>
    <w:p>
      <w:pPr>
        <w:jc w:val="both"/>
        <w:ind w:left="340"/>
        <w:spacing w:after="0" w:line="258" w:lineRule="auto"/>
        <w:rPr>
          <w:sz w:val="20"/>
          <w:szCs w:val="20"/>
          <w:color w:val="auto"/>
        </w:rPr>
      </w:pPr>
      <w:r>
        <w:rPr>
          <w:rFonts w:ascii="Arial" w:cs="Arial" w:eastAsia="Arial" w:hAnsi="Arial"/>
          <w:sz w:val="16"/>
          <w:szCs w:val="16"/>
          <w:color w:val="auto"/>
        </w:rPr>
        <w:t>In December 2016, we invested $15,000 for 25% interest in an advanced engine repair joint venture. We will initially focus on developing new costs savings programs for engine repairs. We exercise significant influence over this investment and account for this investment as an equity method investment.</w:t>
      </w:r>
    </w:p>
    <w:p>
      <w:pPr>
        <w:spacing w:after="0" w:line="31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w:t>
      </w:r>
    </w:p>
    <w:p>
      <w:pPr>
        <w:spacing w:after="0" w:line="183"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2016, we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We concluded that we are not the primary beneficiary of JGP as the members share equally in the risks and rewards and decision making authority of the entity; therefore, we do not consolidate JGP and instead account for this investment in accordance with the equity method.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Intermodal Finance I, Ltd.</w:t>
      </w:r>
    </w:p>
    <w:p>
      <w:pPr>
        <w:spacing w:after="0" w:line="183"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In 2012, we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we do not have unilateral rights over this investment; therefore, we do not consolidate Intermodal but account for this investment in accordance with the equity method. We do not have a variable interest in this investment as none of the criteria of ASC 810-10-15-14 were met.</w:t>
      </w:r>
    </w:p>
    <w:p>
      <w:pPr>
        <w:spacing w:after="0" w:line="151"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As of June 30, 2018, Intermodal owns a portfolio of multiple finance leases, representing four customers and comprising approximately 24,000 shipping containers, as well as a portfolio of approximately 7,000 shipping containers subject to multiple operating leases.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summarized financial information for our equity method investments: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264"/>
        </w:trPr>
        <w:tc>
          <w:tcPr>
            <w:tcW w:w="438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2,785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6,885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Expenses</w:t>
            </w:r>
          </w:p>
        </w:tc>
        <w:tc>
          <w:tcPr>
            <w:tcW w:w="9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3,639</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8,093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8,568</w:t>
            </w: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(5,151)</w:t>
            </w: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05"/>
        </w:trPr>
        <w:tc>
          <w:tcPr>
            <w:tcW w:w="4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Company’s portion</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w:t>
            </w: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ind w:right="380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Intangible assets and liabilities, net are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June 30, 2018</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b w:val="1"/>
                <w:bCs w:val="1"/>
                <w:color w:val="auto"/>
              </w:rPr>
              <w:t>38,973</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38,973</w:t>
            </w: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(24,903)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(24,903)</w:t>
            </w:r>
          </w:p>
        </w:tc>
      </w:tr>
      <w:tr>
        <w:trPr>
          <w:trHeight w:val="25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14,070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14,070</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35,738</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(13,601)</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(13,789)</w:t>
            </w:r>
          </w:p>
        </w:tc>
      </w:tr>
      <w:tr>
        <w:trPr>
          <w:trHeight w:val="250"/>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21,912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21,949</w:t>
            </w:r>
          </w:p>
        </w:tc>
      </w:tr>
      <w:tr>
        <w:trPr>
          <w:trHeight w:val="283"/>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14,070</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21,912</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36,019</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2,732</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(1,769)</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(1,769)</w:t>
            </w: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963</w:t>
            </w: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80"/>
        </w:trPr>
        <w:tc>
          <w:tcPr>
            <w:tcW w:w="4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2017</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4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Jefferson Terminal</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7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36,747</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36,747</w:t>
            </w: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(20,452)</w:t>
            </w:r>
          </w:p>
        </w:tc>
      </w:tr>
      <w:tr>
        <w:trPr>
          <w:trHeight w:val="24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16,295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16,295</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35,738</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(11,990)</w:t>
            </w:r>
          </w:p>
        </w:tc>
      </w:tr>
      <w:tr>
        <w:trPr>
          <w:trHeight w:val="25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4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23,688</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23,748</w:t>
            </w:r>
          </w:p>
        </w:tc>
      </w:tr>
      <w:tr>
        <w:trPr>
          <w:trHeight w:val="277"/>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16,295</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23,688</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40,043</w:t>
            </w:r>
          </w:p>
        </w:tc>
      </w:tr>
      <w:tr>
        <w:trPr>
          <w:trHeight w:val="278"/>
        </w:trPr>
        <w:tc>
          <w:tcPr>
            <w:tcW w:w="4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2,732</w:t>
            </w:r>
          </w:p>
        </w:tc>
      </w:tr>
      <w:tr>
        <w:trPr>
          <w:trHeight w:val="264"/>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w:t>
            </w: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1,358</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intangible assets and liabilities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3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Classification in Consolidated Statements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2140" w:type="dxa"/>
            <w:vAlign w:val="bottom"/>
          </w:tcPr>
          <w:p>
            <w:pPr>
              <w:spacing w:after="0"/>
              <w:rPr>
                <w:sz w:val="17"/>
                <w:szCs w:val="17"/>
                <w:color w:val="auto"/>
              </w:rPr>
            </w:pPr>
          </w:p>
        </w:tc>
        <w:tc>
          <w:tcPr>
            <w:tcW w:w="3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Operations</w:t>
            </w:r>
          </w:p>
        </w:tc>
        <w:tc>
          <w:tcPr>
            <w:tcW w:w="220" w:type="dxa"/>
            <w:vAlign w:val="bottom"/>
          </w:tcPr>
          <w:p>
            <w:pPr>
              <w:spacing w:after="0"/>
              <w:rPr>
                <w:sz w:val="17"/>
                <w:szCs w:val="17"/>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140" w:type="dxa"/>
            <w:vAlign w:val="bottom"/>
            <w:tcBorders>
              <w:bottom w:val="single" w:sz="8" w:color="CCEEFF"/>
            </w:tcBorders>
          </w:tcPr>
          <w:p>
            <w:pPr>
              <w:spacing w:after="0"/>
              <w:rPr>
                <w:sz w:val="22"/>
                <w:szCs w:val="22"/>
                <w:color w:val="auto"/>
              </w:rPr>
            </w:pPr>
          </w:p>
        </w:tc>
        <w:tc>
          <w:tcPr>
            <w:tcW w:w="30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2,347</w:t>
            </w: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899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1,799</w:t>
            </w:r>
          </w:p>
        </w:tc>
      </w:tr>
      <w:tr>
        <w:trPr>
          <w:trHeight w:val="243"/>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4,146</w:t>
            </w:r>
          </w:p>
        </w:tc>
      </w:tr>
      <w:tr>
        <w:trPr>
          <w:trHeight w:val="20"/>
        </w:trPr>
        <w:tc>
          <w:tcPr>
            <w:tcW w:w="2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0" w:right="259" w:bottom="1440" w:gutter="0" w:footer="0" w:header="0"/>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0"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2018, estimated net annual amortization of intangibles is as follows: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4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5,521</w:t>
            </w:r>
          </w:p>
        </w:tc>
      </w:tr>
      <w:tr>
        <w:trPr>
          <w:trHeight w:val="210"/>
        </w:trPr>
        <w:tc>
          <w:tcPr>
            <w:tcW w:w="8980" w:type="dxa"/>
            <w:vAlign w:val="bottom"/>
          </w:tcPr>
          <w:p>
            <w:pPr>
              <w:ind w:left="20"/>
              <w:spacing w:after="0"/>
              <w:rPr>
                <w:sz w:val="20"/>
                <w:szCs w:val="20"/>
                <w:color w:val="auto"/>
              </w:rPr>
            </w:pPr>
            <w:r>
              <w:rPr>
                <w:rFonts w:ascii="Arial" w:cs="Arial" w:eastAsia="Arial" w:hAnsi="Arial"/>
                <w:sz w:val="14"/>
                <w:szCs w:val="14"/>
                <w:color w:val="auto"/>
              </w:rPr>
              <w:t>2019</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8,360</w:t>
            </w:r>
          </w:p>
        </w:tc>
      </w:tr>
      <w:tr>
        <w:trPr>
          <w:trHeight w:val="22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6,779</w:t>
            </w:r>
          </w:p>
        </w:tc>
      </w:tr>
      <w:tr>
        <w:trPr>
          <w:trHeight w:val="210"/>
        </w:trPr>
        <w:tc>
          <w:tcPr>
            <w:tcW w:w="8980" w:type="dxa"/>
            <w:vAlign w:val="bottom"/>
          </w:tcPr>
          <w:p>
            <w:pPr>
              <w:ind w:left="20"/>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5,142</w:t>
            </w:r>
          </w:p>
        </w:tc>
      </w:tr>
      <w:tr>
        <w:trPr>
          <w:trHeight w:val="222"/>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3,596</w:t>
            </w:r>
          </w:p>
        </w:tc>
      </w:tr>
      <w:tr>
        <w:trPr>
          <w:trHeight w:val="21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5,658</w:t>
            </w:r>
          </w:p>
        </w:tc>
      </w:tr>
      <w:tr>
        <w:trPr>
          <w:trHeight w:val="216"/>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35,056</w:t>
            </w:r>
          </w:p>
        </w:tc>
      </w:tr>
      <w:tr>
        <w:trPr>
          <w:trHeight w:val="20"/>
        </w:trPr>
        <w:tc>
          <w:tcPr>
            <w:tcW w:w="8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8. DEBT, NET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debt, net is summarized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Loans payable</w:t>
            </w:r>
          </w:p>
        </w:tc>
        <w:tc>
          <w:tcPr>
            <w:tcW w:w="30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FTAI Pride Credit Agreement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50,868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53,993</w:t>
            </w:r>
          </w:p>
        </w:tc>
      </w:tr>
      <w:tr>
        <w:trPr>
          <w:trHeight w:val="264"/>
        </w:trPr>
        <w:tc>
          <w:tcPr>
            <w:tcW w:w="6740" w:type="dxa"/>
            <w:vAlign w:val="bottom"/>
          </w:tcPr>
          <w:p>
            <w:pPr>
              <w:ind w:left="480"/>
              <w:spacing w:after="0"/>
              <w:rPr>
                <w:sz w:val="20"/>
                <w:szCs w:val="20"/>
                <w:color w:val="auto"/>
              </w:rPr>
            </w:pPr>
            <w:r>
              <w:rPr>
                <w:rFonts w:ascii="Arial" w:cs="Arial" w:eastAsia="Arial" w:hAnsi="Arial"/>
                <w:sz w:val="14"/>
                <w:szCs w:val="14"/>
                <w:color w:val="auto"/>
              </w:rPr>
              <w:t>CMQR Credit Agreement</w:t>
            </w:r>
          </w:p>
        </w:tc>
        <w:tc>
          <w:tcPr>
            <w:tcW w:w="3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20,400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22,800</w:t>
            </w: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Revolving Credit Facility</w:t>
            </w: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Jefferson Revolver</w:t>
            </w:r>
          </w:p>
        </w:tc>
        <w:tc>
          <w:tcPr>
            <w:tcW w:w="3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39,511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loans payable</w:t>
            </w:r>
          </w:p>
        </w:tc>
        <w:tc>
          <w:tcPr>
            <w:tcW w:w="3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135,779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76,793</w:t>
            </w:r>
          </w:p>
        </w:tc>
      </w:tr>
      <w:tr>
        <w:trPr>
          <w:trHeight w:val="26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Series 2012 Bonds</w:t>
            </w:r>
            <w:r>
              <w:rPr>
                <w:rFonts w:ascii="Arial" w:cs="Arial" w:eastAsia="Arial" w:hAnsi="Arial"/>
                <w:sz w:val="17"/>
                <w:szCs w:val="17"/>
                <w:color w:val="auto"/>
                <w:vertAlign w:val="superscript"/>
              </w:rPr>
              <w:t>(1)</w:t>
            </w: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44,373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44,404</w:t>
            </w:r>
          </w:p>
        </w:tc>
      </w:tr>
      <w:tr>
        <w:trPr>
          <w:trHeight w:val="264"/>
        </w:trPr>
        <w:tc>
          <w:tcPr>
            <w:tcW w:w="6740" w:type="dxa"/>
            <w:vAlign w:val="bottom"/>
          </w:tcPr>
          <w:p>
            <w:pPr>
              <w:ind w:left="480"/>
              <w:spacing w:after="0"/>
              <w:rPr>
                <w:sz w:val="20"/>
                <w:szCs w:val="20"/>
                <w:color w:val="auto"/>
              </w:rPr>
            </w:pPr>
            <w:r>
              <w:rPr>
                <w:rFonts w:ascii="Arial" w:cs="Arial" w:eastAsia="Arial" w:hAnsi="Arial"/>
                <w:sz w:val="14"/>
                <w:szCs w:val="14"/>
                <w:color w:val="auto"/>
              </w:rPr>
              <w:t>Series 2016 Bonds</w:t>
            </w:r>
          </w:p>
        </w:tc>
        <w:tc>
          <w:tcPr>
            <w:tcW w:w="3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144,200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6"/>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Senior Notes</w:t>
            </w:r>
            <w:r>
              <w:rPr>
                <w:rFonts w:ascii="Arial" w:cs="Arial" w:eastAsia="Arial" w:hAnsi="Arial"/>
                <w:sz w:val="17"/>
                <w:szCs w:val="17"/>
                <w:color w:val="auto"/>
                <w:vertAlign w:val="superscript"/>
              </w:rPr>
              <w:t>(2)</w:t>
            </w:r>
          </w:p>
        </w:tc>
        <w:tc>
          <w:tcPr>
            <w:tcW w:w="3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549,344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449,290</w:t>
            </w:r>
          </w:p>
        </w:tc>
      </w:tr>
      <w:tr>
        <w:trPr>
          <w:trHeight w:val="244"/>
        </w:trPr>
        <w:tc>
          <w:tcPr>
            <w:tcW w:w="6740" w:type="dxa"/>
            <w:vAlign w:val="bottom"/>
          </w:tcPr>
          <w:p>
            <w:pPr>
              <w:ind w:left="480"/>
              <w:spacing w:after="0"/>
              <w:rPr>
                <w:sz w:val="20"/>
                <w:szCs w:val="20"/>
                <w:color w:val="auto"/>
              </w:rPr>
            </w:pPr>
            <w:r>
              <w:rPr>
                <w:rFonts w:ascii="Arial" w:cs="Arial" w:eastAsia="Arial" w:hAnsi="Arial"/>
                <w:sz w:val="14"/>
                <w:szCs w:val="14"/>
                <w:color w:val="auto"/>
              </w:rPr>
              <w:t>Total bonds payable</w:t>
            </w:r>
          </w:p>
        </w:tc>
        <w:tc>
          <w:tcPr>
            <w:tcW w:w="30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737,917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637,894</w:t>
            </w:r>
          </w:p>
        </w:tc>
      </w:tr>
      <w:tr>
        <w:trPr>
          <w:trHeight w:val="276"/>
        </w:trPr>
        <w:tc>
          <w:tcPr>
            <w:tcW w:w="67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r>
      <w:tr>
        <w:trPr>
          <w:trHeight w:val="244"/>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873,696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714,687</w:t>
            </w: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Less: Debt issuance costs</w:t>
            </w:r>
          </w:p>
        </w:tc>
        <w:tc>
          <w:tcPr>
            <w:tcW w:w="3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(11,423)</w:t>
            </w:r>
          </w:p>
        </w:tc>
      </w:tr>
      <w:tr>
        <w:trPr>
          <w:trHeight w:val="28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debt, net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862,746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703,264</w:t>
            </w: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57"/>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7,795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7,795</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480" w:hanging="148"/>
        <w:spacing w:after="0"/>
        <w:tabs>
          <w:tab w:leader="none" w:pos="48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premium of $1,608 and $1,639 at June 30, 2018 and December 31, 2017, respectively.</w:t>
      </w:r>
    </w:p>
    <w:p>
      <w:pPr>
        <w:spacing w:after="0" w:line="97" w:lineRule="exact"/>
        <w:rPr>
          <w:rFonts w:ascii="Arial" w:cs="Arial" w:eastAsia="Arial" w:hAnsi="Arial"/>
          <w:sz w:val="18"/>
          <w:szCs w:val="18"/>
          <w:color w:val="auto"/>
          <w:vertAlign w:val="superscript"/>
        </w:rPr>
      </w:pPr>
    </w:p>
    <w:p>
      <w:pPr>
        <w:ind w:left="500" w:hanging="168"/>
        <w:spacing w:after="0" w:line="218" w:lineRule="auto"/>
        <w:tabs>
          <w:tab w:leader="none" w:pos="495"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unamortized discount of $5,843 and $6,506 at June 30, 2018 and December 31, 2017, respectively and an unamortized premium of $5,187 and $5,796 at June 30, 2018 and December 31, 2017, respectively.</w:t>
      </w:r>
    </w:p>
    <w:p>
      <w:pPr>
        <w:spacing w:after="0" w:line="7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15, 2014, FTAI Pride, LLC, (“FTAI Pride”), our subsidiary, entered into a credit agreement (the “FTAI Pride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in September 2019, and can be prepaid without penalty at any time. The FTAI Pride Credit Agreement is secured on a first priority basis by the offshore construction vessel. Borrowings under the FTAI Pride Credit Agreement bear interest at the LIBOR rate plus a spread of 4.50%.</w:t>
      </w:r>
    </w:p>
    <w:p>
      <w:pPr>
        <w:spacing w:after="0" w:line="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June 30, 2017, CMQR amended its credit agreement (the “CMQR Credit Agreement”) with a financial institution for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line of credit to increase the aggregate amount from $20,000 to $25,000 and to extend the maturity date to September 18, 2019.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June 30, 2018 and December 31, 2017 was 4.46% and 3.95%, respectively.</w:t>
      </w:r>
    </w:p>
    <w:p>
      <w:pPr>
        <w:sectPr>
          <w:pgSz w:w="11900" w:h="16838" w:orient="portrait"/>
          <w:cols w:equalWidth="0" w:num="1">
            <w:col w:w="11420"/>
          </w:cols>
          <w:pgMar w:left="240" w:top="121" w:right="2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6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CMQR Credit Agreement is also indirectly supported by the Company as sponsor. In the event of a default under the credit agreement, CMQR’s lenders can cause CMQR to call up to a total of $29,000 in capital from the Company, and in the event of CMQR’s bankruptcy, the lenders can put the debt back to the Company. The CMQR Credit Agreement contains affirmative and negative covenants which limit certain actions of CMQR.</w:t>
      </w:r>
    </w:p>
    <w:p>
      <w:pPr>
        <w:spacing w:after="0" w:line="127"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497F"/>
        </w:rPr>
        <w:t>—</w:t>
      </w:r>
      <w:r>
        <w:rPr>
          <w:rFonts w:ascii="Arial" w:cs="Arial" w:eastAsia="Arial" w:hAnsi="Arial"/>
          <w:sz w:val="16"/>
          <w:szCs w:val="16"/>
          <w:color w:val="000000"/>
        </w:rPr>
        <w:t>On August 1, 2012, Jefferson County Development Corporation issued $46,875 of tax-exempt industrial bonds (“Series 2012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148"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In connection with our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4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Series 2012 Bond agreement contains a financial covenant requiring a subsidiary of ours to maintain a long-term debt service coverage ratio, as defined in the agreement, of 1.25 to 1, in each fiscal year, beginning with December 31, 2014.</w:t>
      </w:r>
    </w:p>
    <w:p>
      <w:pPr>
        <w:spacing w:after="0" w:line="12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497F"/>
        </w:rPr>
        <w:t>—</w:t>
      </w:r>
      <w:r>
        <w:rPr>
          <w:rFonts w:ascii="Arial" w:cs="Arial" w:eastAsia="Arial" w:hAnsi="Arial"/>
          <w:sz w:val="16"/>
          <w:szCs w:val="16"/>
          <w:color w:val="000000"/>
        </w:rPr>
        <w:t>On March 7, 2016, the Port of Beaumont Navigation District of Jefferson County, Texas (the “District”) issued $144,200 of Dock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148"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transaction described above did not qualify for sale-leaseback accounting due to our continuing involvement resulting from the mandatory tender feature and, as a result, the leases were classified as a financing transaction in our consolidated financial statements. Under the financing method, the assets constructed or to be constructed will remain on the consolidated balance sheet and the net proceeds received by us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149"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Under a Capital Call Agreement, we have agreed to make funds available to Jefferson Holdings in order to satisfy our obligation under the Standby Bond Purchase Agreement. The Capital Call Agreement contains certain covenants, including a negative lien covenant regarding Aviation Assets, as defined therein, as well as maintenance of a minimum total asset value of Aviation Assets and minimum total equity. In connection with the above, and related to the Series 2016 Bonds, a subsidiary of ours and an affiliate of our Manager entered into a Fee and Support Agreement with FTAI Energy Partners LLC and certain of its subsidiaries. The Fee and Support Agreement provides that both such subsidiary of ours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155"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497F"/>
        </w:rPr>
        <w:t>—</w:t>
      </w:r>
      <w:r>
        <w:rPr>
          <w:rFonts w:ascii="Arial" w:cs="Arial" w:eastAsia="Arial" w:hAnsi="Arial"/>
          <w:sz w:val="16"/>
          <w:szCs w:val="16"/>
          <w:color w:val="000000"/>
        </w:rPr>
        <w:t>On January 23, 2017, we entered into an unsecured credit agreement under which we, through our wholly owned subsidiaries, including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Partnership and WWTAI Finance Ltd., an exempted company incorporated with limited liability under the laws of Bermuda, borrowed $100,000 in term loans denominated in U.S. dollars (the “Term Loans”). The proceeds of the Term Loan are to be used for general corporate purposes, including future acquisitions by us and our subsidiaries of certain aviation and infrastructure assets. The Term Loans bear interest at the Base Rate (determined in accordance with the agreement) plus 2.75% per annum, or at the Adjusted Eurodollar Rate (determined in accordance with the agreement) plus 3.75% per annum, if we choose to make Eurodollar Rate borrowings. The Term Loans mature on January 22, 2018, subject to our right to elect a one year extension, and require amortization payments in the amount of $250 on the last day of each fiscal quarter beginning on March 31, 2017. On March 15, 2017, all amounts outstanding under the Term Loan were repaid in full and the agreement was terminated. Accordingly, during the six months ended June 30, 2017, we recorded a loss on extinguishment of debt of $2,456.</w:t>
      </w:r>
    </w:p>
    <w:p>
      <w:pPr>
        <w:spacing w:after="0" w:line="13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b w:val="1"/>
          <w:bCs w:val="1"/>
          <w:i w:val="1"/>
          <w:iCs w:val="1"/>
          <w:color w:val="00497F"/>
        </w:rPr>
        <w:t>Senior Notes</w:t>
      </w:r>
      <w:r>
        <w:rPr>
          <w:rFonts w:ascii="Arial" w:cs="Arial" w:eastAsia="Arial" w:hAnsi="Arial"/>
          <w:sz w:val="16"/>
          <w:szCs w:val="16"/>
          <w:color w:val="00497F"/>
        </w:rPr>
        <w:t>—</w:t>
      </w:r>
      <w:r>
        <w:rPr>
          <w:rFonts w:ascii="Arial" w:cs="Arial" w:eastAsia="Arial" w:hAnsi="Arial"/>
          <w:sz w:val="16"/>
          <w:szCs w:val="16"/>
          <w:color w:val="000000"/>
        </w:rPr>
        <w:t>On March 15, 2017, we issued $250,000 aggregate principal amount of 6.75% senior unsecured notes due 2022 (the “Senior Notes”).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Senior Notes were issued pursuant to an indenture, dated as of March 15, 2017, between us and U.S. Bank National Association, as trustee. On August 23, 2017, we issued an additional $100,000 of Senior Notes. The additional notes were issued at an offering price of 102.75% of the principal amount plus accrued interest from March 15, 2017 to the date of issuance. On December 20, 2017, we issued an additional $100,000 of Senior Notes. The additional notes issued on December 20, 2017 were issued at an offering price of 103.25% of the principal amount plus accrued interest from September 15, 2017. On May 31, 2018, we issued an additional $100,000 of Senior Notes at an offering price of 100.00% of the principal amount plus accrued interest from March 15, 2018.</w:t>
      </w:r>
    </w:p>
    <w:p>
      <w:pPr>
        <w:spacing w:after="0" w:line="148"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Senior Notes bear interest at a rate of 6.75% per annum, payable semi-annually in arrears on March 15 and September 15 of each year, commencing on September 15, 2017, to persons who are registered holders of the Senior Notes on the immediately preceding March 1 and September 1, respectively.</w:t>
      </w:r>
    </w:p>
    <w:p>
      <w:pPr>
        <w:spacing w:after="0" w:line="142"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The Senior Notes mature on March 15, 2022. Prior to March 15, 2020, we may redeem some or all of the Senior Notes at a redemption price equal to 100.00% of the principal amount of the Senior Notes redeemed, plus accrued and unpaid interest, if any, to, but not including, the applicable redemption date, plus a “make-whole” premium. On or after March 15, 2020, we may redeem some or all of the Senior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we may at any time redeem up to 40% of the aggregate principal amount of the Senior Notes using net proceeds from certain equity offerings at a redemption price equal to 106.75% of the principal amount of the Senior Notes redeemed, plus accrued and unpaid interest, if any, to, but not including, the applicable redemption date.</w:t>
      </w:r>
    </w:p>
    <w:p>
      <w:pPr>
        <w:spacing w:after="0" w:line="34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We used a portion of the proceeds to fully repay all outstanding indebtedness under our Term Loan in the amount of $100,000, payment of fees related to the issuance of Senior Notes, and to fund the purchase of additional investments. We intend to use the remainder of the proceeds for general corporate purposes, including the funding of future investments.</w:t>
      </w:r>
    </w:p>
    <w:p>
      <w:pPr>
        <w:spacing w:after="0" w:line="127"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b w:val="1"/>
          <w:bCs w:val="1"/>
          <w:i w:val="1"/>
          <w:iCs w:val="1"/>
          <w:color w:val="00497F"/>
        </w:rPr>
        <w:t>Revolving Credit Facility</w:t>
      </w:r>
      <w:r>
        <w:rPr>
          <w:rFonts w:ascii="Arial" w:cs="Arial" w:eastAsia="Arial" w:hAnsi="Arial"/>
          <w:sz w:val="16"/>
          <w:szCs w:val="16"/>
          <w:color w:val="00497F"/>
        </w:rPr>
        <w:t>—</w:t>
      </w:r>
      <w:r>
        <w:rPr>
          <w:rFonts w:ascii="Arial" w:cs="Arial" w:eastAsia="Arial" w:hAnsi="Arial"/>
          <w:sz w:val="16"/>
          <w:szCs w:val="16"/>
          <w:color w:val="000000"/>
        </w:rPr>
        <w:t>On June 16, 2017, we entered into a revolving credit facility (the “Revolving Credit Facility”) with certain lenders.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Credit Facility provides for revolving loans in the aggregate principal amount of up to $75,000, of which $25,000 may be utilized for the issuance of letters of credit. The proceeds drawn on this facility will be used for working capital and general corporate purposes, including, without limitation, permitted acquisitions and other investments. The Revolving Credit Facility is secured by the capital stock of certain direct subsidiaries of ours as defined in the related credit agreement.</w:t>
      </w:r>
    </w:p>
    <w:p>
      <w:pPr>
        <w:spacing w:after="0" w:line="146"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Borrowings outstanding under the Revolving Credit Facility bear interest at the Adjusted Eurodollar Rate (determined in accordance with the credit agreement) plus 3.00% per annum, if we choose to make Eurodollar Rate borrowings, or at the Base Rate (determined in accordance with the credit agreement) plus 2.00% per annum. We will also be required to pay a quarterly commitment fee at a rate per annum equal to 0.50% on the average daily unused portion of the Revolving Credit Facility, as well as customary letter of credit fees and agency fees.</w:t>
      </w:r>
    </w:p>
    <w:p>
      <w:pPr>
        <w:spacing w:after="0" w:line="14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Revolving Credit Facility will mature, and commitments in respect of the Revolving Credit Facility will terminate, on June 16, 2020. Any amount borrowed under the Revolving Credit Facility may be voluntarily prepaid without penalty or premium, other than customary breakage costs related to prepayments of Eurodollar Rate borrowings.</w:t>
      </w:r>
    </w:p>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Revolving Credit Facility includes financial covenants requiring the maintenance of (1) a minimum ratio of the appraised value of certain aviation assets to the aggregate commitments under the revolving credit facility of 3.00 to 1.00 and (2) a maximum ratio of debt to total equity (before reduction for minority interests) for us and our subsidiaries of 1.65 to 1.00 per the terms of the credit agreement.</w:t>
      </w:r>
    </w:p>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April 2018 we drew down on the Revolving Credit Facility and our outstanding borrowings as of June 30, 2018 were $25,000.</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0" w:right="239" w:bottom="1440" w:gutter="0" w:footer="0" w:header="0"/>
        </w:sectPr>
      </w:pPr>
    </w:p>
    <w:bookmarkStart w:id="23" w:name="page24"/>
    <w:bookmarkEnd w:id="23"/>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35"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b w:val="1"/>
          <w:bCs w:val="1"/>
          <w:i w:val="1"/>
          <w:iCs w:val="1"/>
          <w:color w:val="00497F"/>
        </w:rPr>
        <w:t>Jefferson Revolving Credit Facility</w:t>
      </w:r>
      <w:r>
        <w:rPr>
          <w:rFonts w:ascii="Arial" w:cs="Arial" w:eastAsia="Arial" w:hAnsi="Arial"/>
          <w:sz w:val="16"/>
          <w:szCs w:val="16"/>
          <w:color w:val="00497F"/>
        </w:rPr>
        <w:t>—</w:t>
      </w:r>
      <w:r>
        <w:rPr>
          <w:rFonts w:ascii="Arial" w:cs="Arial" w:eastAsia="Arial" w:hAnsi="Arial"/>
          <w:sz w:val="16"/>
          <w:szCs w:val="16"/>
          <w:color w:val="000000"/>
        </w:rPr>
        <w:t>On March 7, 2018, a subsidiary of ours entered into a revolving credit facility (the “Jefferson Revolver”) with certain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lenders. The Jefferson Revolver provides for revolving loans in the aggregate principal amount of up to $50,000. The proceeds drawn on this facility will be used for working capital and general purposes. The Jefferson Revolver is secured by the capital stock of certain of our direct subsidiaries as defined in the related credit agreement.</w:t>
      </w:r>
    </w:p>
    <w:p>
      <w:pPr>
        <w:spacing w:after="0" w:line="15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Borrowings outstanding under the Jefferson Revolver bear interest at the Base Rate (determined in accordance with the credit agreement) plus 1.50% per annum, or if we choose to make Eurodollar Rate borrowings, at the Base Rate (determined in accordance with the credit agreement) plus 2.50% per annum. We will also be required to pay a quarterly commitment fee at a rate per annum equal to 0.50% on the average daily unused portion of the Jefferson Revolver, as well as customary letter of credit fees and agency fees.</w:t>
      </w:r>
    </w:p>
    <w:p>
      <w:pPr>
        <w:spacing w:after="0" w:line="16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Jefferson Revolver will mature, and commitments in respect to the Jefferson Revolver will terminate on March 7, 2021. Any amount borrowed under the Jefferson Revolver may be voluntarily prepaid without penalty or premium, other than customary breakage costs related to prepayments of Eurodollar Rate borrowings.</w:t>
      </w:r>
    </w:p>
    <w:p>
      <w:pPr>
        <w:spacing w:after="0" w:line="161"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Jefferson Revolver includes financial covenants requiring the maintenance of a maximum ratio of debt to total equity (before reduction for minority interests) for us and our subsidiaries of 1.65 to 1.00.</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2018, we had $39,511 in borrowings outstanding under the Jefferson Revolver.</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were in compliance with all debt covenants as of June 30, 2018.</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87"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4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141"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6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following tables set forth our financial assets measured at fair value on a recurring basis as of June 30, 2018 and December 31, 2017, by level within the fair value hierarchy. Assets measured at fair value are classified in their entirety based on the lowest level of input that is significant to their fair value measurement.</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16"/>
                <w:szCs w:val="16"/>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76"/>
        </w:trPr>
        <w:tc>
          <w:tcPr>
            <w:tcW w:w="25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b w:val="1"/>
                <w:bCs w:val="1"/>
                <w:color w:val="auto"/>
              </w:rPr>
              <w:t>40,319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40,319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33,526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33,526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Derivative assets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840</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522"/>
        </w:trPr>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as of</w:t>
            </w:r>
          </w:p>
        </w:tc>
        <w:tc>
          <w:tcPr>
            <w:tcW w:w="160" w:type="dxa"/>
            <w:vAlign w:val="bottom"/>
          </w:tcPr>
          <w:p>
            <w:pPr>
              <w:spacing w:after="0"/>
              <w:rPr>
                <w:sz w:val="24"/>
                <w:szCs w:val="24"/>
                <w:color w:val="auto"/>
              </w:rPr>
            </w:pPr>
          </w:p>
        </w:tc>
        <w:tc>
          <w:tcPr>
            <w:tcW w:w="42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6"/>
        </w:trPr>
        <w:tc>
          <w:tcPr>
            <w:tcW w:w="25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4"/>
        </w:trPr>
        <w:tc>
          <w:tcPr>
            <w:tcW w:w="2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59,400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59,400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6"/>
        </w:trPr>
        <w:tc>
          <w:tcPr>
            <w:tcW w:w="2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33,406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4"/>
        </w:trPr>
        <w:tc>
          <w:tcPr>
            <w:tcW w:w="2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Derivative assets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Income</w:t>
            </w: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2018 and December 31, 2017, we had no liabilities that were measured at fair value on a recurring basis.</w:t>
      </w:r>
    </w:p>
    <w:p>
      <w:pPr>
        <w:spacing w:after="0" w:line="16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14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our bonds and notes payable reported as debt, net in the Consolidated Balance Sheets are presented in the table below:</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7"/>
                <w:szCs w:val="17"/>
                <w:color w:val="auto"/>
              </w:rPr>
            </w:pPr>
          </w:p>
        </w:tc>
        <w:tc>
          <w:tcPr>
            <w:tcW w:w="1880" w:type="dxa"/>
            <w:vAlign w:val="bottom"/>
          </w:tcPr>
          <w:p>
            <w:pPr>
              <w:jc w:val="right"/>
              <w:ind w:right="34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2012 Bonds</w:t>
            </w:r>
            <w:r>
              <w:rPr>
                <w:rFonts w:ascii="Arial" w:cs="Arial" w:eastAsia="Arial" w:hAnsi="Arial"/>
                <w:sz w:val="17"/>
                <w:szCs w:val="17"/>
                <w:color w:val="auto"/>
                <w:vertAlign w:val="superscript"/>
              </w:rPr>
              <w:t>(1)</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44,682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45,691</w:t>
            </w:r>
          </w:p>
        </w:tc>
      </w:tr>
      <w:tr>
        <w:trPr>
          <w:trHeight w:val="270"/>
        </w:trPr>
        <w:tc>
          <w:tcPr>
            <w:tcW w:w="6320" w:type="dxa"/>
            <w:vAlign w:val="bottom"/>
          </w:tcPr>
          <w:p>
            <w:pPr>
              <w:ind w:left="20"/>
              <w:spacing w:after="0"/>
              <w:rPr>
                <w:sz w:val="20"/>
                <w:szCs w:val="20"/>
                <w:color w:val="auto"/>
              </w:rPr>
            </w:pPr>
            <w:r>
              <w:rPr>
                <w:rFonts w:ascii="Arial" w:cs="Arial" w:eastAsia="Arial" w:hAnsi="Arial"/>
                <w:sz w:val="14"/>
                <w:szCs w:val="14"/>
                <w:color w:val="auto"/>
              </w:rPr>
              <w:t>Series 2016 Bonds</w:t>
            </w:r>
            <w:r>
              <w:rPr>
                <w:rFonts w:ascii="Arial" w:cs="Arial" w:eastAsia="Arial" w:hAnsi="Arial"/>
                <w:sz w:val="17"/>
                <w:szCs w:val="17"/>
                <w:color w:val="auto"/>
                <w:vertAlign w:val="superscript"/>
              </w:rPr>
              <w:t>(1)</w:t>
            </w:r>
          </w:p>
        </w:tc>
        <w:tc>
          <w:tcPr>
            <w:tcW w:w="340" w:type="dxa"/>
            <w:vAlign w:val="bottom"/>
          </w:tcPr>
          <w:p>
            <w:pPr>
              <w:spacing w:after="0"/>
              <w:rPr>
                <w:sz w:val="23"/>
                <w:szCs w:val="23"/>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b w:val="1"/>
                <w:bCs w:val="1"/>
                <w:color w:val="auto"/>
              </w:rPr>
              <w:t>149,371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150,329</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w:t>
            </w:r>
          </w:p>
        </w:tc>
        <w:tc>
          <w:tcPr>
            <w:tcW w:w="3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564,828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449,290</w:t>
            </w:r>
          </w:p>
        </w:tc>
      </w:tr>
    </w:tbl>
    <w:p>
      <w:pPr>
        <w:spacing w:after="0" w:line="15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90" w:lineRule="exact"/>
        <w:rPr>
          <w:sz w:val="20"/>
          <w:szCs w:val="20"/>
          <w:color w:val="auto"/>
        </w:rPr>
      </w:pPr>
    </w:p>
    <w:p>
      <w:pPr>
        <w:ind w:left="480" w:hanging="148"/>
        <w:spacing w:after="0"/>
        <w:tabs>
          <w:tab w:leader="none" w:pos="4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Fair value is based upon market prices for similar municipal securities</w:t>
      </w:r>
    </w:p>
    <w:p>
      <w:pPr>
        <w:spacing w:after="0" w:line="149"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The fair value of all other items reported as debt, net in the Consolidated Balance Sheet approximate their carrying values due to their bearing market rates of interest, and are classified as Level 2 within the fair value hierarchy.</w:t>
      </w:r>
    </w:p>
    <w:p>
      <w:pPr>
        <w:spacing w:after="0" w:line="142"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We measure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underlying businesses and the leasing and eventual sale of assets.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ind w:right="364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REVENUES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revenue are as follows: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Three Months Ended June 30, 2018</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Offshore</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6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33,625</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1,868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35,493</w:t>
            </w:r>
          </w:p>
        </w:tc>
      </w:tr>
      <w:tr>
        <w:trPr>
          <w:trHeight w:val="276"/>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21,688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21,688</w:t>
            </w:r>
          </w:p>
        </w:tc>
      </w:tr>
      <w:tr>
        <w:trPr>
          <w:trHeight w:val="264"/>
        </w:trPr>
        <w:tc>
          <w:tcPr>
            <w:tcW w:w="2580" w:type="dxa"/>
            <w:vAlign w:val="bottom"/>
          </w:tcPr>
          <w:p>
            <w:pPr>
              <w:ind w:left="36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612</w:t>
            </w:r>
          </w:p>
        </w:tc>
      </w:tr>
      <w:tr>
        <w:trPr>
          <w:trHeight w:val="276"/>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1,537</w:t>
            </w:r>
          </w:p>
        </w:tc>
      </w:tr>
      <w:tr>
        <w:trPr>
          <w:trHeight w:val="156"/>
        </w:trPr>
        <w:tc>
          <w:tcPr>
            <w:tcW w:w="2580" w:type="dxa"/>
            <w:vAlign w:val="bottom"/>
          </w:tcPr>
          <w:p>
            <w:pPr>
              <w:ind w:left="36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6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56,118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3,187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59,330</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6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417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417</w:t>
            </w:r>
          </w:p>
        </w:tc>
      </w:tr>
      <w:tr>
        <w:trPr>
          <w:trHeight w:val="276"/>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8,788</w:t>
            </w:r>
          </w:p>
        </w:tc>
      </w:tr>
      <w:tr>
        <w:trPr>
          <w:trHeight w:val="264"/>
        </w:trPr>
        <w:tc>
          <w:tcPr>
            <w:tcW w:w="2580" w:type="dxa"/>
            <w:vAlign w:val="bottom"/>
          </w:tcPr>
          <w:p>
            <w:pPr>
              <w:ind w:left="36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2,550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2,550</w:t>
            </w:r>
          </w:p>
        </w:tc>
      </w:tr>
      <w:tr>
        <w:trPr>
          <w:trHeight w:val="270"/>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894</w:t>
            </w:r>
          </w:p>
        </w:tc>
      </w:tr>
      <w:tr>
        <w:trPr>
          <w:trHeight w:val="250"/>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2,550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8,788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12,649</w:t>
            </w: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56,118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71,979</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42"/>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Three Months Ended June 30, 2017</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Offshore</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Terminal</w:t>
            </w:r>
          </w:p>
        </w:tc>
        <w:tc>
          <w:tcPr>
            <w:tcW w:w="16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6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20,001</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22,885</w:t>
            </w:r>
          </w:p>
        </w:tc>
      </w:tr>
      <w:tr>
        <w:trPr>
          <w:trHeight w:val="276"/>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16,576</w:t>
            </w:r>
          </w:p>
        </w:tc>
      </w:tr>
      <w:tr>
        <w:trPr>
          <w:trHeight w:val="264"/>
        </w:trPr>
        <w:tc>
          <w:tcPr>
            <w:tcW w:w="2580" w:type="dxa"/>
            <w:vAlign w:val="bottom"/>
          </w:tcPr>
          <w:p>
            <w:pPr>
              <w:ind w:left="36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385</w:t>
            </w:r>
          </w:p>
        </w:tc>
      </w:tr>
      <w:tr>
        <w:trPr>
          <w:trHeight w:val="276"/>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537</w:t>
            </w:r>
          </w:p>
        </w:tc>
      </w:tr>
      <w:tr>
        <w:trPr>
          <w:trHeight w:val="156"/>
        </w:trPr>
        <w:tc>
          <w:tcPr>
            <w:tcW w:w="2580" w:type="dxa"/>
            <w:vAlign w:val="bottom"/>
          </w:tcPr>
          <w:p>
            <w:pPr>
              <w:ind w:left="36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6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36,577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40,383</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6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123</w:t>
            </w:r>
          </w:p>
        </w:tc>
      </w:tr>
      <w:tr>
        <w:trPr>
          <w:trHeight w:val="276"/>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7,662</w:t>
            </w:r>
          </w:p>
        </w:tc>
      </w:tr>
      <w:tr>
        <w:trPr>
          <w:trHeight w:val="264"/>
        </w:trPr>
        <w:tc>
          <w:tcPr>
            <w:tcW w:w="2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Terminal services revenues</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3,026</w:t>
            </w:r>
          </w:p>
        </w:tc>
      </w:tr>
      <w:tr>
        <w:trPr>
          <w:trHeight w:val="256"/>
        </w:trPr>
        <w:tc>
          <w:tcPr>
            <w:tcW w:w="258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10,811</w:t>
            </w:r>
          </w:p>
        </w:tc>
      </w:tr>
      <w:tr>
        <w:trPr>
          <w:trHeight w:val="23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36,577</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3,781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51,194</w:t>
            </w: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240" w:top="121" w:right="419" w:bottom="1440" w:gutter="0" w:footer="0" w:header="0"/>
        </w:sectPr>
      </w:pPr>
    </w:p>
    <w:bookmarkStart w:id="26" w:name="page27"/>
    <w:bookmarkEnd w:id="26"/>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Six Months Ended June 30, 2018</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62,933</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4,117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67,050</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45,115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45,115</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732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979</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1,970</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108,853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6,211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115,114</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799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799</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19,835</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3,803</w:t>
            </w:r>
          </w:p>
        </w:tc>
      </w:tr>
      <w:tr>
        <w:trPr>
          <w:trHeight w:val="270"/>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1,272</w:t>
            </w:r>
          </w:p>
        </w:tc>
      </w:tr>
      <w:tr>
        <w:trPr>
          <w:trHeight w:val="250"/>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19,835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2,071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25,709</w:t>
            </w: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108,853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140,823</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0"/>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Six Months Ended June 30, 2017</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37,636</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3,495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41,131</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29,245</w:t>
            </w: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771</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624</w:t>
            </w:r>
          </w:p>
        </w:tc>
      </w:tr>
      <w:tr>
        <w:trPr>
          <w:trHeight w:val="156"/>
        </w:trPr>
        <w:tc>
          <w:tcPr>
            <w:tcW w:w="2580" w:type="dxa"/>
            <w:vAlign w:val="bottom"/>
          </w:tcPr>
          <w:p>
            <w:pPr>
              <w:ind w:left="380"/>
              <w:spacing w:after="0" w:line="156"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96"/>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66,883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71,771</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4"/>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139</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16,065</w:t>
            </w:r>
          </w:p>
        </w:tc>
      </w:tr>
      <w:tr>
        <w:trPr>
          <w:trHeight w:val="264"/>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7,892</w:t>
            </w:r>
          </w:p>
        </w:tc>
      </w:tr>
      <w:tr>
        <w:trPr>
          <w:trHeight w:val="256"/>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7,892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16,065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24,096</w:t>
            </w:r>
          </w:p>
        </w:tc>
      </w:tr>
      <w:tr>
        <w:trPr>
          <w:trHeight w:val="237"/>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66,883</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16,065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95,867</w:t>
            </w: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June 30, 2018:</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78,787</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2019</w:t>
            </w:r>
          </w:p>
        </w:tc>
        <w:tc>
          <w:tcPr>
            <w:tcW w:w="6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106,395</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69,944</w:t>
            </w:r>
          </w:p>
        </w:tc>
      </w:tr>
      <w:tr>
        <w:trPr>
          <w:trHeight w:val="210"/>
        </w:trPr>
        <w:tc>
          <w:tcPr>
            <w:tcW w:w="8880" w:type="dxa"/>
            <w:vAlign w:val="bottom"/>
          </w:tcPr>
          <w:p>
            <w:pPr>
              <w:ind w:left="20"/>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8"/>
                <w:szCs w:val="18"/>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44,522</w:t>
            </w:r>
          </w:p>
        </w:tc>
      </w:tr>
      <w:tr>
        <w:trPr>
          <w:trHeight w:val="222"/>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25,023</w:t>
            </w:r>
          </w:p>
        </w:tc>
      </w:tr>
      <w:tr>
        <w:trPr>
          <w:trHeight w:val="210"/>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16,155</w:t>
            </w:r>
          </w:p>
        </w:tc>
      </w:tr>
      <w:tr>
        <w:trPr>
          <w:trHeight w:val="216"/>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340,826</w:t>
            </w:r>
          </w:p>
        </w:tc>
      </w:tr>
      <w:tr>
        <w:trPr>
          <w:trHeight w:val="20"/>
        </w:trPr>
        <w:tc>
          <w:tcPr>
            <w:tcW w:w="8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EQUITY-BASED COMPENSATION</w:t>
      </w:r>
    </w:p>
    <w:p>
      <w:pPr>
        <w:spacing w:after="0" w:line="18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w:t>
      </w:r>
    </w:p>
    <w:p>
      <w:pPr>
        <w:spacing w:after="0" w:line="14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As of June 30, 2018, the Incentive Plan provides for the issuance of up to 30 million shares. We account for equity-based compensation expense in accordance with Accounting Standards Codification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328"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282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900" w:type="dxa"/>
            <w:vAlign w:val="bottom"/>
          </w:tcPr>
          <w:p>
            <w:pPr>
              <w:jc w:val="center"/>
              <w:ind w:right="28"/>
              <w:spacing w:after="0"/>
              <w:rPr>
                <w:sz w:val="20"/>
                <w:szCs w:val="20"/>
                <w:color w:val="auto"/>
              </w:rPr>
            </w:pPr>
            <w:r>
              <w:rPr>
                <w:rFonts w:ascii="Arial" w:cs="Arial" w:eastAsia="Arial" w:hAnsi="Arial"/>
                <w:sz w:val="14"/>
                <w:szCs w:val="14"/>
                <w:b w:val="1"/>
                <w:bCs w:val="1"/>
                <w:color w:val="auto"/>
              </w:rPr>
              <w:t>Remaining Expense To Be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Recognized, If All Vesting</w:t>
            </w:r>
          </w:p>
        </w:tc>
        <w:tc>
          <w:tcPr>
            <w:tcW w:w="180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Conditions Are Met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c>
          <w:tcPr>
            <w:tcW w:w="0" w:type="dxa"/>
            <w:vAlign w:val="bottom"/>
          </w:tcPr>
          <w:p>
            <w:pPr>
              <w:spacing w:after="0"/>
              <w:rPr>
                <w:sz w:val="1"/>
                <w:szCs w:val="1"/>
                <w:color w:val="auto"/>
              </w:rPr>
            </w:pPr>
          </w:p>
        </w:tc>
      </w:tr>
      <w:tr>
        <w:trPr>
          <w:trHeight w:val="256"/>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64"/>
        </w:trPr>
        <w:tc>
          <w:tcPr>
            <w:tcW w:w="1500" w:type="dxa"/>
            <w:vAlign w:val="bottom"/>
          </w:tcPr>
          <w:p>
            <w:pPr>
              <w:ind w:left="20"/>
              <w:spacing w:after="0"/>
              <w:rPr>
                <w:sz w:val="20"/>
                <w:szCs w:val="20"/>
                <w:color w:val="auto"/>
              </w:rPr>
            </w:pPr>
            <w:r>
              <w:rPr>
                <w:rFonts w:ascii="Arial" w:cs="Arial" w:eastAsia="Arial" w:hAnsi="Arial"/>
                <w:sz w:val="14"/>
                <w:szCs w:val="14"/>
                <w:color w:val="auto"/>
              </w:rPr>
              <w:t>Restricted Shares</w:t>
            </w:r>
          </w:p>
        </w:tc>
        <w:tc>
          <w:tcPr>
            <w:tcW w:w="88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jc w:val="right"/>
              <w:ind w:right="28"/>
              <w:spacing w:after="0"/>
              <w:rPr>
                <w:sz w:val="20"/>
                <w:szCs w:val="20"/>
                <w:color w:val="auto"/>
              </w:rPr>
            </w:pPr>
            <w:r>
              <w:rPr>
                <w:rFonts w:ascii="Arial" w:cs="Arial" w:eastAsia="Arial" w:hAnsi="Arial"/>
                <w:sz w:val="14"/>
                <w:szCs w:val="14"/>
                <w:color w:val="auto"/>
              </w:rPr>
              <w:t>821</w:t>
            </w:r>
          </w:p>
        </w:tc>
        <w:tc>
          <w:tcPr>
            <w:tcW w:w="180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Units</w:t>
            </w:r>
          </w:p>
        </w:tc>
        <w:tc>
          <w:tcPr>
            <w:tcW w:w="8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1,059</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43"/>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1,880</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Stock Options</w:t>
      </w:r>
    </w:p>
    <w:p>
      <w:pPr>
        <w:spacing w:after="0" w:line="18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During the six months ended June 30, 2018, we granted equity-based compensation awards of 10,000 stock options to our two new independent directors (5,000 options each) pursuant to the Incentive Plan with a grant date fair value of $9 which immediately vested upon grant and expire after 10 years. The fair value of each option was estimated on the grant date using a Black-Scholes option valuation model using the following weighted average assumptions:</w:t>
      </w:r>
    </w:p>
    <w:p>
      <w:pPr>
        <w:spacing w:after="0" w:line="281" w:lineRule="exact"/>
        <w:rPr>
          <w:sz w:val="20"/>
          <w:szCs w:val="20"/>
          <w:color w:val="auto"/>
        </w:rPr>
      </w:pPr>
    </w:p>
    <w:tbl>
      <w:tblPr>
        <w:tblLayout w:type="fixed"/>
        <w:tblInd w:w="540" w:type="dxa"/>
        <w:tblCellMar>
          <w:top w:w="0" w:type="dxa"/>
          <w:left w:w="0" w:type="dxa"/>
          <w:bottom w:w="0" w:type="dxa"/>
          <w:right w:w="0" w:type="dxa"/>
        </w:tblCellMar>
      </w:tblPr>
      <w:tr>
        <w:trPr>
          <w:trHeight w:val="194"/>
        </w:trPr>
        <w:tc>
          <w:tcPr>
            <w:tcW w:w="1720" w:type="dxa"/>
            <w:vAlign w:val="bottom"/>
            <w:shd w:val="clear" w:color="auto" w:fill="CCEEFF"/>
          </w:tcPr>
          <w:p>
            <w:pPr>
              <w:spacing w:after="0"/>
              <w:rPr>
                <w:sz w:val="16"/>
                <w:szCs w:val="16"/>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expected stock volatility is based on an assessment of the stock volatility of our publicly traded</w:t>
            </w:r>
          </w:p>
        </w:tc>
        <w:tc>
          <w:tcPr>
            <w:tcW w:w="1500" w:type="dxa"/>
            <w:vAlign w:val="bottom"/>
            <w:shd w:val="clear" w:color="auto" w:fill="CCEEFF"/>
          </w:tcPr>
          <w:p>
            <w:pPr>
              <w:spacing w:after="0"/>
              <w:rPr>
                <w:sz w:val="16"/>
                <w:szCs w:val="16"/>
                <w:color w:val="auto"/>
              </w:rPr>
            </w:pPr>
          </w:p>
        </w:tc>
      </w:tr>
      <w:tr>
        <w:trPr>
          <w:trHeight w:val="184"/>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7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over the preceding 12-month period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94"/>
        </w:trPr>
        <w:tc>
          <w:tcPr>
            <w:tcW w:w="1720" w:type="dxa"/>
            <w:vAlign w:val="bottom"/>
          </w:tcPr>
          <w:p>
            <w:pPr>
              <w:spacing w:after="0"/>
              <w:rPr>
                <w:sz w:val="16"/>
                <w:szCs w:val="16"/>
                <w:color w:val="auto"/>
              </w:rPr>
            </w:pPr>
          </w:p>
        </w:tc>
        <w:tc>
          <w:tcPr>
            <w:tcW w:w="7480" w:type="dxa"/>
            <w:vAlign w:val="bottom"/>
          </w:tcPr>
          <w:p>
            <w:pPr>
              <w:ind w:left="200"/>
              <w:spacing w:after="0"/>
              <w:rPr>
                <w:sz w:val="20"/>
                <w:szCs w:val="20"/>
                <w:color w:val="auto"/>
              </w:rPr>
            </w:pPr>
            <w:r>
              <w:rPr>
                <w:rFonts w:ascii="Arial" w:cs="Arial" w:eastAsia="Arial" w:hAnsi="Arial"/>
                <w:sz w:val="14"/>
                <w:szCs w:val="14"/>
                <w:color w:val="auto"/>
              </w:rPr>
              <w:t>The risk-free rate is determined using the implied yield currently available on U.S. government bonds</w:t>
            </w:r>
          </w:p>
        </w:tc>
        <w:tc>
          <w:tcPr>
            <w:tcW w:w="1500" w:type="dxa"/>
            <w:vAlign w:val="bottom"/>
          </w:tcPr>
          <w:p>
            <w:pPr>
              <w:spacing w:after="0"/>
              <w:rPr>
                <w:sz w:val="16"/>
                <w:szCs w:val="16"/>
                <w:color w:val="auto"/>
              </w:rPr>
            </w:pPr>
          </w:p>
        </w:tc>
      </w:tr>
      <w:tr>
        <w:trPr>
          <w:trHeight w:val="178"/>
        </w:trPr>
        <w:tc>
          <w:tcPr>
            <w:tcW w:w="1720" w:type="dxa"/>
            <w:vAlign w:val="bottom"/>
          </w:tcPr>
          <w:p>
            <w:pPr>
              <w:ind w:left="20"/>
              <w:spacing w:after="0"/>
              <w:rPr>
                <w:sz w:val="20"/>
                <w:szCs w:val="20"/>
                <w:color w:val="auto"/>
              </w:rPr>
            </w:pPr>
            <w:r>
              <w:rPr>
                <w:rFonts w:ascii="Arial" w:cs="Arial" w:eastAsia="Arial" w:hAnsi="Arial"/>
                <w:sz w:val="14"/>
                <w:szCs w:val="14"/>
                <w:color w:val="auto"/>
              </w:rPr>
              <w:t>Risk free interest rate</w:t>
            </w:r>
          </w:p>
        </w:tc>
        <w:tc>
          <w:tcPr>
            <w:tcW w:w="7480" w:type="dxa"/>
            <w:vAlign w:val="bottom"/>
          </w:tcPr>
          <w:p>
            <w:pPr>
              <w:ind w:left="200"/>
              <w:spacing w:after="0"/>
              <w:rPr>
                <w:sz w:val="20"/>
                <w:szCs w:val="20"/>
                <w:color w:val="auto"/>
              </w:rPr>
            </w:pPr>
            <w:r>
              <w:rPr>
                <w:rFonts w:ascii="Arial" w:cs="Arial" w:eastAsia="Arial" w:hAnsi="Arial"/>
                <w:sz w:val="14"/>
                <w:szCs w:val="14"/>
                <w:color w:val="auto"/>
              </w:rPr>
              <w:t>with a term consistent with the expected term on the date of grant</w:t>
            </w:r>
          </w:p>
        </w:tc>
        <w:tc>
          <w:tcPr>
            <w:tcW w:w="15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22"/>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7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 expected dividend yield is based on management’s currently expected dividend rate</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04"/>
        </w:trPr>
        <w:tc>
          <w:tcPr>
            <w:tcW w:w="1720" w:type="dxa"/>
            <w:vAlign w:val="bottom"/>
          </w:tcPr>
          <w:p>
            <w:pPr>
              <w:ind w:left="20"/>
              <w:spacing w:after="0"/>
              <w:rPr>
                <w:sz w:val="20"/>
                <w:szCs w:val="20"/>
                <w:color w:val="auto"/>
              </w:rPr>
            </w:pPr>
            <w:r>
              <w:rPr>
                <w:rFonts w:ascii="Arial" w:cs="Arial" w:eastAsia="Arial" w:hAnsi="Arial"/>
                <w:sz w:val="14"/>
                <w:szCs w:val="14"/>
                <w:color w:val="auto"/>
              </w:rPr>
              <w:t>Expected term</w:t>
            </w:r>
          </w:p>
        </w:tc>
        <w:tc>
          <w:tcPr>
            <w:tcW w:w="7480" w:type="dxa"/>
            <w:vAlign w:val="bottom"/>
          </w:tcPr>
          <w:p>
            <w:pPr>
              <w:ind w:left="200"/>
              <w:spacing w:after="0"/>
              <w:rPr>
                <w:sz w:val="20"/>
                <w:szCs w:val="20"/>
                <w:color w:val="auto"/>
              </w:rPr>
            </w:pPr>
            <w:r>
              <w:rPr>
                <w:rFonts w:ascii="Arial" w:cs="Arial" w:eastAsia="Arial" w:hAnsi="Arial"/>
                <w:sz w:val="14"/>
                <w:szCs w:val="14"/>
                <w:color w:val="auto"/>
              </w:rPr>
              <w:t>Expected term used represents the period of time the options granted are expected to be outstanding</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5 years</w:t>
            </w:r>
          </w:p>
        </w:tc>
      </w:tr>
    </w:tbl>
    <w:p>
      <w:pPr>
        <w:spacing w:after="0" w:line="15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Common Units</w:t>
      </w:r>
    </w:p>
    <w:p>
      <w:pPr>
        <w:spacing w:after="0" w:line="106"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April 2018, we granted equity based compensation in a subsidiary consisting of 670,000 common units that had a grant date fair value of $670 in exchange for services assuming no forfeited amounts. The awards vest in installments of 33.3% in March 2019, March 2020 and March 2021. The awards are equity based with compensation expense recognized ratably over the vesting periods. The fair value of these awards was based on the fair value of the underlying entity as determined on the acquisition date.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INCOME TAXES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2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8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2"/>
                <w:szCs w:val="22"/>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2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316</w:t>
            </w:r>
          </w:p>
        </w:tc>
      </w:tr>
      <w:tr>
        <w:trPr>
          <w:trHeight w:val="276"/>
        </w:trPr>
        <w:tc>
          <w:tcPr>
            <w:tcW w:w="4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r>
      <w:tr>
        <w:trPr>
          <w:trHeight w:val="264"/>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2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r>
      <w:tr>
        <w:trPr>
          <w:trHeight w:val="324"/>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4"/>
        </w:trPr>
        <w:tc>
          <w:tcPr>
            <w:tcW w:w="428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389</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677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48</w:t>
            </w:r>
          </w:p>
        </w:tc>
      </w:tr>
      <w:tr>
        <w:trPr>
          <w:trHeight w:val="276"/>
        </w:trPr>
        <w:tc>
          <w:tcPr>
            <w:tcW w:w="4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4280" w:type="dxa"/>
            <w:vAlign w:val="bottom"/>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spacing w:after="0"/>
              <w:rPr>
                <w:sz w:val="22"/>
                <w:szCs w:val="22"/>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223</w:t>
            </w:r>
          </w:p>
        </w:tc>
      </w:tr>
      <w:tr>
        <w:trPr>
          <w:trHeight w:val="250"/>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447</w:t>
            </w:r>
          </w:p>
        </w:tc>
        <w:tc>
          <w:tcPr>
            <w:tcW w:w="1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w:t>
            </w:r>
          </w:p>
        </w:tc>
        <w:tc>
          <w:tcPr>
            <w:tcW w:w="2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w:t>
            </w:r>
          </w:p>
        </w:tc>
      </w:tr>
      <w:tr>
        <w:trPr>
          <w:trHeight w:val="324"/>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provision for income taxes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464</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676</w:t>
            </w:r>
          </w:p>
        </w:tc>
      </w:tr>
      <w:tr>
        <w:trPr>
          <w:trHeight w:val="20"/>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We are taxed as a flow-through entity for U.S. income tax purposes and our taxable income or loss generated is the responsibility of our owners. Taxable income or loss generated by our corporate subsidiaries is subject to U.S. federal, state and foreign corporate income tax in locations where they conduct business.</w:t>
      </w:r>
    </w:p>
    <w:p>
      <w:pPr>
        <w:spacing w:after="0" w:line="14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Our effective tax rate differs from the U.S. federal tax rate of 21% primarily due to a significant portion of our income not being subject to U.S. corporate tax rates, or being deemed to be foreign sourced and thus either not taxable or taxable at effectively lower tax rates.</w:t>
      </w:r>
    </w:p>
    <w:p>
      <w:pPr>
        <w:spacing w:after="0" w:line="142"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As of and for the six month period ended June 30, 2018,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2014. We do not believe that it is reasonably possible that the total amount of unrecognized tax benefits will significantly change within 12 months of the reporting date of June 30, 2018.</w:t>
      </w:r>
    </w:p>
    <w:p>
      <w:pPr>
        <w:spacing w:after="0" w:line="149"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significantly revises the U.S. corporate income tax regime by, among other things, lowering corporate income tax rates. We have accounted for the effects of the TCJA for the year ended December 31, 2017 which relates to the remeasurement of deferred tax assets and liabilities due to the reduction in the corporate income tax rate. Due to the significant portion of our income that is not subject to entity level tax and the presence of a significant valuation allowance, the effects of the TCJA have had a minimal impact on the income tax provision for the year ended December 31, 2017.</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MANAGEMENT AGREEMENT AND AFFILIATE TRANSACTIONS</w:t>
      </w:r>
    </w:p>
    <w:p>
      <w:pPr>
        <w:spacing w:after="0" w:line="18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0.05% of the Partnership and is the general partner of the Partnership.</w:t>
      </w:r>
    </w:p>
    <w:p>
      <w:pPr>
        <w:spacing w:after="0" w:line="149"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management fees were $3,922 and $7,661 for the three and six months ended June 30, 2018, respectively, and $3,865 and $7,758 for the three and six months ended June 30, 2017, respectively.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the Master GP during the relevant quarter.</w:t>
      </w:r>
    </w:p>
    <w:p>
      <w:pPr>
        <w:spacing w:after="0" w:line="15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A subsidiary of ours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 No Income Incentive Allocation was due to the Master GP for the three and six months ended June 30, 2018 and 2017.</w:t>
      </w:r>
    </w:p>
    <w:p>
      <w:pPr>
        <w:spacing w:after="0" w:line="155"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the Master GP. The Capital Gains Incentive Allocation was $573 for both the three and six months ended June 30, 2018 and $0 for both the three and six months ended June 30, 2017.</w:t>
      </w:r>
    </w:p>
    <w:p>
      <w:pPr>
        <w:spacing w:after="0" w:line="149"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We will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for us, costs to obtain liability insurance to indemnify our directors and officers and the compensation and expenses of our transfer agent.</w:t>
      </w:r>
    </w:p>
    <w:p>
      <w:pPr>
        <w:spacing w:after="0" w:line="154"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 During the three and six months ended June 30, 2018, expense reimbursement of $2,438 and $4,619 was recorded in general and administrative expenses, respectively, and $1,436 and $3,040 was recorded in acquisition and transaction expenses, respectively, in the Consolidated Statements of Operations. During the three and six months ended June 30, 2017, expense reimbursement of $1,618 and $3,822 was recorded in general and administrative expenses, respectively, and $1,563 and $2,713 was recorded in acquisition and transaction expenses, respectively, in the Consolidated Statements of Operations.</w:t>
      </w:r>
    </w:p>
    <w:p>
      <w:pPr>
        <w:spacing w:after="0" w:line="153"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our assets were sold for cash at their then current fair market value (as determined by an appraisal, taking into account, among other things, the expected future value of the underlying investments).</w:t>
      </w:r>
    </w:p>
    <w:p>
      <w:pPr>
        <w:spacing w:after="0" w:line="151"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Upon the successful completion of a post-IPO offering of our common shares or other equity securities (including securities issued as consideration in an acquisition), we will grant the Manager options to purchase common shares in an amount equal to 10% of the number of common shares being sold in the offering (or if the issuance relates to equity securities other than our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 The Manager was granted 700,000 options as part of the equity offering in the first quarter of 2018 as discussed in Note 15.</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As of June 30, 2018 and December 31, 2017, there were no receivables from the Manager. As of June 30, 2018 and December 31, 2017, amounts due to the Manager or its affiliates of $1,294 and $2,073, respectively, excluding accrued management fees, are included within accounts payable and accrued liabilities in the Consolidated Balance Sheets. As of June 30, 2018 and December 31, 2017, amounts due to the Manager or its affiliates of $1,280 and $1,228, respectively, related to accrued management fees, are included within accounts payable and accrued liabilities in the Consolidated Balance Sheets.</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Other Affiliate Transactions</w:t>
      </w:r>
    </w:p>
    <w:p>
      <w:pPr>
        <w:spacing w:after="0" w:line="183"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As of June 30, 2018 and December 31, 2017 an affiliate of our Manager owns an approximately 20% interest in Jefferson Terminal which has been accounted for as a component of non-controlling interest in consolidated subsidiaries in the accompanying consolidated financial statements. The carrying amount of this non-controlling interest at June 30, 2018 and December 31, 2017 was $56,563 and $66,242, respectively. The amount of this non-controlling interest share of net loss was $3,248 and $8,013 for the three and six months ended June 30, 2018, respectively, and $1,413 and $3,483 for the three and six months ended June 30, 2017, respectively.</w:t>
      </w:r>
    </w:p>
    <w:p>
      <w:pPr>
        <w:spacing w:after="0" w:line="149"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In connection with the Capital Call Agreement related to the Series 2016 Bonds discussed in Note 8, we, and an affiliate of our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are amortized as interest expense to the earlier of the redemption date or February 13, 2020.</w:t>
      </w:r>
    </w:p>
    <w:p>
      <w:pPr>
        <w:spacing w:after="0" w:line="149"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On June 21, 2018, we, through a wholly owned subsidiary, completed a private offering with several third parties (the “Holders”) to tender their approximately 20% stake in Jefferson Terminal. The offer allowed us to increase our majority interest in Jefferson Terminal in exchange for Class B Units of another wholly owned subsidiary, which provide the right to convert such Class B Units to a fixed amount of our shares at a Holder’s request. We have the option to satisfy any exchange request by delivering either common shares or cash. The Holders are entitled to receive distributions equivalent to the distributions paid to our shareholders. This transaction resulted in a transfer of non-controlling interest shares.</w:t>
      </w:r>
    </w:p>
    <w:p>
      <w:pPr>
        <w:spacing w:after="0" w:line="149"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In the second quarter of 2018, we purchased all shares held by the non-controlling interest holder in our Aviation Leasing segment for a purchase price of $3,700.</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SEGMENT INFORMATION</w:t>
      </w:r>
    </w:p>
    <w:p>
      <w:pPr>
        <w:spacing w:after="0" w:line="133"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Our reportable segments represent strategic business units comprised of investments in different types of transportation and infrastructure assets. We have six reportable segments which operate in the Equipment Leasing and Infrastructure businesses across several market sectors. Our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Long Ridge, which is a 1,660 acre multi-modal port located along the Ohio River with rail, dock, and multiple industrial development opportunities.</w:t>
      </w:r>
    </w:p>
    <w:p>
      <w:pPr>
        <w:spacing w:after="0" w:line="98"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We evaluate investment performance for each reportable segment primarily based on net income attributable to shareholders and Adjusted Net Income.</w:t>
      </w:r>
    </w:p>
    <w:p>
      <w:pPr>
        <w:spacing w:after="0" w:line="95"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(losses) of unconsolidated entities; (b) to include the impact of cash income tax payments, our pro-rata share of the Adjusted Net Income from unconsolidated entities (collectively “Adjusted Net Income”), and (c) to exclude the impact of the non-controlling share of Adjusted Net Income.</w:t>
      </w:r>
    </w:p>
    <w:p>
      <w:pPr>
        <w:spacing w:after="0" w:line="95"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We believe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ind w:right="364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Three Months Ended June 30, 2018</w:t>
      </w:r>
    </w:p>
    <w:p>
      <w:pPr>
        <w:spacing w:after="0" w:line="38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Leasing</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56,118</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3,187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59,330</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2,550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8,788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12,649</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56,118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3,187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8,788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71,979</w:t>
            </w:r>
          </w:p>
        </w:tc>
        <w:tc>
          <w:tcPr>
            <w:tcW w:w="0" w:type="dxa"/>
            <w:vAlign w:val="bottom"/>
          </w:tcPr>
          <w:p>
            <w:pPr>
              <w:spacing w:after="0"/>
              <w:rPr>
                <w:sz w:val="1"/>
                <w:szCs w:val="1"/>
                <w:color w:val="auto"/>
              </w:rPr>
            </w:pPr>
          </w:p>
        </w:tc>
      </w:tr>
      <w:tr>
        <w:trPr>
          <w:trHeight w:val="324"/>
        </w:trPr>
        <w:tc>
          <w:tcPr>
            <w:tcW w:w="21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1,864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27,593</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4,573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4,573</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1,508</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4,495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4,495</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24,875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32,844</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7,197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12,857</w:t>
            </w:r>
          </w:p>
        </w:tc>
        <w:tc>
          <w:tcPr>
            <w:tcW w:w="0" w:type="dxa"/>
            <w:vAlign w:val="bottom"/>
          </w:tcPr>
          <w:p>
            <w:pPr>
              <w:spacing w:after="0"/>
              <w:rPr>
                <w:sz w:val="1"/>
                <w:szCs w:val="1"/>
                <w:color w:val="auto"/>
              </w:rPr>
            </w:pPr>
          </w:p>
        </w:tc>
      </w:tr>
      <w:tr>
        <w:trPr>
          <w:trHeight w:val="25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26,805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20,475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3,820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17,707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83,870</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Equity in (losses) earnings of</w:t>
            </w:r>
          </w:p>
        </w:tc>
        <w:tc>
          <w:tcPr>
            <w:tcW w:w="16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w:t>
            </w: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5,003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4,996</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net</w:t>
            </w: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33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1,157</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16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4,910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958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5,976</w:t>
            </w:r>
          </w:p>
        </w:tc>
        <w:tc>
          <w:tcPr>
            <w:tcW w:w="0" w:type="dxa"/>
            <w:vAlign w:val="bottom"/>
          </w:tcPr>
          <w:p>
            <w:pPr>
              <w:spacing w:after="0"/>
              <w:rPr>
                <w:sz w:val="1"/>
                <w:szCs w:val="1"/>
                <w:color w:val="auto"/>
              </w:rPr>
            </w:pP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34,223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(5,915)</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Provision for (benefit from)</w:t>
            </w:r>
          </w:p>
        </w:tc>
        <w:tc>
          <w:tcPr>
            <w:tcW w:w="160" w:type="dxa"/>
            <w:vAlign w:val="bottom"/>
          </w:tcPr>
          <w:p>
            <w:pPr>
              <w:spacing w:after="0"/>
              <w:rPr>
                <w:sz w:val="16"/>
                <w:szCs w:val="16"/>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33,700</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(16,977)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(17,707)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(6,449)</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Less: Net (loss) income</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(7,288)</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33,700</w:t>
            </w:r>
          </w:p>
        </w:tc>
        <w:tc>
          <w:tcPr>
            <w:tcW w:w="3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(3,345)</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(9,668)</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(2,480)</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(17,707)</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839</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 shareholders</w:t>
            </w: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240" w:top="121" w:right="419" w:bottom="1440" w:gutter="0" w:footer="0" w:header="0"/>
        </w:sectPr>
      </w:pPr>
    </w:p>
    <w:bookmarkStart w:id="32" w:name="page33"/>
    <w:bookmarkEnd w:id="32"/>
    <w:p>
      <w:pPr>
        <w:ind w:right="364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income attributable to shareholders: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June 30, 2018</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33,868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2,570</w:t>
            </w:r>
          </w:p>
        </w:tc>
        <w:tc>
          <w:tcPr>
            <w:tcW w:w="0" w:type="dxa"/>
            <w:vAlign w:val="bottom"/>
          </w:tcPr>
          <w:p>
            <w:pPr>
              <w:spacing w:after="0"/>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198</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Add: Cash payments for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474</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(573)</w:t>
            </w: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Pro-rata share of</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Adjusted Net Income from</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investments in unconsolidated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441</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modification or extinguishment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(1,508)</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(229)</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Provision for income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178"/>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839</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Three Months Ended June 30, 2018</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14,083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16,930</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32,858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32,858</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6,821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19,835</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336</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56,118</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2,550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71,979</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240" w:top="121" w:right="419" w:bottom="1440" w:gutter="0" w:footer="0" w:header="0"/>
        </w:sectPr>
      </w:pPr>
    </w:p>
    <w:bookmarkStart w:id="33" w:name="page34"/>
    <w:bookmarkEnd w:id="33"/>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Six Months Ended June 30, 2018</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108,853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6,211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115,114</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19,835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25,709</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108,853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6,211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19,835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140,823</w:t>
            </w:r>
          </w:p>
        </w:tc>
        <w:tc>
          <w:tcPr>
            <w:tcW w:w="0" w:type="dxa"/>
            <w:vAlign w:val="bottom"/>
          </w:tcPr>
          <w:p>
            <w:pPr>
              <w:spacing w:after="0"/>
              <w:rPr>
                <w:sz w:val="1"/>
                <w:szCs w:val="1"/>
                <w:color w:val="auto"/>
              </w:rPr>
            </w:pPr>
          </w:p>
        </w:tc>
      </w:tr>
      <w:tr>
        <w:trPr>
          <w:trHeight w:val="324"/>
        </w:trPr>
        <w:tc>
          <w:tcPr>
            <w:tcW w:w="21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23,212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15,251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55,172</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8,159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8,159</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3,274</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8,234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8,234</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46,688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62,431</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1,834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7,813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14,050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24,728</w:t>
            </w:r>
          </w:p>
        </w:tc>
        <w:tc>
          <w:tcPr>
            <w:tcW w:w="0" w:type="dxa"/>
            <w:vAlign w:val="bottom"/>
          </w:tcPr>
          <w:p>
            <w:pPr>
              <w:spacing w:after="0"/>
              <w:rPr>
                <w:sz w:val="1"/>
                <w:szCs w:val="1"/>
                <w:color w:val="auto"/>
              </w:rPr>
            </w:pPr>
          </w:p>
        </w:tc>
      </w:tr>
      <w:tr>
        <w:trPr>
          <w:trHeight w:val="25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52,208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11,378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40,752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16,884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33,494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161,998</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Equity in (losses) earnings of</w:t>
            </w: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4,991</w:t>
            </w: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net</w:t>
            </w: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250</w:t>
            </w:r>
          </w:p>
        </w:tc>
        <w:tc>
          <w:tcPr>
            <w:tcW w:w="0" w:type="dxa"/>
            <w:vAlign w:val="bottom"/>
          </w:tcPr>
          <w:p>
            <w:pPr>
              <w:spacing w:after="0"/>
              <w:rPr>
                <w:sz w:val="1"/>
                <w:szCs w:val="1"/>
                <w:color w:val="auto"/>
              </w:rPr>
            </w:pPr>
          </w:p>
        </w:tc>
      </w:tr>
      <w:tr>
        <w:trPr>
          <w:trHeight w:val="27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1,337</w:t>
            </w:r>
          </w:p>
        </w:tc>
        <w:tc>
          <w:tcPr>
            <w:tcW w:w="0" w:type="dxa"/>
            <w:vAlign w:val="bottom"/>
          </w:tcPr>
          <w:p>
            <w:pPr>
              <w:spacing w:after="0"/>
              <w:rPr>
                <w:sz w:val="1"/>
                <w:szCs w:val="1"/>
                <w:color w:val="auto"/>
              </w:rPr>
            </w:pPr>
          </w:p>
        </w:tc>
      </w:tr>
      <w:tr>
        <w:trPr>
          <w:trHeight w:val="250"/>
        </w:trPr>
        <w:tc>
          <w:tcPr>
            <w:tcW w:w="214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1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4,739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6,422</w:t>
            </w:r>
          </w:p>
        </w:tc>
        <w:tc>
          <w:tcPr>
            <w:tcW w:w="0" w:type="dxa"/>
            <w:vAlign w:val="bottom"/>
          </w:tcPr>
          <w:p>
            <w:pPr>
              <w:spacing w:after="0"/>
              <w:rPr>
                <w:sz w:val="1"/>
                <w:szCs w:val="1"/>
                <w:color w:val="auto"/>
              </w:rPr>
            </w:pP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61,384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(14,753)</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Provision for (benefit from)</w:t>
            </w:r>
          </w:p>
        </w:tc>
        <w:tc>
          <w:tcPr>
            <w:tcW w:w="16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1,029</w:t>
            </w: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60,378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(35,584)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(33,494)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(15,782)</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Less: Net (loss) 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(16,049)</w:t>
            </w:r>
          </w:p>
        </w:tc>
        <w:tc>
          <w:tcPr>
            <w:tcW w:w="0" w:type="dxa"/>
            <w:vAlign w:val="bottom"/>
          </w:tcPr>
          <w:p>
            <w:pPr>
              <w:spacing w:after="0"/>
              <w:rPr>
                <w:sz w:val="1"/>
                <w:szCs w:val="1"/>
                <w:color w:val="auto"/>
              </w:rPr>
            </w:pPr>
          </w:p>
        </w:tc>
      </w:tr>
      <w:tr>
        <w:trPr>
          <w:trHeight w:val="178"/>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60,402</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(5,164)</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(19,326)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2,702</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(5,187)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(33,494)</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 shareholders</w:t>
            </w:r>
          </w:p>
        </w:tc>
        <w:tc>
          <w:tcPr>
            <w:tcW w:w="16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240" w:top="12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20"/>
          </w:cols>
          <w:pgMar w:left="240" w:top="121" w:right="639" w:bottom="1440" w:gutter="0" w:footer="0" w:header="0"/>
          <w:type w:val="continuous"/>
        </w:sectPr>
      </w:pPr>
    </w:p>
    <w:bookmarkStart w:id="34" w:name="page35"/>
    <w:bookmarkEnd w:id="34"/>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income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Shipping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Containers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61,210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331</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(18,974)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(29,861)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5,297</w:t>
            </w:r>
          </w:p>
        </w:tc>
        <w:tc>
          <w:tcPr>
            <w:tcW w:w="0" w:type="dxa"/>
            <w:vAlign w:val="bottom"/>
          </w:tcPr>
          <w:p>
            <w:pPr>
              <w:spacing w:after="0"/>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Add: Cash payments for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(573)</w:t>
            </w: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Pro-rata share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Adjusted Net Income from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investments in unconsolidated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(182)</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modification or extinguishment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(3,274)</w:t>
            </w:r>
          </w:p>
        </w:tc>
        <w:tc>
          <w:tcPr>
            <w:tcW w:w="0" w:type="dxa"/>
            <w:vAlign w:val="bottom"/>
          </w:tcPr>
          <w:p>
            <w:pPr>
              <w:spacing w:after="0"/>
              <w:rPr>
                <w:sz w:val="1"/>
                <w:szCs w:val="1"/>
                <w:color w:val="auto"/>
              </w:rPr>
            </w:pPr>
          </w:p>
        </w:tc>
      </w:tr>
      <w:tr>
        <w:trPr>
          <w:trHeight w:val="178"/>
        </w:trPr>
        <w:tc>
          <w:tcPr>
            <w:tcW w:w="20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Less: Provision for income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(1,029)</w:t>
            </w:r>
          </w:p>
        </w:tc>
        <w:tc>
          <w:tcPr>
            <w:tcW w:w="0" w:type="dxa"/>
            <w:vAlign w:val="bottom"/>
          </w:tcPr>
          <w:p>
            <w:pPr>
              <w:spacing w:after="0"/>
              <w:rPr>
                <w:sz w:val="1"/>
                <w:szCs w:val="1"/>
                <w:color w:val="auto"/>
              </w:rPr>
            </w:pPr>
          </w:p>
        </w:tc>
      </w:tr>
      <w:tr>
        <w:trPr>
          <w:trHeight w:val="178"/>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Six Months Ended June 30, 2018</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3,405</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3,405</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23,292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28,822</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67,776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67,776</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13,954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40,394</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426</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108,853</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140,823</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020"/>
          </w:cols>
          <w:pgMar w:left="240" w:top="121" w:right="639" w:bottom="1440" w:gutter="0" w:footer="0" w:header="0"/>
        </w:sectPr>
      </w:pPr>
    </w:p>
    <w:bookmarkStart w:id="35" w:name="page36"/>
    <w:bookmarkEnd w:id="35"/>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 For the Three Months Ended June 30,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June 30, 2017</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27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36,577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3,781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40,383</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10,811</w:t>
            </w: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36,577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51,194</w:t>
            </w:r>
          </w:p>
        </w:tc>
      </w:tr>
      <w:tr>
        <w:trPr>
          <w:trHeight w:val="324"/>
        </w:trPr>
        <w:tc>
          <w:tcPr>
            <w:tcW w:w="2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21,324</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3,341</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1,880</w:t>
            </w: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3,865</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20,221</w:t>
            </w: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7,684</w:t>
            </w:r>
          </w:p>
        </w:tc>
      </w:tr>
      <w:tr>
        <w:trPr>
          <w:trHeight w:val="25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58,315</w:t>
            </w:r>
          </w:p>
        </w:tc>
      </w:tr>
      <w:tr>
        <w:trPr>
          <w:trHeight w:val="324"/>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1,999</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84</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1,776</w:t>
            </w:r>
          </w:p>
        </w:tc>
      </w:tr>
      <w:tr>
        <w:trPr>
          <w:trHeight w:val="16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(5,345)</w:t>
            </w: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Provision for (benefit from) income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464</w:t>
            </w:r>
          </w:p>
        </w:tc>
      </w:tr>
      <w:tr>
        <w:trPr>
          <w:trHeight w:val="256"/>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22,585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(5,809)</w:t>
            </w:r>
          </w:p>
        </w:tc>
      </w:tr>
      <w:tr>
        <w:trPr>
          <w:trHeight w:val="174"/>
        </w:trPr>
        <w:tc>
          <w:tcPr>
            <w:tcW w:w="2240" w:type="dxa"/>
            <w:vAlign w:val="bottom"/>
          </w:tcPr>
          <w:p>
            <w:pPr>
              <w:ind w:left="20"/>
              <w:spacing w:after="0"/>
              <w:rPr>
                <w:sz w:val="20"/>
                <w:szCs w:val="20"/>
                <w:color w:val="auto"/>
              </w:rPr>
            </w:pPr>
            <w:r>
              <w:rPr>
                <w:rFonts w:ascii="Arial" w:cs="Arial" w:eastAsia="Arial" w:hAnsi="Arial"/>
                <w:sz w:val="14"/>
                <w:szCs w:val="14"/>
                <w:color w:val="auto"/>
              </w:rPr>
              <w:t>Less: Net income (loss)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(4,349)</w:t>
            </w:r>
          </w:p>
        </w:tc>
      </w:tr>
      <w:tr>
        <w:trPr>
          <w:trHeight w:val="162"/>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w:t>
            </w: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r>
      <w:tr>
        <w:trPr>
          <w:trHeight w:val="18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020"/>
          </w:cols>
          <w:pgMar w:left="240" w:top="121" w:right="639" w:bottom="1440" w:gutter="0" w:footer="0" w:header="0"/>
        </w:sectPr>
      </w:pPr>
    </w:p>
    <w:bookmarkStart w:id="36" w:name="page37"/>
    <w:bookmarkEnd w:id="36"/>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June 30, 2017</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22,894</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non-hedge derivative instruments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 extinguishment of debt and</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Three Months Ended June 30, 2017</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2,413</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2,413</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10,812</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22,852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23,805</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13,754</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36,577</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51,194</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020"/>
          </w:cols>
          <w:pgMar w:left="240" w:top="121" w:right="639" w:bottom="1440" w:gutter="0" w:footer="0" w:header="0"/>
        </w:sectPr>
      </w:pPr>
    </w:p>
    <w:bookmarkStart w:id="37" w:name="page38"/>
    <w:bookmarkEnd w:id="37"/>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 For the Six Months Ended June 30,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75"/>
        </w:trPr>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96"/>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270"/>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66,883</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4,838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71,771</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16,065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24,096</w:t>
            </w: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66,883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16,065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95,867</w:t>
            </w:r>
          </w:p>
        </w:tc>
      </w:tr>
      <w:tr>
        <w:trPr>
          <w:trHeight w:val="324"/>
        </w:trPr>
        <w:tc>
          <w:tcPr>
            <w:tcW w:w="2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42,337</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7,176</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3,332</w:t>
            </w: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7,758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7,758</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37,598</w:t>
            </w: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12,378</w:t>
            </w:r>
          </w:p>
        </w:tc>
      </w:tr>
      <w:tr>
        <w:trPr>
          <w:trHeight w:val="25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110,579</w:t>
            </w:r>
          </w:p>
        </w:tc>
      </w:tr>
      <w:tr>
        <w:trPr>
          <w:trHeight w:val="324"/>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194"/>
        </w:trPr>
        <w:tc>
          <w:tcPr>
            <w:tcW w:w="224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8"/>
        </w:trPr>
        <w:tc>
          <w:tcPr>
            <w:tcW w:w="22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(1,593)</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4,017</w:t>
            </w:r>
          </w:p>
        </w:tc>
      </w:tr>
      <w:tr>
        <w:trPr>
          <w:trHeight w:val="264"/>
        </w:trPr>
        <w:tc>
          <w:tcPr>
            <w:tcW w:w="22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(2,456)</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w:t>
            </w:r>
          </w:p>
        </w:tc>
      </w:tr>
      <w:tr>
        <w:trPr>
          <w:trHeight w:val="26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r>
      <w:tr>
        <w:trPr>
          <w:trHeight w:val="25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196"/>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41,825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(17,612)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(14,345)</w:t>
            </w:r>
          </w:p>
        </w:tc>
      </w:tr>
      <w:tr>
        <w:trPr>
          <w:trHeight w:val="20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676</w:t>
            </w:r>
          </w:p>
        </w:tc>
      </w:tr>
      <w:tr>
        <w:trPr>
          <w:trHeight w:val="244"/>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41,154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(7,785)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(17,646)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(27,111)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(15,021)</w:t>
            </w: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8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(9,147)</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Net income (loss) attributable to</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41,012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(7,321)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(9,243)</w:t>
            </w:r>
          </w:p>
        </w:tc>
        <w:tc>
          <w:tcPr>
            <w:tcW w:w="12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(27,111)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(5,874)</w:t>
            </w:r>
          </w:p>
        </w:tc>
      </w:tr>
      <w:tr>
        <w:trPr>
          <w:trHeight w:val="20"/>
        </w:trPr>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20"/>
          </w:cols>
          <w:pgMar w:left="240" w:top="121" w:right="639" w:bottom="1440" w:gutter="0" w:footer="0" w:header="0"/>
        </w:sectPr>
      </w:pPr>
    </w:p>
    <w:bookmarkStart w:id="38" w:name="page39"/>
    <w:bookmarkEnd w:id="38"/>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Six Months Ended June 30, 2017</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41,953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74"/>
        </w:trPr>
        <w:tc>
          <w:tcPr>
            <w:tcW w:w="2140" w:type="dxa"/>
            <w:vAlign w:val="bottom"/>
          </w:tcPr>
          <w:p>
            <w:pPr>
              <w:ind w:left="20"/>
              <w:spacing w:after="0"/>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 extinguishment of debt and</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94"/>
        </w:trPr>
        <w:tc>
          <w:tcPr>
            <w:tcW w:w="21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1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income</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80"/>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Six Months Ended June 30, 2017</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75"/>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70"/>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4,780</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4,780</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23,113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26,277</w:t>
            </w:r>
          </w:p>
        </w:tc>
      </w:tr>
      <w:tr>
        <w:trPr>
          <w:trHeight w:val="264"/>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34,322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35,275</w:t>
            </w:r>
          </w:p>
        </w:tc>
      </w:tr>
      <w:tr>
        <w:trPr>
          <w:trHeight w:val="276"/>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3,963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28,830</w:t>
            </w:r>
          </w:p>
        </w:tc>
      </w:tr>
      <w:tr>
        <w:trPr>
          <w:trHeight w:val="264"/>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w:t>
            </w:r>
          </w:p>
        </w:tc>
      </w:tr>
      <w:tr>
        <w:trPr>
          <w:trHeight w:val="243"/>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66,883</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95,867</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020"/>
          </w:cols>
          <w:pgMar w:left="240" w:top="121" w:right="639" w:bottom="1440" w:gutter="0" w:footer="0" w:header="0"/>
        </w:sectPr>
      </w:pPr>
    </w:p>
    <w:bookmarkStart w:id="39" w:name="page40"/>
    <w:bookmarkEnd w:id="39"/>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87"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June 30, 2018 and December 31, 2017:</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June 30, 2018</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21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Infrastructure</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75"/>
        </w:trPr>
        <w:tc>
          <w:tcPr>
            <w:tcW w:w="2140" w:type="dxa"/>
            <w:vAlign w:val="bottom"/>
          </w:tcPr>
          <w:p>
            <w:pPr>
              <w:spacing w:after="0"/>
              <w:rPr>
                <w:sz w:val="15"/>
                <w:szCs w:val="15"/>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Shipping</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21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1,108,811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189,969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4,759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598,704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57,905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222,901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28,223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  2,211,272</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50,579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225,284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20,287</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566,596</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862,746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679196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Total liabilities</w:t>
      </w:r>
    </w:p>
    <w:p>
      <w:pPr>
        <w:spacing w:after="0" w:line="200" w:lineRule="exact"/>
        <w:rPr>
          <w:sz w:val="20"/>
          <w:szCs w:val="20"/>
          <w:color w:val="auto"/>
        </w:rPr>
      </w:pPr>
    </w:p>
    <w:p>
      <w:pPr>
        <w:spacing w:after="0" w:line="211" w:lineRule="exact"/>
        <w:rPr>
          <w:sz w:val="20"/>
          <w:szCs w:val="20"/>
          <w:color w:val="auto"/>
        </w:rPr>
      </w:pPr>
    </w:p>
    <w:p>
      <w:pPr>
        <w:ind w:left="360"/>
        <w:spacing w:after="0" w:line="250" w:lineRule="auto"/>
        <w:rPr>
          <w:sz w:val="20"/>
          <w:szCs w:val="20"/>
          <w:color w:val="auto"/>
        </w:rPr>
      </w:pPr>
      <w:r>
        <w:rPr>
          <w:rFonts w:ascii="Arial" w:cs="Arial" w:eastAsia="Arial" w:hAnsi="Arial"/>
          <w:sz w:val="14"/>
          <w:szCs w:val="14"/>
          <w:color w:val="auto"/>
        </w:rPr>
        <w:t>Non-controlling interests in equity of consolidated subsidiaries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171,714</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54,651</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254,938</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36,421</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21,950</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582,175</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1,121,946</w:t>
            </w:r>
          </w:p>
        </w:tc>
      </w:tr>
      <w:tr>
        <w:trPr>
          <w:trHeight w:val="844"/>
        </w:trPr>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57,418</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3,085</w:t>
            </w:r>
          </w:p>
        </w:tc>
        <w:tc>
          <w:tcPr>
            <w:tcW w:w="1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428</w:t>
            </w:r>
          </w:p>
        </w:tc>
        <w:tc>
          <w:tcPr>
            <w:tcW w:w="1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525</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61,456</w:t>
            </w: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-359410</wp:posOffset>
            </wp:positionV>
            <wp:extent cx="679196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196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20"/>
            <w:col w:w="8940"/>
          </w:cols>
          <w:pgMar w:left="240" w:top="121" w:right="239" w:bottom="1440" w:gutter="0" w:footer="0" w:header="0"/>
          <w:type w:val="continuous"/>
        </w:sectPr>
      </w:pPr>
    </w:p>
    <w:p>
      <w:pPr>
        <w:spacing w:after="0" w:line="97"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937,097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135,318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4,662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343,766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21,484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200,951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(553,952)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1,089,326</w:t>
            </w: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1,108,811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189,969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598,704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57,905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222,901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28,223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2,211,272</w:t>
            </w: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2"/>
        </w:trPr>
        <w:tc>
          <w:tcPr>
            <w:tcW w:w="2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45,165</w:t>
            </w: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45,165</w:t>
            </w: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265,982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301,465</w:t>
            </w: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561,690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124,387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686,077</w:t>
            </w: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131,022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386,566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46,025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207,144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770,757</w:t>
            </w: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1,003,859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159,870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386,566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46,025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207,144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1,803,464</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0" w:name="page41"/>
    <w:bookmarkEnd w:id="40"/>
    <w:p>
      <w:pPr>
        <w:ind w:right="34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2017</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Infrastructure</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Shipping</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2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952,543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195,101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579,329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51,989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123,693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1,955,806</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53,590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184,942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22,513</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442,219</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703,264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67919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ectPr>
          <w:pgSz w:w="11900" w:h="16838" w:orient="portrait"/>
          <w:cols w:equalWidth="0" w:num="1">
            <w:col w:w="11020"/>
          </w:cols>
          <w:pgMar w:left="240" w:top="121" w:right="639" w:bottom="1440" w:gutter="0" w:footer="0" w:header="0"/>
        </w:sect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Total liabilities</w:t>
      </w:r>
    </w:p>
    <w:p>
      <w:pPr>
        <w:spacing w:after="0" w:line="200" w:lineRule="exact"/>
        <w:rPr>
          <w:sz w:val="20"/>
          <w:szCs w:val="20"/>
          <w:color w:val="auto"/>
        </w:rPr>
      </w:pPr>
    </w:p>
    <w:p>
      <w:pPr>
        <w:spacing w:after="0" w:line="211" w:lineRule="exact"/>
        <w:rPr>
          <w:sz w:val="20"/>
          <w:szCs w:val="20"/>
          <w:color w:val="auto"/>
        </w:rPr>
      </w:pPr>
    </w:p>
    <w:p>
      <w:pPr>
        <w:ind w:left="360"/>
        <w:spacing w:after="0" w:line="250" w:lineRule="auto"/>
        <w:rPr>
          <w:sz w:val="20"/>
          <w:szCs w:val="20"/>
          <w:color w:val="auto"/>
        </w:rPr>
      </w:pPr>
      <w:r>
        <w:rPr>
          <w:rFonts w:ascii="Arial" w:cs="Arial" w:eastAsia="Arial" w:hAnsi="Arial"/>
          <w:sz w:val="14"/>
          <w:szCs w:val="14"/>
          <w:color w:val="auto"/>
        </w:rPr>
        <w:t>Non-controlling interests in equity of consolidated subsidiaries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145,882</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56,853</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210,159</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36,560</w:t>
            </w: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14,229</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456,948</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920,731</w:t>
            </w:r>
          </w:p>
        </w:tc>
      </w:tr>
      <w:tr>
        <w:trPr>
          <w:trHeight w:val="844"/>
        </w:trPr>
        <w:tc>
          <w:tcPr>
            <w:tcW w:w="980" w:type="dxa"/>
            <w:vAlign w:val="bottom"/>
          </w:tcPr>
          <w:p>
            <w:pPr>
              <w:jc w:val="right"/>
              <w:ind w:right="28"/>
              <w:spacing w:after="0"/>
              <w:rPr>
                <w:sz w:val="20"/>
                <w:szCs w:val="20"/>
                <w:color w:val="auto"/>
              </w:rPr>
            </w:pPr>
            <w:r>
              <w:rPr>
                <w:rFonts w:ascii="Arial" w:cs="Arial" w:eastAsia="Arial" w:hAnsi="Arial"/>
                <w:sz w:val="14"/>
                <w:szCs w:val="14"/>
                <w:color w:val="auto"/>
              </w:rPr>
              <w:t>3,037</w:t>
            </w:r>
          </w:p>
        </w:tc>
        <w:tc>
          <w:tcPr>
            <w:tcW w:w="12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81,414</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2,737</w:t>
            </w:r>
          </w:p>
        </w:tc>
        <w:tc>
          <w:tcPr>
            <w:tcW w:w="1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88,007</w:t>
            </w:r>
          </w:p>
        </w:tc>
      </w:tr>
      <w:tr>
        <w:trPr>
          <w:trHeight w:val="20"/>
        </w:trPr>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-359410</wp:posOffset>
            </wp:positionV>
            <wp:extent cx="679196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196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20"/>
            <w:col w:w="8540"/>
          </w:cols>
          <w:pgMar w:left="240" w:top="121" w:right="639" w:bottom="1440" w:gutter="0" w:footer="0" w:header="0"/>
          <w:type w:val="continuous"/>
        </w:sectPr>
      </w:pPr>
    </w:p>
    <w:p>
      <w:pPr>
        <w:spacing w:after="0" w:line="97"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806,661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138,248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4,329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369,170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15,429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109,464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1,035,075</w:t>
            </w:r>
          </w:p>
        </w:tc>
      </w:tr>
      <w:tr>
        <w:trPr>
          <w:trHeight w:val="297"/>
        </w:trPr>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952,543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195,101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579,329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51,989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123,693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1,955,806</w:t>
            </w: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2"/>
        </w:trPr>
        <w:tc>
          <w:tcPr>
            <w:tcW w:w="2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2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175"/>
        </w:trPr>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162"/>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20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36,648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36,648</w:t>
            </w: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373,224</w:t>
            </w: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527,166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527,166</w:t>
            </w:r>
          </w:p>
        </w:tc>
      </w:tr>
      <w:tr>
        <w:trPr>
          <w:trHeight w:val="27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96,525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627,041</w:t>
            </w:r>
          </w:p>
        </w:tc>
      </w:tr>
      <w:tr>
        <w:trPr>
          <w:trHeight w:val="264"/>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371,687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118,317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1,564,079</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020"/>
          </w:cols>
          <w:pgMar w:left="240" w:top="121" w:right="639" w:bottom="1440" w:gutter="0" w:footer="0" w:header="0"/>
          <w:type w:val="continuous"/>
        </w:sectPr>
      </w:pPr>
    </w:p>
    <w:bookmarkStart w:id="41" w:name="page42"/>
    <w:bookmarkEnd w:id="41"/>
    <w:p>
      <w:pPr>
        <w:ind w:right="3820"/>
        <w:spacing w:after="0" w:line="303"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EARNINGS PER SHARE AND EQUITY</w:t>
      </w:r>
    </w:p>
    <w:p>
      <w:pPr>
        <w:spacing w:after="0" w:line="18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Basic earnings (loss) per share (“EPS”) is calculated by dividing net income (loss) attributable to shareholders by the weighted average number of common shares outstanding, plus any participating securities. Diluted EPS is calculated by dividing net income (loss) attributable to shareholders by the weighted average number of common shares outstanding, plus any participating securities and potentially dilutive securities. Potentially dilutive securities are calculated using the treasury stock method.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34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4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50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shareholders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r>
      <w:tr>
        <w:trPr>
          <w:trHeight w:val="264"/>
        </w:trPr>
        <w:tc>
          <w:tcPr>
            <w:tcW w:w="502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2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83,160,037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75,762,674</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82,351,736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75,762,480</w:t>
            </w:r>
          </w:p>
        </w:tc>
      </w:tr>
      <w:tr>
        <w:trPr>
          <w:trHeight w:val="27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83,160,047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75,762,674</w:t>
            </w: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82,351,858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75,762,480</w:t>
            </w:r>
          </w:p>
        </w:tc>
      </w:tr>
      <w:tr>
        <w:trPr>
          <w:trHeight w:val="324"/>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EPS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(0.08)</w:t>
            </w:r>
          </w:p>
        </w:tc>
      </w:tr>
      <w:tr>
        <w:trPr>
          <w:trHeight w:val="258"/>
        </w:trPr>
        <w:tc>
          <w:tcPr>
            <w:tcW w:w="502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0.01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(0.02)</w:t>
            </w:r>
          </w:p>
        </w:tc>
        <w:tc>
          <w:tcPr>
            <w:tcW w:w="2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(0.08)</w:t>
            </w:r>
          </w:p>
        </w:tc>
      </w:tr>
    </w:tbl>
    <w:p>
      <w:pPr>
        <w:spacing w:after="0" w:line="176"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For the three and six months ended June 30, 2017, 1,316 and 1,716 shares, respectively, have been excluded from the calculation of Diluted EPS because the impact would be anti-dilutive.</w:t>
      </w:r>
    </w:p>
    <w:p>
      <w:pPr>
        <w:spacing w:after="0" w:line="142" w:lineRule="exact"/>
        <w:rPr>
          <w:sz w:val="20"/>
          <w:szCs w:val="20"/>
          <w:color w:val="auto"/>
        </w:rPr>
      </w:pPr>
    </w:p>
    <w:p>
      <w:pPr>
        <w:jc w:val="both"/>
        <w:ind w:left="340"/>
        <w:spacing w:after="0" w:line="248" w:lineRule="auto"/>
        <w:rPr>
          <w:sz w:val="20"/>
          <w:szCs w:val="20"/>
          <w:color w:val="auto"/>
        </w:rPr>
      </w:pPr>
      <w:r>
        <w:rPr>
          <w:rFonts w:ascii="Arial" w:cs="Arial" w:eastAsia="Arial" w:hAnsi="Arial"/>
          <w:sz w:val="16"/>
          <w:szCs w:val="16"/>
          <w:color w:val="auto"/>
        </w:rPr>
        <w:t>During the six months ended June 30, 2018, we issued 7,000,000 common shares, par value $0.01 per share, representing limited liability interest in us, in connection with a public offering, at a price of $18.65 per share. The offering closed on January 16, 2018. Net proceeds from the offering were $128,450 after deducting underwriting discounts and commissions and estimated offering expenses payable by us. To compensate the Manager for its successful efforts in raising capital for us, in connection with the offering, we granted options to the Manager related to 700,000 common shares at the public offering price which had a fair value of approximately $1,900 as of the grant date. The assumptions used in valuing the options were: a 2.52% risk-free rate, a 5.45% dividend yield, a 27.73% volatility and a ten-year term. We intend to use the net proceeds from the offering for general corporate purposes, including the funding of future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COMMITMENTS AND CONTINGENCIES</w:t>
      </w:r>
    </w:p>
    <w:p>
      <w:pPr>
        <w:spacing w:after="0" w:line="187" w:lineRule="exact"/>
        <w:rPr>
          <w:sz w:val="20"/>
          <w:szCs w:val="20"/>
          <w:color w:val="auto"/>
        </w:rPr>
      </w:pPr>
    </w:p>
    <w:p>
      <w:pPr>
        <w:jc w:val="both"/>
        <w:ind w:left="340"/>
        <w:spacing w:after="0" w:line="250" w:lineRule="auto"/>
        <w:rPr>
          <w:sz w:val="20"/>
          <w:szCs w:val="20"/>
          <w:color w:val="auto"/>
        </w:rPr>
      </w:pPr>
      <w:r>
        <w:rPr>
          <w:rFonts w:ascii="Arial" w:cs="Arial" w:eastAsia="Arial" w:hAnsi="Arial"/>
          <w:sz w:val="16"/>
          <w:szCs w:val="16"/>
          <w:color w:val="auto"/>
        </w:rPr>
        <w:t>In the normal course of business we, and our subsidiaries, may be involved in various claims, legal proceedings, or may enter into contracts that contain a variety of representations and warranties and which provide general indemnifications. Within our Offshore Energy segment, a lessee did not fulfill their obligation under their charter arrangement, therefore we are pursuing rights afforded to us under the charter and the range of potential losses against the obligation is $0 to $3,334. Our maximum exposure under other arrangements is unknown as no additional claims have been made. We believe the risk of loss in connection with such arrangements is remote.</w:t>
      </w:r>
    </w:p>
    <w:p>
      <w:pPr>
        <w:spacing w:after="0" w:line="14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We have also entered into an arrangement with our non-controlling interest holder of Repauno, whereby the non-controlling interest holder may receive additional payments contingent upon the achievement of certain conditions, not to exceed $15,000. We will account for such amounts when and if such conditions are achieved.</w:t>
      </w:r>
    </w:p>
    <w:p>
      <w:pPr>
        <w:spacing w:after="0" w:line="147" w:lineRule="exact"/>
        <w:rPr>
          <w:sz w:val="20"/>
          <w:szCs w:val="20"/>
          <w:color w:val="auto"/>
        </w:rPr>
      </w:pPr>
    </w:p>
    <w:p>
      <w:pPr>
        <w:jc w:val="both"/>
        <w:ind w:left="340"/>
        <w:spacing w:after="0" w:line="260" w:lineRule="auto"/>
        <w:rPr>
          <w:sz w:val="20"/>
          <w:szCs w:val="20"/>
          <w:color w:val="auto"/>
        </w:rPr>
      </w:pPr>
      <w:r>
        <w:rPr>
          <w:rFonts w:ascii="Arial" w:cs="Arial" w:eastAsia="Arial" w:hAnsi="Arial"/>
          <w:sz w:val="16"/>
          <w:szCs w:val="16"/>
          <w:color w:val="auto"/>
        </w:rPr>
        <w:t>We have entered into an arrangement with the seller of Long Ridge, whereby the seller may receive additional payments contingent upon the achievement of certain conditions, not to exceed $5,000. We will account for such amounts when and if such conditions are achieved.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Several of our subsidiaries are lessees under various operating and capital leases. Total rent expense for operating leases was as follows:</w:t>
      </w:r>
    </w:p>
    <w:p>
      <w:pPr>
        <w:spacing w:after="0" w:line="368"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9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51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Rent expense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2,156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2,520</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2018, minimum future rental payments under operating and capital leases are as follows:</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3,120</w:t>
            </w:r>
          </w:p>
        </w:tc>
      </w:tr>
      <w:tr>
        <w:trPr>
          <w:trHeight w:val="210"/>
        </w:trPr>
        <w:tc>
          <w:tcPr>
            <w:tcW w:w="9200" w:type="dxa"/>
            <w:vAlign w:val="bottom"/>
          </w:tcPr>
          <w:p>
            <w:pPr>
              <w:ind w:left="20"/>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5,986</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5,097</w:t>
            </w:r>
          </w:p>
        </w:tc>
      </w:tr>
      <w:tr>
        <w:trPr>
          <w:trHeight w:val="210"/>
        </w:trPr>
        <w:tc>
          <w:tcPr>
            <w:tcW w:w="9200" w:type="dxa"/>
            <w:vAlign w:val="bottom"/>
          </w:tcPr>
          <w:p>
            <w:pPr>
              <w:ind w:left="20"/>
              <w:spacing w:after="0"/>
              <w:rPr>
                <w:sz w:val="20"/>
                <w:szCs w:val="20"/>
                <w:color w:val="auto"/>
              </w:rPr>
            </w:pPr>
            <w:r>
              <w:rPr>
                <w:rFonts w:ascii="Arial" w:cs="Arial" w:eastAsia="Arial" w:hAnsi="Arial"/>
                <w:sz w:val="14"/>
                <w:szCs w:val="14"/>
                <w:color w:val="auto"/>
              </w:rPr>
              <w:t>2021</w:t>
            </w:r>
          </w:p>
        </w:tc>
        <w:tc>
          <w:tcPr>
            <w:tcW w:w="5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3,312</w:t>
            </w:r>
          </w:p>
        </w:tc>
      </w:tr>
      <w:tr>
        <w:trPr>
          <w:trHeight w:val="222"/>
        </w:trPr>
        <w:tc>
          <w:tcPr>
            <w:tcW w:w="9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2,433</w:t>
            </w:r>
          </w:p>
        </w:tc>
      </w:tr>
      <w:tr>
        <w:trPr>
          <w:trHeight w:val="210"/>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69,090</w:t>
            </w:r>
          </w:p>
        </w:tc>
      </w:tr>
      <w:tr>
        <w:trPr>
          <w:trHeight w:val="216"/>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89,038</w:t>
            </w:r>
          </w:p>
        </w:tc>
      </w:tr>
      <w:tr>
        <w:trPr>
          <w:trHeight w:val="20"/>
        </w:trPr>
        <w:tc>
          <w:tcPr>
            <w:tcW w:w="9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SUBSEQUENT EVENTS</w:t>
      </w:r>
    </w:p>
    <w:p>
      <w:pPr>
        <w:spacing w:after="0" w:line="322" w:lineRule="exact"/>
        <w:rPr>
          <w:sz w:val="20"/>
          <w:szCs w:val="20"/>
          <w:color w:val="auto"/>
        </w:rPr>
      </w:pPr>
    </w:p>
    <w:p>
      <w:pPr>
        <w:jc w:val="both"/>
        <w:ind w:left="340" w:right="20"/>
        <w:spacing w:after="0" w:line="260" w:lineRule="auto"/>
        <w:rPr>
          <w:sz w:val="20"/>
          <w:szCs w:val="20"/>
          <w:color w:val="auto"/>
        </w:rPr>
      </w:pPr>
      <w:r>
        <w:rPr>
          <w:rFonts w:ascii="Arial" w:cs="Arial" w:eastAsia="Arial" w:hAnsi="Arial"/>
          <w:sz w:val="16"/>
          <w:szCs w:val="16"/>
          <w:color w:val="auto"/>
        </w:rPr>
        <w:t>On August 2, 2018, our Board of Directors declared a cash dividend on our common shares of $0.33 per share for the quarter ended June 30, 2018, payable on August 28, 2018 to the holders of record on August 17, 2018.</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Amendment to the Revolving Credit Facility</w:t>
      </w:r>
    </w:p>
    <w:p>
      <w:pPr>
        <w:spacing w:after="0" w:line="13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On August 2, 2018, we entered into an amendment to the Revolving Credit Facility. The amendment, among other things, (i) increases the aggregate revolving commitments under the Revolving Credit Facility by $50,000 from $75,000 to $125,000 and (ii) extends the maturity date of the revolving loans and commitments under the Existing Credit Agreement by one year from June 16, 2020 to June 16,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“we,” “our” or “us”). Our MD&amp;A should be read in conjunction with our unaudited consolidated financial statements and the accompanying notes, and with Part II, Item 1A, “Risk Factors” included elsewhere in this Quarterly Report on Form 10-Q.</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June 30, 2018, we had total consolidated assets of $2.2 billion and total equity of $1.1 billion.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We target or develop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(i) Aviation Leasing, (ii) Offshore Energy, (iii) Shipping Containers, all of which are within Equipment Leasing Business, and (iv) Jefferson Terminal, (v) Railroad and (vi)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Ports and Terminals segment consists of Repauno, acquired in 2016, a 1,630 acre deep-water port located along the Delaware river with an underground storage cavern and multiple industrial development opportunities, and Long Ridge, acquired in June 2017, a 1,660 acre multi-modal port located along the Ohio River with rail, dock, and multiple industrial development opportunities.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Corporate operating segment primarily consists of unallocated corporate general and administrative expenses, and management fees.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December 27, 2017, SoftBank Group Corp. (“SoftBank”) announced that it completed its previously announced acquisition of Fortress (the “SoftBank Merger”). In connection with the Merger, Fortress operates within SoftBank as an independent business headquartered in New York.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062"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0497F"/>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Chief Operating Decision Maker (“CODM”) utilizes Adjusted Net Income (Loss) as the key performance measure. This performance measure provides the CODM with the information necessary to assess operational performance, as well as make resource and allocation decisions.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Adjusted Net Income (Loss)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(losses) of unconsolidated entities, (b) to include the impact of cash income tax payments, and our pro-rata share of the Adjusted Net Income (Loss) from unconsolidated entities, and (c) to exclude the impact of the non-controlling share of Adjusted Net Income (Loss). We evaluate investment performance for each reportable segment primarily based on Adjusted Net Income (Loss). We believe that net income attributable to shareholders, as defined by GAAP, is the most comparable earnings measurement with which to reconcile Adjusted Net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view Adjusted EBITDA as a secondary measurement to Adjusted Net Income (Loss),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Adjusted EBITDA is defined as net income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0"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(losses) of unconsolidated entities and the non-controlling share of Adjusted EBITDA.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743"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497F"/>
        </w:rPr>
        <w:t>Comparison of the three and six months ended June 30,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consolidated results of operations and reconciliation of net income (loss) attributable to shareholders to Adjusted Net Income: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35,493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67,050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25,919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21,688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16,576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45,115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29,245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15,870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1,537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1,970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1,346</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59,330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40,383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18,947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115,114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71,771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43,343</w:t>
            </w:r>
          </w:p>
        </w:tc>
        <w:tc>
          <w:tcPr>
            <w:tcW w:w="0" w:type="dxa"/>
            <w:vAlign w:val="bottom"/>
          </w:tcPr>
          <w:p>
            <w:pPr>
              <w:spacing w:after="0"/>
              <w:rPr>
                <w:sz w:val="1"/>
                <w:szCs w:val="1"/>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64"/>
        </w:trPr>
        <w:tc>
          <w:tcPr>
            <w:tcW w:w="4920" w:type="dxa"/>
            <w:vAlign w:val="bottom"/>
          </w:tcPr>
          <w:p>
            <w:pPr>
              <w:ind w:left="80"/>
              <w:spacing w:after="0"/>
              <w:rPr>
                <w:sz w:val="20"/>
                <w:szCs w:val="20"/>
                <w:color w:val="auto"/>
              </w:rPr>
            </w:pPr>
            <w:r>
              <w:rPr>
                <w:rFonts w:ascii="Arial" w:cs="Arial" w:eastAsia="Arial" w:hAnsi="Arial"/>
                <w:sz w:val="14"/>
                <w:szCs w:val="14"/>
                <w:color w:val="auto"/>
              </w:rPr>
              <w:t>Rail revenues</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8,788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7,662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19,835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16,065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Terminal services revenues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w:t>
            </w:r>
          </w:p>
        </w:tc>
        <w:tc>
          <w:tcPr>
            <w:tcW w:w="0" w:type="dxa"/>
            <w:vAlign w:val="bottom"/>
          </w:tcPr>
          <w:p>
            <w:pPr>
              <w:spacing w:after="0"/>
              <w:rPr>
                <w:sz w:val="1"/>
                <w:szCs w:val="1"/>
                <w:color w:val="auto"/>
              </w:rPr>
            </w:pPr>
          </w:p>
        </w:tc>
      </w:tr>
      <w:tr>
        <w:trPr>
          <w:trHeight w:val="264"/>
        </w:trPr>
        <w:tc>
          <w:tcPr>
            <w:tcW w:w="4920" w:type="dxa"/>
            <w:vAlign w:val="bottom"/>
          </w:tcPr>
          <w:p>
            <w:pPr>
              <w:ind w:left="80"/>
              <w:spacing w:after="0"/>
              <w:rPr>
                <w:sz w:val="20"/>
                <w:szCs w:val="20"/>
                <w:color w:val="auto"/>
              </w:rPr>
            </w:pPr>
            <w:r>
              <w:rPr>
                <w:rFonts w:ascii="Arial" w:cs="Arial" w:eastAsia="Arial" w:hAnsi="Arial"/>
                <w:sz w:val="14"/>
                <w:szCs w:val="14"/>
                <w:color w:val="auto"/>
              </w:rPr>
              <w:t>Other revenue</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894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12,649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25,709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24,096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71,979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51,194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20,785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140,823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95,867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44,956</w:t>
            </w:r>
          </w:p>
        </w:tc>
        <w:tc>
          <w:tcPr>
            <w:tcW w:w="0" w:type="dxa"/>
            <w:vAlign w:val="bottom"/>
          </w:tcPr>
          <w:p>
            <w:pPr>
              <w:spacing w:after="0"/>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27,593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55,172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12,835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4,573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8,159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7,176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4,495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8,234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32,844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62,431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24,833</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12,857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7,684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24,728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83,870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25,555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161,998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110,579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51,419</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2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4,996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4,991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1,157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5,976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6,422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6,055</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2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(5,915)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(6,449)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(5,809)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(15,782)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8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(7,288)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(16,049)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(4,349)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839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2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4"/>
        </w:trPr>
        <w:tc>
          <w:tcPr>
            <w:tcW w:w="492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(Loss) from unconsolidated</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entities </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573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(474)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(Loss) </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2,570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5,297</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48"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Includes our proportionate share of the unconsolidated entities’ net income adjusted for the excluded and included items detailed in the table above.</w:t>
      </w:r>
    </w:p>
    <w:p>
      <w:pPr>
        <w:spacing w:after="0" w:line="106" w:lineRule="exact"/>
        <w:rPr>
          <w:rFonts w:ascii="Arial" w:cs="Arial" w:eastAsia="Arial" w:hAnsi="Arial"/>
          <w:sz w:val="16"/>
          <w:szCs w:val="16"/>
          <w:color w:val="auto"/>
          <w:vertAlign w:val="superscript"/>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2018 and 2017: (i) equity-based compensation of $38 and $50, (ii) provision for income tax of $4 and $(2), and</w:t>
      </w:r>
    </w:p>
    <w:p>
      <w:pPr>
        <w:jc w:val="both"/>
        <w:ind w:left="180" w:hanging="10"/>
        <w:spacing w:after="0" w:line="250" w:lineRule="auto"/>
        <w:tabs>
          <w:tab w:leader="none" w:pos="4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changes in fair value of non-hedge derivative instruments of $174 and $0 less (iv) cash tax payments of $18 and $31, respectively. Includes the following items for the six months ended June 30, 2018 and 2017: (i) equity-based compensation of $75 and $75, (ii) provision for income tax of $8 and $13, and (iii) changes in fair value of non-hedge derivative instruments of $(70) and $0, less (iv) cash tax payments of $13 and $32,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534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1,029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1,508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3,274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573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38,506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75,320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34,431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12,857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24,728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12,378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12,350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251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(1,437)</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38"/>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52,217</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28,833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23,384</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100,337</w:t>
            </w:r>
          </w:p>
        </w:tc>
        <w:tc>
          <w:tcPr>
            <w:tcW w:w="100" w:type="dxa"/>
            <w:vAlign w:val="bottom"/>
          </w:tcPr>
          <w:p>
            <w:pPr>
              <w:spacing w:after="0"/>
              <w:rPr>
                <w:sz w:val="20"/>
                <w:szCs w:val="20"/>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50,970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49,367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0</wp:posOffset>
            </wp:positionV>
            <wp:extent cx="39789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8910" cy="260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177" w:lineRule="exact"/>
        <w:rPr>
          <w:sz w:val="20"/>
          <w:szCs w:val="20"/>
          <w:color w:val="auto"/>
        </w:rPr>
      </w:pPr>
    </w:p>
    <w:p>
      <w:pPr>
        <w:jc w:val="both"/>
        <w:ind w:left="180" w:hanging="172"/>
        <w:spacing w:after="0" w:line="232"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Includes the following items for the three months ended June 30, 2018 and 2017: $32,844 and $20,221 of depreciation and amortization expense, $2,010 and $1,065 of lease intangible amortization, and $3,652 and $297 of amortization for lease incentives for the three months ended June 30, 2018 and 2017, respectively. Includes $62,431 and $37,598 of depreciation and amortization expense, $4,002 and $2,347 of lease intangible amortization, and $8,887 and $944 of amortization for lease incentives for the six months ended June 30, 2018 and 2017, respectively.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694" w:right="239" w:bottom="1440" w:gutter="0" w:footer="0" w:header="0"/>
        </w:sectPr>
      </w:pPr>
    </w:p>
    <w:bookmarkStart w:id="47" w:name="page48"/>
    <w:bookmarkEnd w:id="47"/>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months ended June 30, 2018 and 2017: (i) net loss of $299 and $376, (ii) interest expense of $94 and $223, and (iii) depreciation and</w:t>
      </w:r>
    </w:p>
    <w:p>
      <w:pPr>
        <w:ind w:left="180"/>
        <w:spacing w:after="0" w:line="258" w:lineRule="auto"/>
        <w:rPr>
          <w:rFonts w:ascii="Arial" w:cs="Arial" w:eastAsia="Arial" w:hAnsi="Arial"/>
          <w:sz w:val="16"/>
          <w:szCs w:val="16"/>
          <w:color w:val="auto"/>
          <w:vertAlign w:val="superscript"/>
        </w:rPr>
      </w:pPr>
      <w:r>
        <w:rPr>
          <w:rFonts w:ascii="Arial" w:cs="Arial" w:eastAsia="Arial" w:hAnsi="Arial"/>
          <w:sz w:val="14"/>
          <w:szCs w:val="14"/>
          <w:color w:val="auto"/>
        </w:rPr>
        <w:t>amortization expense of $13 and $342, respectively. Includes the following items for the six months ended June 30, 2018 and 2017: (i) net loss of $251 and $1,685, (ii) interest expense of $206 and $474, and (iii) depreciation and amortization expense of $28 and $720, respectively.</w:t>
      </w:r>
    </w:p>
    <w:p>
      <w:pPr>
        <w:spacing w:after="0" w:line="140" w:lineRule="exact"/>
        <w:rPr>
          <w:rFonts w:ascii="Arial" w:cs="Arial" w:eastAsia="Arial" w:hAnsi="Arial"/>
          <w:sz w:val="16"/>
          <w:szCs w:val="16"/>
          <w:color w:val="auto"/>
          <w:vertAlign w:val="superscript"/>
        </w:rPr>
      </w:pPr>
    </w:p>
    <w:p>
      <w:pPr>
        <w:jc w:val="both"/>
        <w:ind w:left="180" w:hanging="172"/>
        <w:spacing w:after="0" w:line="231" w:lineRule="auto"/>
        <w:tabs>
          <w:tab w:leader="none" w:pos="174"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2018 and 2017: (i) equity based compensation of $25 and $50, (ii) provision for income taxes of $3 and $(2), (iii) interest expense of $1,032 and $476, (iv) depreciation and amortization expense of $1,200 and $1,753, and (v) changes in fair value of non-hedge derivative instruments of $187 and $0, respectively. Includes the following items for the six months ended June 30, 2018 and 2017: (i) equity based compensation of $62 and $75, (ii) provision for income taxes of $7 and $13, (iii) interest expense of $2,324 and $1,004, (iv) depreciation and amortization expense of $3,276 and $3,427, and (v) changes in fair value of non-hedge derivative instruments of $(57) and $0,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2018 and 2017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increased by $20,785, primarily due to higher revenues in the Aviation Leasing, Railroad and Ports and Terminals segments.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Equipment Leasing, lease income increased by $12,608, primarily driven by an increase in acquired assets on lease in the Aviation Leasing segment.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Maintenance revenue increased by $5,112 as the number of aircraft and engines subject to leases with maintenance arrangements increased.</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Infrastructure, rail revenues increased by $1,126, primarily due to higher traffic and increased carloads by the Railroad segment. Other revenue increased by $894, which relates to services performed for lessees at Long Ridge in the Ports and Terminals segment.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2018 and 2017</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increased $44,956, due to higher revenues in our Aviation Leasing, Railroad, Ports and Terminals and Offshore Energy segments. These increases were partially offset by a decrease in the Jefferson Terminal segment.</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Equipment Leasing, lease income increased $25,919, primarily due to an increase in the number of assets on lease in the Aviation Leasing segment. Additionally, maintenance revenue increased $15,870 primarily due to an increase in the number of aircraft and engines subject to leases with maintenance arrangements, and the release of maintenance claims into revenue for aircraft that are being returned from lease.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Infrastructure, rail revenues increased $3,770, primarily due to higher traffic related to a detour resulting in the diversion of trains onto our track. Other revenue increased $1,272, which relates to services performed for lessees at Long Ridge. The increases were offset by lower Jefferson Terminal revenue of $4,089 primarily due to lower volumes.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months ended June 30, 2018 and 2017</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by $25,555, primarily due to higher (i) deprecation and amortization, (ii) operating expenses and (iii) interest expense.</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and amortization increased by $12,623, primarily due to additional assets acquired in the Aviation Leasing segment and assets placed into service in the Jefferson Terminal segment.</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expenses increased by $6,269, primarily due to an increase in (i) facility operations of $2,251 primarily in the Jefferson Terminal and Ports and Terminals segments, (ii) professional fees of $1,455 primarily in the Jefferson Terminal segment, (iii) repairs and maintenance of $589 primarily in the Ports and Terminals, Jefferson Terminal and Offshore Energy segments and (iv) other operating expenses related to business growth.</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Interest expense increased by $5,173, primarily due to additional debt of $64,511 from the Jefferson Revolver and Revolving Credit Facility, a decrease in capitalized interest from the Series 2016 Bonds and a decrease in construction in progress as certain terminal storage assets were placed into service in the first quarter of 2018.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six months ended June 30,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$51,419, mainly due to higher (i) depreciation and amortization, (ii) operating expenses and (iii) 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increased $24,833, primarily due to additional assets acquired and placed on lease in the Aviation Leasing segment.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28" w:right="239" w:bottom="1440" w:gutter="0" w:footer="0" w:header="0"/>
        </w:sectPr>
      </w:pPr>
    </w:p>
    <w:bookmarkStart w:id="48" w:name="page49"/>
    <w:bookmarkEnd w:id="48"/>
    <w:p>
      <w:pPr>
        <w:jc w:val="both"/>
        <w:spacing w:after="0" w:line="250" w:lineRule="auto"/>
        <w:rPr>
          <w:sz w:val="20"/>
          <w:szCs w:val="20"/>
          <w:color w:val="auto"/>
        </w:rPr>
      </w:pPr>
      <w:r>
        <w:rPr>
          <w:rFonts w:ascii="Arial" w:cs="Arial" w:eastAsia="Arial" w:hAnsi="Arial"/>
          <w:sz w:val="16"/>
          <w:szCs w:val="16"/>
          <w:color w:val="auto"/>
        </w:rPr>
        <w:t>Operating expenses increased $12,835, primarily due to increases in (i) facility operations of $4,270 primarily in the Jefferson Terminal segment, (ii) professional fees of $1,460 primarily in the Jefferson Terminal segment, (iii) bad debt expense of $1,458 primarily related to the write-off of receivables in the Aviation Leasing segment, (iv) compensation and benefits of $1,436 primarily reflecting hiring in the Ports and Terminals and Railroad segments, (v) repairs and maintenance expense of $1,385 primarily due to maintenance costs in the Jefferson Terminal and Ports and Terminals segments and (vi) other operating expenses related to business growth.</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Interest expense increased $12,350, primarily related to interest on the Senior Notes and the Revolving Credit Facility. Refer to the Note 8 of the Consolidated Financial Statements for further detail.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increased $4,200 during the three months ended June 30, 2018, compared to the three months ended June 30, 2017, primarily due to an increase in gains on sales of $2,997 primarily in the Aviation Leasing segment and a fair value gain on a short term derivative of $441.</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other income increased $6,055 during the six months ended June 30, 2018, compared to the six months ended June 30, 2017. The increase primarily reflects (i) the loss on extinguishment of debt of $2,456 during the six months ended June 30, 2017, (ii) an increase in gains on sales of $974 primarily in the Aviation Leasing segment and (iii) lower equity in losses in unconsolidated subsidiaries of $1,437.</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income attributable to shareholders increased $2,299 and $6,141 during the three and six months ended June 30, 2018 compared to the three and six months ended June 30, 2017, respectively, primarily due to the changes discussed above.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Adjusted Net Income increased $1,944 and $4,920 during the three and six months ended June 30, 2018 compared to the three and six months ended June 30, 2017, respectively, primarily due to the changes in revenue, expenses and other income (expense) noted above. Additionally, the change was due to</w:t>
      </w:r>
    </w:p>
    <w:p>
      <w:pPr>
        <w:spacing w:after="0" w:line="1" w:lineRule="exact"/>
        <w:rPr>
          <w:sz w:val="20"/>
          <w:szCs w:val="20"/>
          <w:color w:val="auto"/>
        </w:rPr>
      </w:pPr>
    </w:p>
    <w:p>
      <w:pPr>
        <w:ind w:firstLine="8"/>
        <w:spacing w:after="0" w:line="260" w:lineRule="auto"/>
        <w:tabs>
          <w:tab w:leader="none" w:pos="1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incentive fees, (ii) lower cash payments for income taxes, (iii) a lower pro-rata share of Adjusted Net Loss and (iv) the loss on extinguishment of debt during the six months ended June 30, 2017.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Adjusted EBITDA increased $23,384 and $49,367 during the three and six months ended June 30, 2018 compared to the three and six months ended June 30, 2017, respectively. In addition to the changes in revenue, expenses and income/(loss) noted above, which resulted in an increase in income attributable to shareholders, the change was primarily due to (i) increased depreciation and amortization expense from additional assets acquired and placed into service, (ii) increased interest expense, (iii) incentive fees and (iv) increased pro-rata share of Adjusted EBITDA from unconsolidated entities. Partially offsetting these changes were changes in (i) the loss on extinguishment of debt for the six month period, (ii) equity in losses of unconsolidated entities and (iii) non-controlling share of Adjusted EBITDA.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in our Aviation Leasing segment, we own and manage 183 aviation assets, consisting of 57 commercial aircraft and 126 engines.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June 30, 2018, 53 of our commercial aircraft and 98 of our engines were leased to operators or other third parties. Aviation assets currently off lease are either undergoing repair and/or maintenance, being prepared to go on lease or held in short term storage awaiting a future lease. Our aviation equipment was approximately 87% utilized as of June 30, 2018, based on the equity value of our on-hire leasing equipment as a percentage of the total equity value of our aviation leasing equipment. Our aircraft currently have a weighted average remaining lease term of 31 months, and our engines currently on-lease have an average remaining lease term of 11 months. The table below provides additional information on the assets in our Aviation Leasing segment: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4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2018</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48</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24"/>
                <w:szCs w:val="24"/>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June 30, 2018</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w:t>
            </w:r>
          </w:p>
        </w:tc>
      </w:tr>
      <w:tr>
        <w:trPr>
          <w:trHeight w:val="554"/>
        </w:trPr>
        <w:tc>
          <w:tcPr>
            <w:tcW w:w="40" w:type="dxa"/>
            <w:vAlign w:val="bottom"/>
          </w:tcPr>
          <w:p>
            <w:pPr>
              <w:spacing w:after="0"/>
              <w:rPr>
                <w:sz w:val="24"/>
                <w:szCs w:val="24"/>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99"/>
              </w:rPr>
              <w:t>Engines</w:t>
            </w:r>
          </w:p>
        </w:tc>
        <w:tc>
          <w:tcPr>
            <w:tcW w:w="4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2018</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57</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110</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4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Transfers</w:t>
            </w:r>
          </w:p>
        </w:tc>
        <w:tc>
          <w:tcPr>
            <w:tcW w:w="1660" w:type="dxa"/>
            <w:vAlign w:val="bottom"/>
          </w:tcPr>
          <w:p>
            <w:pPr>
              <w:spacing w:after="0"/>
              <w:rPr>
                <w:sz w:val="24"/>
                <w:szCs w:val="24"/>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50"/>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June 30, 2018</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126</w:t>
            </w: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680"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33,625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62,933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25,297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21,688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16,576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45,115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29,245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15,870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558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56,118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36,577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19,541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108,853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66,883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41,970</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1,864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5,297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24,875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14,086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10,789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46,688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21,313</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26,805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15,512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11,293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52,208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28,435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23,773</w:t>
            </w:r>
          </w:p>
        </w:tc>
        <w:tc>
          <w:tcPr>
            <w:tcW w:w="0" w:type="dxa"/>
            <w:vAlign w:val="bottom"/>
          </w:tcPr>
          <w:p>
            <w:pPr>
              <w:spacing w:after="0"/>
              <w:rPr>
                <w:sz w:val="1"/>
                <w:szCs w:val="1"/>
                <w:color w:val="auto"/>
              </w:rPr>
            </w:pPr>
          </w:p>
        </w:tc>
      </w:tr>
      <w:tr>
        <w:trPr>
          <w:trHeight w:val="297"/>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5,003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4,910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4,739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1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34,223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61,384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33,700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60,378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41,154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19,224</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income attributable to non-controlling interest in consolidated</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33,700</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22,361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11,339</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60,402</w:t>
            </w:r>
          </w:p>
        </w:tc>
        <w:tc>
          <w:tcPr>
            <w:tcW w:w="100" w:type="dxa"/>
            <w:vAlign w:val="bottom"/>
          </w:tcPr>
          <w:p>
            <w:pPr>
              <w:spacing w:after="0"/>
              <w:rPr>
                <w:sz w:val="21"/>
                <w:szCs w:val="21"/>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19,390</w:t>
            </w:r>
          </w:p>
        </w:tc>
        <w:tc>
          <w:tcPr>
            <w:tcW w:w="0" w:type="dxa"/>
            <w:vAlign w:val="bottom"/>
          </w:tcPr>
          <w:p>
            <w:pPr>
              <w:spacing w:after="0"/>
              <w:rPr>
                <w:sz w:val="1"/>
                <w:szCs w:val="1"/>
                <w:color w:val="auto"/>
              </w:rPr>
            </w:pP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523</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1,006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4"/>
        </w:trPr>
        <w:tc>
          <w:tcPr>
            <w:tcW w:w="516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1"/>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33,868</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22,894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10,974</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61,210</w:t>
            </w:r>
          </w:p>
        </w:tc>
        <w:tc>
          <w:tcPr>
            <w:tcW w:w="100" w:type="dxa"/>
            <w:vAlign w:val="bottom"/>
          </w:tcPr>
          <w:p>
            <w:pPr>
              <w:spacing w:after="0"/>
              <w:rPr>
                <w:sz w:val="21"/>
                <w:szCs w:val="21"/>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41,953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19,257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hanging="172"/>
        <w:spacing w:after="0" w:line="225" w:lineRule="auto"/>
        <w:tabs>
          <w:tab w:leader="none" w:pos="153"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47"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33,700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60,402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1,006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66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30,537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15,448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59,577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30,911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r>
              <w:rPr>
                <w:rFonts w:ascii="Arial" w:cs="Arial" w:eastAsia="Arial" w:hAnsi="Arial"/>
                <w:sz w:val="17"/>
                <w:szCs w:val="17"/>
                <w:color w:val="auto"/>
                <w:vertAlign w:val="superscript"/>
              </w:rPr>
              <w:t>(4)</w:t>
            </w: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64,826</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38,221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26,605</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121,036</w:t>
            </w:r>
          </w:p>
        </w:tc>
        <w:tc>
          <w:tcPr>
            <w:tcW w:w="100" w:type="dxa"/>
            <w:vAlign w:val="bottom"/>
          </w:tcPr>
          <w:p>
            <w:pPr>
              <w:spacing w:after="0"/>
              <w:rPr>
                <w:sz w:val="20"/>
                <w:szCs w:val="20"/>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70,457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50,579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33" w:lineRule="exact"/>
        <w:rPr>
          <w:sz w:val="20"/>
          <w:szCs w:val="20"/>
          <w:color w:val="auto"/>
        </w:rPr>
      </w:pPr>
    </w:p>
    <w:p>
      <w:pPr>
        <w:jc w:val="both"/>
        <w:ind w:left="180" w:hanging="172"/>
        <w:spacing w:after="0" w:line="230" w:lineRule="auto"/>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Includes (i) $24,875 and $14,086 of depreciation expense, (ii) $2,010 and $1,065 of lease intangible amortization, and (iii) $3,652 and $297 of amortization for lease incentives during the three months ended June 30, 2018 and 2017, respectively. Includes (i) $46,688 and $25,375 of depreciation expense, (ii) $4,002 and $2,347 of lease intangible amortization, and (iii) $8,887 and $944 of amortization for lease incentives during the six months ended June 30, 2018 and 2017, respectively.</w:t>
      </w:r>
    </w:p>
    <w:p>
      <w:pPr>
        <w:spacing w:after="0" w:line="152" w:lineRule="exact"/>
        <w:rPr>
          <w:rFonts w:ascii="Arial" w:cs="Arial" w:eastAsia="Arial" w:hAnsi="Arial"/>
          <w:sz w:val="17"/>
          <w:szCs w:val="17"/>
          <w:color w:val="auto"/>
          <w:vertAlign w:val="superscript"/>
        </w:rPr>
      </w:pPr>
    </w:p>
    <w:p>
      <w:pPr>
        <w:ind w:left="180" w:hanging="172"/>
        <w:spacing w:after="0" w:line="225" w:lineRule="auto"/>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Includes Aviation Leasing’s proportionate share of the unconsolidated entities’ net income adjusted for the excluded and included items detailed in the table above, for which there were no adjustments.</w:t>
      </w:r>
    </w:p>
    <w:p>
      <w:pPr>
        <w:spacing w:after="0" w:line="152" w:lineRule="exact"/>
        <w:rPr>
          <w:rFonts w:ascii="Arial" w:cs="Arial" w:eastAsia="Arial" w:hAnsi="Arial"/>
          <w:sz w:val="17"/>
          <w:szCs w:val="17"/>
          <w:color w:val="auto"/>
          <w:vertAlign w:val="superscript"/>
        </w:rPr>
      </w:pPr>
    </w:p>
    <w:p>
      <w:pPr>
        <w:ind w:left="180" w:hanging="172"/>
        <w:spacing w:after="0" w:line="225" w:lineRule="auto"/>
        <w:tabs>
          <w:tab w:leader="none" w:pos="153" w:val="left"/>
        </w:tabs>
        <w:numPr>
          <w:ilvl w:val="0"/>
          <w:numId w:val="16"/>
        </w:numPr>
        <w:rPr>
          <w:rFonts w:ascii="Arial" w:cs="Arial" w:eastAsia="Arial" w:hAnsi="Arial"/>
          <w:sz w:val="17"/>
          <w:szCs w:val="17"/>
          <w:color w:val="auto"/>
          <w:vertAlign w:val="superscript"/>
        </w:rPr>
      </w:pPr>
      <w:r>
        <w:rPr>
          <w:rFonts w:ascii="Arial" w:cs="Arial" w:eastAsia="Arial" w:hAnsi="Arial"/>
          <w:sz w:val="14"/>
          <w:szCs w:val="14"/>
          <w:color w:val="auto"/>
        </w:rPr>
        <w:t>Includes $0 and $121 of depreciation expense during the three months ended June 30, 2018 and 2017, respectively. Includes $172 and $162 of depreciation expense during the six months ended June 30, 2018 and 2017,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revenue increased $19,541 during the three months ended June 30, 2018 compared to the three months ended June 30, 2017, due to higher lease income and maintenance revenue driven by the acquisition and placement of aviation assets on lease. Lease income increased by $13,624 mainly due to an increase in (i) aircraft lease income of $8,471 primarily driven by the addition of 27 aircraft on lease and (ii) engine lease income of $5,153 primarily driven by an increase in the number of engines which have generated revenue during the quarter from 68 in the three months ended June 30, 2017 to 99 in the three months ended June 30, 2018. Maintenance revenue increased by $5,112 due to an increase in the number of aircraft and engines on lease.</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Total revenues increased $41,970 during the six months ended June 30, 2018 compared to the six months ended June 30, 2017, due to higher lease income and maintenance revenue reflecting newly acquired assets. Lease income increased $25,297, aircraft lease income increase $15,334 primarily due to an additional 30 aircraft on lease. Engine lease income increased $9,963 primarily driven by an increase in the number of engines which generated revenue from 70 to 103 in the six months ended June 30, 2017 and 2018, respectively. Maintenance revenue increased $15,870 due to a higher number of aircraft and engines on lease, and the release of maintenance claims into revenue for aircraft that are being returned from lease. Engine maintenance and aircraft maintenance revenue increased $12,479 and $3,391, respectively, in the six months ended June 30, 2018 compared to the six months ended June 30, 2017.</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in the Aviation Leasing segment increased by $11,293 in the three months ended June 30, 2018 as compared to the three months ended June 30, 2017, primarily due to an increase in depreciation and amortization expense and operating expenses. Depreciation and amortization expense increased by $ 10,789 driven by additional aircraft and engines owned and on lease. Operating expenses increased by $493, primarily the result of an increase in professional fees of $498 due to the number of assets placed on lease, other operating expenses of $162, offset by decreases in equipment shipping costs of $167.</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47" w:right="239" w:bottom="1440" w:gutter="0" w:footer="0" w:header="0"/>
        </w:sectPr>
      </w:pPr>
    </w:p>
    <w:bookmarkStart w:id="52" w:name="page53"/>
    <w:bookmarkEnd w:id="52"/>
    <w:p>
      <w:pPr>
        <w:jc w:val="both"/>
        <w:ind w:right="20"/>
        <w:spacing w:after="0" w:line="250" w:lineRule="auto"/>
        <w:rPr>
          <w:sz w:val="20"/>
          <w:szCs w:val="20"/>
          <w:color w:val="auto"/>
        </w:rPr>
      </w:pPr>
      <w:r>
        <w:rPr>
          <w:rFonts w:ascii="Arial" w:cs="Arial" w:eastAsia="Arial" w:hAnsi="Arial"/>
          <w:sz w:val="16"/>
          <w:szCs w:val="16"/>
          <w:color w:val="auto"/>
        </w:rPr>
        <w:t>Total expenses increased $23,773 in the six months ended June 30, 2018 compared to the six months ended June 30, 2017 primarily due to an increase in depreciation and amortization and an increase in operating expenses. Depreciation and amortization increased by $21,313 reflecting the depreciation of additional aircraft and engines owned or put on lease in the six months ended June 30, 2018. Operating expenses increased $2,507, primarily reflecting increases in (i) bad debt expense of $1,436 related to receivables deemed uncollectible, (ii) professional fees of $652 due to an increased number of assets placed on lease, and (iii) other operating expense of $419 due to positioning our assets for lease and the overall growth of the aviation portfolio.</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87"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Total other income increased $2,912 in the three months ended June 30, 2018 as compared to the three months ended June 30, 2017 primarily due to an increase of $2,974 in gain on the sale of leasing equipment in 2018.</w:t>
      </w:r>
    </w:p>
    <w:p>
      <w:pPr>
        <w:spacing w:after="0" w:line="25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Total other income increased $1,362 in the six months ended June 30, 2018 compared to the six months ended June 30, 2017 primarily due to an increase of $922 in gain on the sale of leasing equipment in 2018.</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Net Income increased $10,974 and $19,257 during the three and six months ended June 30, 2018 compared to the three and six months ended June 30, 2017, respectively, primarily reflecting the changes to net income attributable to shareholders noted above, adjusted for the provision for income taxes, and cash payment for taxes.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Adjusted EBITDA increased $26,605 and $50,579 during the three and six months ended June 30, 2018 compared to the three and six months ended June 30, 2017, respectively. In addition to the changes in net income attributable to shareholders noted above, this movement was primarily due to higher depreciation and amortization expense for the additional aircraft and engines owned and on lease in the three and six months ended June 30, 2018 and higher provision for income tax.</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87"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(“CSV”) and one anchor handling tug supply (“AHTS”) vessel. The chart below describes the assets in our Offshore Energy segment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54875" cy="1046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1046480"/>
                    </a:xfrm>
                    <a:prstGeom prst="rect">
                      <a:avLst/>
                    </a:prstGeom>
                    <a:noFill/>
                  </pic:spPr>
                </pic:pic>
              </a:graphicData>
            </a:graphic>
          </wp:anchor>
        </w:drawing>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Offshore Energy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9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6480" w:type="dxa"/>
            <w:vAlign w:val="bottom"/>
            <w:tcBorders>
              <w:top w:val="single" w:sz="8" w:color="auto"/>
              <w:bottom w:val="single" w:sz="8" w:color="auto"/>
            </w:tcBorders>
            <w:shd w:val="clear" w:color="auto" w:fill="D8D8D8"/>
          </w:tcPr>
          <w:p>
            <w:pPr>
              <w:ind w:left="2880"/>
              <w:spacing w:after="0"/>
              <w:rPr>
                <w:sz w:val="20"/>
                <w:szCs w:val="20"/>
                <w:color w:val="auto"/>
              </w:rPr>
            </w:pPr>
            <w:r>
              <w:rPr>
                <w:rFonts w:ascii="Arial" w:cs="Arial" w:eastAsia="Arial" w:hAnsi="Arial"/>
                <w:sz w:val="14"/>
                <w:szCs w:val="14"/>
                <w:color w:val="auto"/>
              </w:rPr>
              <w:t>Description</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6480" w:type="dxa"/>
            <w:vAlign w:val="bottom"/>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and a total bollard pull of 68.5 tons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Construction Support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2014</w:t>
            </w:r>
          </w:p>
        </w:tc>
        <w:tc>
          <w:tcPr>
            <w:tcW w:w="6480" w:type="dxa"/>
            <w:vAlign w:val="bottom"/>
          </w:tcPr>
          <w:p>
            <w:pPr>
              <w:ind w:left="160"/>
              <w:spacing w:after="0"/>
              <w:rPr>
                <w:sz w:val="20"/>
                <w:szCs w:val="20"/>
                <w:color w:val="auto"/>
              </w:rPr>
            </w:pPr>
            <w:r>
              <w:rPr>
                <w:rFonts w:ascii="Arial" w:cs="Arial" w:eastAsia="Arial" w:hAnsi="Arial"/>
                <w:sz w:val="14"/>
                <w:szCs w:val="14"/>
                <w:color w:val="auto"/>
              </w:rPr>
              <w:t>DP-3 construction support and well intervention vessel with 250-ton main crane, 2,000 square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meter open deck space, moon pool and accommodation for 100 personnel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0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ROV Support Vessel</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2011</w:t>
            </w:r>
          </w:p>
        </w:tc>
        <w:tc>
          <w:tcPr>
            <w:tcW w:w="6480" w:type="dxa"/>
            <w:vAlign w:val="bottom"/>
          </w:tcPr>
          <w:p>
            <w:pPr>
              <w:ind w:left="160"/>
              <w:spacing w:after="0"/>
              <w:rPr>
                <w:sz w:val="20"/>
                <w:szCs w:val="20"/>
                <w:color w:val="auto"/>
              </w:rPr>
            </w:pPr>
            <w:r>
              <w:rPr>
                <w:rFonts w:ascii="Arial" w:cs="Arial" w:eastAsia="Arial" w:hAnsi="Arial"/>
                <w:sz w:val="14"/>
                <w:szCs w:val="14"/>
                <w:color w:val="auto"/>
              </w:rPr>
              <w:t>DP-2 dive and ROV support vessel with 50-ton crane, moon pool and accommodation for 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480" w:type="dxa"/>
            <w:vAlign w:val="bottom"/>
            <w:vMerge w:val="restart"/>
          </w:tcPr>
          <w:p>
            <w:pPr>
              <w:ind w:left="160"/>
              <w:spacing w:after="0"/>
              <w:rPr>
                <w:sz w:val="20"/>
                <w:szCs w:val="20"/>
                <w:color w:val="auto"/>
              </w:rPr>
            </w:pPr>
            <w:r>
              <w:rPr>
                <w:rFonts w:ascii="Arial" w:cs="Arial" w:eastAsia="Arial" w:hAnsi="Arial"/>
                <w:sz w:val="14"/>
                <w:szCs w:val="14"/>
                <w:color w:val="auto"/>
              </w:rPr>
              <w:t>personnel</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648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9"/>
        </w:trPr>
        <w:tc>
          <w:tcPr>
            <w:tcW w:w="4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80" w:type="dxa"/>
            <w:vAlign w:val="bottom"/>
          </w:tcPr>
          <w:p>
            <w:pPr>
              <w:ind w:left="680"/>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47" w:right="219" w:bottom="1440" w:gutter="0" w:footer="0" w:header="0"/>
        </w:sectPr>
      </w:pPr>
    </w:p>
    <w:bookmarkStart w:id="53" w:name="page54"/>
    <w:bookmarkEnd w:id="53"/>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1,868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365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954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1,362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3,187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3,948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6,316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1,626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3,228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6,535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11,378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12,625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(3,343)</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(3,345)</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2,621</w:t>
            </w:r>
          </w:p>
        </w:tc>
        <w:tc>
          <w:tcPr>
            <w:tcW w:w="0" w:type="dxa"/>
            <w:vAlign w:val="bottom"/>
          </w:tcPr>
          <w:p>
            <w:pPr>
              <w:spacing w:after="0"/>
              <w:rPr>
                <w:sz w:val="1"/>
                <w:szCs w:val="1"/>
                <w:color w:val="auto"/>
              </w:rPr>
            </w:pPr>
          </w:p>
        </w:tc>
      </w:tr>
      <w:tr>
        <w:trPr>
          <w:trHeight w:val="174"/>
        </w:trPr>
        <w:tc>
          <w:tcPr>
            <w:tcW w:w="516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tcPr>
          <w:p>
            <w:pPr>
              <w:spacing w:after="0"/>
              <w:rPr>
                <w:sz w:val="15"/>
                <w:szCs w:val="15"/>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47"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961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1,834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(756)</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20"/>
                <w:szCs w:val="20"/>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5"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2018 and 2017: (i) depreciation expense of $0 and $61 and (ii) interest expense of $0 and $30, respectively.</w:t>
      </w:r>
    </w:p>
    <w:p>
      <w:pPr>
        <w:ind w:left="180"/>
        <w:spacing w:after="0"/>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six months ended June 30, 2018 and 2017: (i) depreciation expense of $0 and $123 and (ii) interest expense of $0 and $63,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revenues decreased $594 during the three months ended June 30, 2018 compared to the three months ended June 30, 2017 primarily due to lower lease income. The decrease in lease income reflects the CSV vessel having been off lease at the beginning of May in 2018 compared to 2017 when the vessel was on short-term lease arrangements during the quarter. Other revenues increased $442 primarily due to the crew provisions reimbursement income for the offshore construction vessel.</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revenues increased $1,373 during the six months ended June 30, 2018 compared to the six months ended June 30, 2017 primarily due to higher lease income and other revenue. The increase in lease income reflects the ROV support vessel having been on lease for six months in 2018 as compared to three months in 2017, as part of a long term lease arrangement entered into in Q2 2017. Other revenue increased $790 primarily due to the crew provisions reimbursement income for the offshore construction vessel.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in the Offshore Energy segment decreased by $16 in the three months ended June 30, 2018 as compared to the three months ended June 30, 2017, primarily due to decreases in operating expenses. Operating expenses decreased $67 reflecting lower legal fees of $1,012 and other operating costs of $251 offset by increased (i) mobilization and cost for spare parts of $726, (ii) project costs of $387 and crew costs of $83. Depreciation expense of $1,218 and $408 related to the construction support vessel and ROV support vessel, respectively, consistent to the prior period. The segment incurred interest expense of $961 related to the financing for the construction support vessel.</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decreased $1,247 in the six months ended June 30, 2018 compared to the six months ended June 30, 2017, primarily due to decreases in operating expenses. Operating expenses decreased $1,242 reflecting lower legal fees of $1,987 and other operating costs of $467 offset by increased (i) project costs of $913, (ii) crew costs of $217 and (iii) mobilization and cost for spare parts of $82. Depreciation expense of $2,412 and $816 related to the construction support vessel and ROV support vessel, respectively, consistent to the prior period. The segment incurred interest expense of $1,834 related to the financing for the construction support vessel.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Loss increased $800 during the three months ended June 30, 2018 compared to the three months ended June 30, 2017, respectively. The change is primarily due to the changes to net loss attributable to shareholders described above.</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Loss decreased $2,150 during the six months ended June 30, 2018 compared to the six months ended June 30, 2017, respectively. The change is primarily due to the changes to net loss attributable to shareholders described above.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47"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EBITDA decreased $651 during the three months ended June 30, 2018 compared to the three months ended June 30, 2017, respectively. The decrease is primarily due to the changes to net loss attributable to shareholders described above, and the non-controlling interest share of Adjusted EBITDA, which was settled during the third quarter of 2017.</w:t>
      </w:r>
    </w:p>
    <w:p>
      <w:pPr>
        <w:spacing w:after="0" w:line="14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Adjusted EBITDA increased $2,338 during the six months ended June 30, 2018 compared to the six months ended June 30, 2017, respectively. The increase is primarily due to the changes to net loss attributable to shareholders described above, and the non-controlling interest share of Adjusted EBITDA, which was settled during the third quarter of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our Shipping Containers segment, we own, through a joint venture an interest in approximately 31,000 maritime shipping containers and related equipment through one portfolio. The chart below describes the assets in our Shipping Containers segment as of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54875" cy="848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Shipping Containers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Borders>
              <w:top w:val="single" w:sz="8" w:color="auto"/>
              <w:bottom w:val="single" w:sz="8" w:color="auto"/>
              <w:right w:val="single" w:sz="8" w:color="auto"/>
            </w:tcBorders>
            <w:shd w:val="clear" w:color="auto" w:fill="D8D8D8"/>
          </w:tcPr>
          <w:p>
            <w:pPr>
              <w:jc w:val="right"/>
              <w:ind w:right="648"/>
              <w:spacing w:after="0"/>
              <w:rPr>
                <w:sz w:val="20"/>
                <w:szCs w:val="20"/>
                <w:color w:val="auto"/>
              </w:rPr>
            </w:pPr>
            <w:r>
              <w:rPr>
                <w:rFonts w:ascii="Arial" w:cs="Arial" w:eastAsia="Arial" w:hAnsi="Arial"/>
                <w:sz w:val="14"/>
                <w:szCs w:val="14"/>
                <w:color w:val="auto"/>
              </w:rPr>
              <w:t>Number of Containers</w:t>
            </w:r>
          </w:p>
        </w:tc>
        <w:tc>
          <w:tcPr>
            <w:tcW w:w="172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32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72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Direct Finance</w:t>
            </w: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restart"/>
          </w:tcPr>
          <w:p>
            <w:pPr>
              <w:jc w:val="right"/>
              <w:ind w:right="1768"/>
              <w:spacing w:after="0"/>
              <w:rPr>
                <w:sz w:val="20"/>
                <w:szCs w:val="20"/>
                <w:color w:val="auto"/>
              </w:rPr>
            </w:pPr>
            <w:r>
              <w:rPr>
                <w:rFonts w:ascii="Arial" w:cs="Arial" w:eastAsia="Arial" w:hAnsi="Arial"/>
                <w:sz w:val="14"/>
                <w:szCs w:val="14"/>
                <w:color w:val="auto"/>
              </w:rPr>
              <w:t>31,000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Dry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 Years</w:t>
            </w: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 Customers</w:t>
            </w:r>
          </w:p>
        </w:tc>
        <w:tc>
          <w:tcPr>
            <w:tcW w:w="226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00" w:type="dxa"/>
            <w:vAlign w:val="bottom"/>
            <w:tcBorders>
              <w:right w:val="single" w:sz="8" w:color="auto"/>
            </w:tcBorders>
            <w:vMerge w:val="continue"/>
          </w:tcPr>
          <w:p>
            <w:pPr>
              <w:spacing w:after="0"/>
              <w:rPr>
                <w:sz w:val="7"/>
                <w:szCs w:val="7"/>
                <w:color w:val="auto"/>
              </w:rPr>
            </w:pPr>
          </w:p>
        </w:tc>
        <w:tc>
          <w:tcPr>
            <w:tcW w:w="2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2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7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32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2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72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40"/>
          </w:cols>
          <w:pgMar w:left="240" w:top="527" w:right="21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5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entities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income taxes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16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(Loss) from unconsolidated entities</w:t>
            </w:r>
          </w:p>
        </w:tc>
        <w:tc>
          <w:tcPr>
            <w:tcW w:w="10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110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29"/>
        </w:trPr>
        <w:tc>
          <w:tcPr>
            <w:tcW w:w="5160" w:type="dxa"/>
            <w:vAlign w:val="bottom"/>
          </w:tcPr>
          <w:p>
            <w:pPr>
              <w:ind w:left="40"/>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135</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________________________________________________________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Includes Shipping Container’s proportionate share of the unconsolidated entities’ net income adjusted for the excluded and included items detailed in the table above.</w:t>
      </w:r>
    </w:p>
    <w:p>
      <w:pPr>
        <w:spacing w:after="0" w:line="229" w:lineRule="exact"/>
        <w:rPr>
          <w:rFonts w:ascii="Arial" w:cs="Arial" w:eastAsia="Arial" w:hAnsi="Arial"/>
          <w:sz w:val="16"/>
          <w:szCs w:val="16"/>
          <w:color w:val="auto"/>
          <w:vertAlign w:val="superscript"/>
        </w:rPr>
      </w:pPr>
    </w:p>
    <w:p>
      <w:pPr>
        <w:ind w:left="5620"/>
        <w:spacing w:after="0"/>
        <w:rPr>
          <w:rFonts w:ascii="Arial" w:cs="Arial" w:eastAsia="Arial" w:hAnsi="Arial"/>
          <w:sz w:val="16"/>
          <w:szCs w:val="16"/>
          <w:color w:val="auto"/>
          <w:vertAlign w:val="superscript"/>
        </w:rPr>
      </w:pPr>
      <w:r>
        <w:rPr>
          <w:rFonts w:ascii="Arial" w:cs="Arial" w:eastAsia="Arial" w:hAnsi="Arial"/>
          <w:sz w:val="16"/>
          <w:szCs w:val="16"/>
          <w:color w:val="auto"/>
        </w:rPr>
        <w:t>57</w:t>
      </w:r>
    </w:p>
    <w:p>
      <w:pPr>
        <w:sectPr>
          <w:pgSz w:w="11900" w:h="16838" w:orient="portrait"/>
          <w:cols w:equalWidth="0" w:num="1">
            <w:col w:w="11420"/>
          </w:cols>
          <w:pgMar w:left="240" w:top="547"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137</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Benefit from income taxes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194</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470</w:t>
            </w:r>
          </w:p>
        </w:tc>
        <w:tc>
          <w:tcPr>
            <w:tcW w:w="100" w:type="dxa"/>
            <w:vAlign w:val="bottom"/>
          </w:tcPr>
          <w:p>
            <w:pPr>
              <w:spacing w:after="0"/>
              <w:rPr>
                <w:sz w:val="21"/>
                <w:szCs w:val="21"/>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2018 and 2017: (i) net income (loss) of $62 and $(259), (ii) interest expense of $94 and $223, and (iii)</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of $13 and $342, respectively. Includes the following items for the six months ended June 30, 2018 and 2017: (i) net income (loss) of $186 and $(767), (ii) interest expense of $206 and $474, and (iii) depreciation and amortization expense of $28 and $720,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revenues remained consistent in the three and six months ended June 30, 2018 compared to the three and six months ended June 30, 2017.</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income (expense) increased $320 and $956 in the three and six months ended June 30, 2018 compared to the three and six months ended June 30, 2017, respectively, reflecting income earned from the sales of operating lease containers within our shipping container joint venture.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 (Non-GAAP)</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Income (Loss) increased $412 and $1,048 in the three and six months ended June 30, 2018 compared to the three and six months ended June 30, 2017, respectively, reflecting the increase in equity in earnings (losses) of unconsolidated entities.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decreased $137 and $7 during the three and six months ended June 30, 2018 compared to the three and six months ended June 30, 2017, respectively. The decrease primarily reflects the entities’ change in equity in unconsolidated entities and lower pro-rata share of Adjusted EBITDA from unconsolidated entities.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60"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Terminal services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2,550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(4,089)</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2,550</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3,026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3,803</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7,892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(4,089)</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11,253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23,212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4,937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9,727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7,907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4,285</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7,813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4,938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20,475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12,661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7,814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40,752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25,662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15,090</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Other income</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1,337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958</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1,386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(16,967)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(35,563)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(16,977)</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(9,616)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(35,584)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(17,938)</w:t>
            </w:r>
          </w:p>
        </w:tc>
        <w:tc>
          <w:tcPr>
            <w:tcW w:w="0" w:type="dxa"/>
            <w:vAlign w:val="bottom"/>
          </w:tcPr>
          <w:p>
            <w:pPr>
              <w:spacing w:after="0"/>
              <w:rPr>
                <w:sz w:val="1"/>
                <w:szCs w:val="1"/>
                <w:color w:val="auto"/>
              </w:rPr>
            </w:pPr>
          </w:p>
        </w:tc>
      </w:tr>
      <w:tr>
        <w:trPr>
          <w:trHeight w:val="174"/>
        </w:trPr>
        <w:tc>
          <w:tcPr>
            <w:tcW w:w="516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(7,309)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(16,258)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(7,855)</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(9,668)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(10,083)</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7"/>
                <w:szCs w:val="17"/>
                <w:color w:val="auto"/>
                <w:vertAlign w:val="superscript"/>
              </w:rPr>
              <w:t>(1)</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(Loss) Income</w:t>
            </w:r>
            <w:r>
              <w:rPr>
                <w:rFonts w:ascii="Arial" w:cs="Arial" w:eastAsia="Arial" w:hAnsi="Arial"/>
                <w:sz w:val="17"/>
                <w:szCs w:val="17"/>
                <w:color w:val="auto"/>
                <w:vertAlign w:val="superscript"/>
              </w:rPr>
              <w:t>(2)</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(10,250)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(9,786)</w:t>
            </w:r>
          </w:p>
        </w:tc>
        <w:tc>
          <w:tcPr>
            <w:tcW w:w="0" w:type="dxa"/>
            <w:vAlign w:val="bottom"/>
          </w:tcPr>
          <w:p>
            <w:pPr>
              <w:spacing w:after="0"/>
              <w:rPr>
                <w:sz w:val="1"/>
                <w:szCs w:val="1"/>
                <w:color w:val="auto"/>
              </w:rPr>
            </w:pPr>
          </w:p>
        </w:tc>
      </w:tr>
      <w:tr>
        <w:trPr>
          <w:trHeight w:val="204"/>
        </w:trPr>
        <w:tc>
          <w:tcPr>
            <w:tcW w:w="516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______________________________________________________</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80" w:hanging="172"/>
        <w:spacing w:after="0" w:line="225" w:lineRule="auto"/>
        <w:tabs>
          <w:tab w:leader="none" w:pos="153" w:val="left"/>
        </w:tabs>
        <w:numPr>
          <w:ilvl w:val="0"/>
          <w:numId w:val="20"/>
        </w:numPr>
        <w:rPr>
          <w:rFonts w:ascii="Arial" w:cs="Arial" w:eastAsia="Arial" w:hAnsi="Arial"/>
          <w:sz w:val="17"/>
          <w:szCs w:val="17"/>
          <w:color w:val="auto"/>
          <w:vertAlign w:val="superscript"/>
        </w:rPr>
      </w:pPr>
      <w:r>
        <w:rPr>
          <w:rFonts w:ascii="Arial" w:cs="Arial" w:eastAsia="Arial" w:hAnsi="Arial"/>
          <w:sz w:val="14"/>
          <w:szCs w:val="14"/>
          <w:color w:val="auto"/>
        </w:rPr>
        <w:t>Includes Jefferson Terminal’s proportionate share of the unconsolidated entities’ net income adjusted for the excluded and included items detailed in the table above, for which there were no adjustments.</w:t>
      </w:r>
    </w:p>
    <w:p>
      <w:pPr>
        <w:spacing w:after="0" w:line="130"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Includes the following items for the three months ended June 30, 2018 and 2017: (i) equity-based compensation of $35 and $31, (ii) provision for income taxes of $4 and $(2),</w:t>
      </w:r>
    </w:p>
    <w:p>
      <w:pPr>
        <w:jc w:val="both"/>
        <w:ind w:left="180" w:hanging="10"/>
        <w:spacing w:after="0" w:line="250" w:lineRule="auto"/>
        <w:tabs>
          <w:tab w:leader="none" w:pos="417" w:val="left"/>
        </w:tabs>
        <w:numPr>
          <w:ilvl w:val="1"/>
          <w:numId w:val="20"/>
        </w:numPr>
        <w:rPr>
          <w:rFonts w:ascii="Arial" w:cs="Arial" w:eastAsia="Arial" w:hAnsi="Arial"/>
          <w:sz w:val="14"/>
          <w:szCs w:val="14"/>
          <w:color w:val="auto"/>
        </w:rPr>
      </w:pPr>
      <w:r>
        <w:rPr>
          <w:rFonts w:ascii="Arial" w:cs="Arial" w:eastAsia="Arial" w:hAnsi="Arial"/>
          <w:sz w:val="14"/>
          <w:szCs w:val="14"/>
          <w:color w:val="auto"/>
        </w:rPr>
        <w:t>changes in fair value of non-hedge derivative instruments of $174 and $0, less (iv) cash paid for income taxes of $18 and $31, respectively. Includes the following items for the six months ended June 30, 2018 and 2017: (i) equity-based compensation of $69 and $54, (ii) provision for income taxes of $8 and $13, (iii) changes in fair value of non-hedge derivative instruments of $(70) and $0, less (iv) cash paid for income taxes of $13 and $32,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81"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(9,668)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4,937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4,285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7,813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4,938</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(4)</w:t>
            </w: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(2,401)</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(2,032)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(5,336)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(3,188)</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(6,739)</w:t>
            </w:r>
          </w:p>
        </w:tc>
        <w:tc>
          <w:tcPr>
            <w:tcW w:w="100" w:type="dxa"/>
            <w:vAlign w:val="bottom"/>
          </w:tcPr>
          <w:p>
            <w:pPr>
              <w:spacing w:after="0"/>
              <w:rPr>
                <w:sz w:val="20"/>
                <w:szCs w:val="20"/>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(4,380)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0" w:lineRule="exact"/>
        <w:rPr>
          <w:sz w:val="20"/>
          <w:szCs w:val="20"/>
          <w:color w:val="auto"/>
        </w:rPr>
      </w:pPr>
    </w:p>
    <w:p>
      <w:pPr>
        <w:ind w:left="180" w:hanging="172"/>
        <w:spacing w:after="0" w:line="218" w:lineRule="auto"/>
        <w:tabs>
          <w:tab w:leader="none" w:pos="18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Jefferson Terminal’s proportionate share of the unconsolidated entities’ net income adjusted for the excluded and included items detailed in the table above, for which there were no adjustments.</w:t>
      </w:r>
    </w:p>
    <w:p>
      <w:pPr>
        <w:spacing w:after="0" w:line="107"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2018 and 2017: (i) equity-based compensation of $22 and $31, (ii) provision for income taxes of $3 and $(2),</w:t>
      </w:r>
    </w:p>
    <w:p>
      <w:pPr>
        <w:jc w:val="both"/>
        <w:ind w:left="180" w:hanging="10"/>
        <w:spacing w:after="0" w:line="247" w:lineRule="auto"/>
        <w:tabs>
          <w:tab w:leader="none" w:pos="429" w:val="left"/>
        </w:tabs>
        <w:numPr>
          <w:ilvl w:val="1"/>
          <w:numId w:val="21"/>
        </w:numPr>
        <w:rPr>
          <w:rFonts w:ascii="Arial" w:cs="Arial" w:eastAsia="Arial" w:hAnsi="Arial"/>
          <w:sz w:val="14"/>
          <w:szCs w:val="14"/>
          <w:color w:val="auto"/>
        </w:rPr>
      </w:pPr>
      <w:r>
        <w:rPr>
          <w:rFonts w:ascii="Arial" w:cs="Arial" w:eastAsia="Arial" w:hAnsi="Arial"/>
          <w:sz w:val="14"/>
          <w:szCs w:val="14"/>
          <w:color w:val="auto"/>
        </w:rPr>
        <w:t>interest expense of $1,024 and $459, (iv) changes in fair value of non-hedge derivative instruments of $187 and $0, and (vii) depreciation and amortization expense of $1,165 and $1,544, respectively. Includes the following items for the six months ended June 30, 2018 and 2017: (i) equity-based compensation of $56 and $54, (ii) provision for income taxes of $7 and $13, (iii) interest expense of $2,295 and $917, (iv) changes in fair value of non-hedge derivative instruments of $(57) and $0, and (vii) depreciation and amortization expense of $3,035 and $3,086,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revenues decreased $476 and $4,089 during the three and six months ended June 30, 2018 compared to the three and six months ended June 30, 2017, respectively, reflecting lower volumes.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income increased $1,137 and $1,305 during the three and six months ended June 30, 2018 compared to the three and six months ended June 30, 2017, respectively, due to the increased activity relating to the sale of crude oil.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$7,814 during the three months ended June 30, 2018 compared to the three months ended June 30, 2017 primarily due to higher operating expenses of $3,986, which reflected higher (i) facility operations costs of $1,961, (ii) professional fees of $1,732 relating to legal expenses for ongoing matters, (iii) repairs and maintenance expenses of $185, (iv) environmental expense of $142, offset by lower (v) general operating costs of $34.</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expense increased $2,847 and $4,938 during the three and six months ended June 30, 2018 compared to the three and six months ended June 30, 2017, respectively, due to a decrease in interest capitalized under the Series 2016 bonds and a decrease in construction in progress as certain terminal storage assets were placed into service in the first quarter of 2018. Further, there was additional debt outstanding during the periods, as a result of the Revolving Credit Facility.</w:t>
      </w:r>
    </w:p>
    <w:p>
      <w:pPr>
        <w:spacing w:after="0" w:line="14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Depreciation expense increased $981 and $1,820 during the three and six months ended June 30, 2018 compared to the three and six months ended June 30, 2017, respectively, due to new assets being placed into service during the periods.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47" w:right="239" w:bottom="1440" w:gutter="0" w:footer="0" w:header="0"/>
        </w:sectPr>
      </w:pPr>
    </w:p>
    <w:bookmarkStart w:id="60" w:name="page61"/>
    <w:bookmarkEnd w:id="60"/>
    <w:p>
      <w:pPr>
        <w:jc w:val="both"/>
        <w:spacing w:after="0" w:line="248" w:lineRule="auto"/>
        <w:rPr>
          <w:sz w:val="20"/>
          <w:szCs w:val="20"/>
          <w:color w:val="auto"/>
        </w:rPr>
      </w:pPr>
      <w:r>
        <w:rPr>
          <w:rFonts w:ascii="Arial" w:cs="Arial" w:eastAsia="Arial" w:hAnsi="Arial"/>
          <w:sz w:val="16"/>
          <w:szCs w:val="16"/>
          <w:color w:val="auto"/>
        </w:rPr>
        <w:t>Total expenses increased $15,090 in the six months ended June 30, 2018 compared to the six months ended June 30, 2017, primarily due to higher operating expenses of $8,332. During the period, Jefferson Terminal transitioned terminal operations to a new terminal operator. As a result of this transition, there was a non-recurring increase in facility operating costs related to the ramp-up of the new operator of $1,144. Due to the transition, the terminal had various other facility operating costs totaling $3,095. Additionally, the increase in total operating expenses reflect higher (i) professional fees of $2,562 which were related to legal expenses for ongoing matters, and (ii) repairs and maintenance of $750, for maintenance performed during the period on various projects. General operating costs increased by (iii) $588 related to relocation expenses for a new office, and (iv) environmental expense of $259 related to waste disposal costs incurred in 2018. These increases were offset by decreases in other operating expenses of $66.</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increased $4,676 and $9,786 during the three and six months ended June 30, 2018 compared to the three and six months ended June 30, 2017, respectively. The increase reflects the changes in net loss attributable to shareholders noted above, offset by the changes in fair value of non-hedge derivatives and the non-controlling interest share of Adjusted Net Loss.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decreased $1,053 and $4,380 during the three and six months ended June 30, 2018 compared to the three and six months ended June 30, 2017, respectively. The decrease reflects the changes in net loss attributable to shareholders noted above, changes in the fair value of non-hedge derivative instruments of $441 and $182, and non-controlling share of adjusted EBITDA of $369 and $1,266. Offsetting these decreases were an increase in interest expense of $2,847 and $4,938 noted above, as well as depreciation and amortization expense of $981 and $1,820.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47"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497F"/>
        </w:rPr>
        <w:t>Railroad Segment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income (loss) attributable to shareholders to Adjusted Net Income (Loss):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8,788</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19,835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8,788</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7,662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1,126</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19,835</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16,065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3,770</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7,813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15,251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574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1,147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8,528</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8,646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16,884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97"/>
        </w:trPr>
        <w:tc>
          <w:tcPr>
            <w:tcW w:w="5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Gain on sale of equipment, net</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(expense) before income taxes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253</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253</w:t>
            </w: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2,959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3,853</w:t>
            </w:r>
          </w:p>
        </w:tc>
        <w:tc>
          <w:tcPr>
            <w:tcW w:w="0" w:type="dxa"/>
            <w:vAlign w:val="bottom"/>
          </w:tcPr>
          <w:p>
            <w:pPr>
              <w:spacing w:after="0"/>
              <w:rPr>
                <w:sz w:val="1"/>
                <w:szCs w:val="1"/>
                <w:color w:val="auto"/>
              </w:rPr>
            </w:pPr>
          </w:p>
        </w:tc>
      </w:tr>
      <w:tr>
        <w:trPr>
          <w:trHeight w:val="174"/>
        </w:trPr>
        <w:tc>
          <w:tcPr>
            <w:tcW w:w="5160" w:type="dxa"/>
            <w:vAlign w:val="bottom"/>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w:t>
            </w:r>
          </w:p>
        </w:tc>
        <w:tc>
          <w:tcPr>
            <w:tcW w:w="100" w:type="dxa"/>
            <w:vAlign w:val="bottom"/>
          </w:tcPr>
          <w:p>
            <w:pPr>
              <w:spacing w:after="0"/>
              <w:rPr>
                <w:sz w:val="15"/>
                <w:szCs w:val="15"/>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257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2,702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245</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80" w:hanging="172"/>
        <w:spacing w:after="0" w:line="218" w:lineRule="auto"/>
        <w:tabs>
          <w:tab w:leader="none" w:pos="17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equity-based compensation of $3 and $19 for the three months ended June 30, 2018 and 2017, respectively, and $6 and $21 for the six months ended June 30, 2018 and 2017,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81"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to Adjusted EBITDA:</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574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917</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4,323</w:t>
            </w:r>
          </w:p>
        </w:tc>
        <w:tc>
          <w:tcPr>
            <w:tcW w:w="100" w:type="dxa"/>
            <w:vAlign w:val="bottom"/>
          </w:tcPr>
          <w:p>
            <w:pPr>
              <w:spacing w:after="0"/>
              <w:rPr>
                <w:sz w:val="20"/>
                <w:szCs w:val="20"/>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2018 and 2017: (i) equity-based compensation of $3 and $19, (ii) interest expense of $8 and $14, and (iii)</w:t>
      </w:r>
    </w:p>
    <w:p>
      <w:pPr>
        <w:ind w:left="180"/>
        <w:spacing w:after="0" w:line="258" w:lineRule="auto"/>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of $35 and $27, respectively. Includes the following items for the six months ended June 30, 2018 and 2017: (i) equity-based compensation of $6 and $21, (ii) interest expense of $29 and $24, and (iii) depreciation and amortization expense of $69 and $56,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$1,126 during the three months ended June 30, 2018 compared to the three months ended June 30, 2017 due to higher traffic and increased carloads. The increase reflects (i) $910 of higher freight transportation revenue (ii) $230 of switching and other rail service revenue partially offset by a $14 decrease in car hire income.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revenues increased $3,770 during the six months ended June 30, 2018 compared to the six months ended June 30, 2017 due to higher traffic related to a detour resulting in the diversion of trains onto our track. The increase reflects $3,935 of higher freight transportation revenue partially offset by $147 of switching and other rail service revenue and a $18 decrease in car hire income.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decreased $118 during the three months ended June 30, 2018 compared to the three months ended June 30, 2017 primarily due to lower operating expenses and lower interest expense of $106. The decrease in operating expenses of $94 reflects (i) lower fuel expense of $508 (ii) insurance expense of $37 and (iii) compensation and benefits of $26. Partially offsetting these decreases was higher expenses of $477 pertaining to the increased traffic.</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Total expenses decreased $31 during the six months ended June 30, 2018 compared to the six months ended June 30, 2017 primarily due to lower operating expenses offset by increases of $129 in depreciation and amortization. The decrease in operating expenses of $200 reflects lower (i) general operating expense of $1,316 due to certain tax benefits taken in the six months ended June 30, 2018 for the 2017 annual period that were enacted during 2018, (ii) fuel expense of $690 and (iii) professional fees of $58. Partially offsetting these decreases was higher expenses of (i) $1,566 pertaining to the increased traffic resulting from the diversion of trains onto our track and (ii) $298 relating to compensation and benefits.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Income increased $971 and $3,372 during the three and six months ended June 30, 2018 compared to the three and six months ended June 30, 2017. In addition to the changes in net income attributable to shareholders noted above, Adjusted Net Income was impacted by a decrease in equity-based compensation expense of $318 and $300, respectively.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47"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EBITDA increased $945 and $3,523 during the three and six months ended June 30, 2018 compared to the three and six months ended June 30, 2017. In addition to the changes in net income attributable to shareholders noted above, Adjusted EBITDA was also impacted by an increase in interest expense of $106 and $40, respectively, and higher equity-based compensation expense of $318 and $300,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Ports and Terminals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417</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64"/>
        </w:trPr>
        <w:tc>
          <w:tcPr>
            <w:tcW w:w="5160" w:type="dxa"/>
            <w:vAlign w:val="bottom"/>
          </w:tcPr>
          <w:p>
            <w:pPr>
              <w:ind w:left="80"/>
              <w:spacing w:after="0"/>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894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1,272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1,311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2,715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5,096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3,820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7,282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4,995</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(2,510)</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(3,063)</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93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516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6"/>
                <w:szCs w:val="16"/>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(2,386)</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(5,031)</w:t>
            </w:r>
          </w:p>
        </w:tc>
        <w:tc>
          <w:tcPr>
            <w:tcW w:w="100" w:type="dxa"/>
            <w:vAlign w:val="bottom"/>
          </w:tcPr>
          <w:p>
            <w:pPr>
              <w:spacing w:after="0"/>
              <w:rPr>
                <w:sz w:val="21"/>
                <w:szCs w:val="21"/>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(3,366)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27"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(benefit from)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832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1,641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273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(1,281)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81"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three months ended June 30, 2018 and 2017: interest expense of $0 and $(27).</w:t>
      </w:r>
    </w:p>
    <w:p>
      <w:pPr>
        <w:spacing w:after="0" w:line="74"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6"/>
          <w:szCs w:val="16"/>
          <w:b w:val="1"/>
          <w:bCs w:val="1"/>
          <w:i w:val="1"/>
          <w:iCs w:val="1"/>
          <w:color w:val="00497F"/>
        </w:rPr>
        <w:t>Revenues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revenue increased $1,188 and $1,932 during the three and six months ended June 30, 2018 compared to the three and six months ended June 30, 2017, primarily due to $294 and $660 of higher lease income from leases in place at Long Ridge, as well as $894 and $1,272 of other revenue, relating to services performed for lessees at Long Ridge.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expenses increased $2,705 in the three months ended June 30, 2018 as compared to the three months ended June 30, 2017. The increase is primarily due to higher operating expenses of $1,951, which consisted of increased (i) compensation and benefits expenses of $556, due to the hiring of additional employees, (ii) facility operations of $358, as the result of increased operations at each facility, (iii) utilities of $335, (iv) professional fees of $253, and (v) general operating costs of $449.</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expenses increased $4,995 in the six months ended June 30, 2018 as compared to the six months ended June 30, 2017. Operating expenses increased by $3,438 during the period. This consisted of higher (i) compensation and benefits expenses of $1,033, due to the hiring of additional employees, (ii) facility operations of $769, due to increased activities at the facilities, (iii) utilities of $489, (iv) professional fees of $328, (v) insurance expense of $279, for new policies that were added as operations increased, (vi) repairs and maintenance of $262, and (vii) general operating costs of $278.</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Depreciation expense increased by $751 and $1,556 in the three and six months ended June 30, 2018 as compared to the three and six months ended June 30, 2017, due to assets that were placed into service at Repauno.</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Loss increased $1,763 and $3,366 during the three and six months ended June 30, 2018 compared to the three and six months ended June 30, 2017, due to the changes in net loss attributable to shareholders noted above, offset by equity based compensation of $93 and $156,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Adjusted EBITDA decreased $1,036 and $1,809 in the three and six months ended June 30, 2018 as compared to the three and six months ended June 30, 2017. In addition to the changes in net loss attributable to shareholders noted above, Adjusted EBITDA for the three and six months ended June 30, 2018 includes an increase in depreciation and amortization expense of $751 and $1,556, respectively, compared to the three and six months ended June 30, 2017. Equity-based compensation expense saw an increase of $93 and $156 during the three and six months ended June 30, 2018 as compared to the three and six months ended June 30,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93"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497F"/>
        </w:rPr>
        <w:t>Corporate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2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40" w:type="dxa"/>
            <w:vAlign w:val="bottom"/>
          </w:tcPr>
          <w:p>
            <w:pPr>
              <w:spacing w:after="0"/>
              <w:rPr>
                <w:sz w:val="9"/>
                <w:szCs w:val="9"/>
                <w:color w:val="auto"/>
              </w:rPr>
            </w:pPr>
          </w:p>
        </w:tc>
        <w:tc>
          <w:tcPr>
            <w:tcW w:w="222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0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Pr>
          <w:p>
            <w:pPr>
              <w:spacing w:after="0"/>
              <w:rPr>
                <w:sz w:val="22"/>
                <w:szCs w:val="22"/>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4,573</w:t>
            </w:r>
          </w:p>
        </w:tc>
        <w:tc>
          <w:tcPr>
            <w:tcW w:w="120" w:type="dxa"/>
            <w:vAlign w:val="bottom"/>
          </w:tcPr>
          <w:p>
            <w:pPr>
              <w:spacing w:after="0"/>
              <w:rPr>
                <w:sz w:val="22"/>
                <w:szCs w:val="22"/>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8,159</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7,176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4,495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8,234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7,197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14,050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7,391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13,830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33,494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24,655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8,839</w:t>
            </w:r>
          </w:p>
        </w:tc>
        <w:tc>
          <w:tcPr>
            <w:tcW w:w="0" w:type="dxa"/>
            <w:vAlign w:val="bottom"/>
          </w:tcPr>
          <w:p>
            <w:pPr>
              <w:spacing w:after="0"/>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6"/>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(17,707)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(33,494)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(27,111)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(6,383)</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(17,707)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(33,494)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(27,111)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(6,383)</w:t>
            </w:r>
          </w:p>
        </w:tc>
        <w:tc>
          <w:tcPr>
            <w:tcW w:w="0" w:type="dxa"/>
            <w:vAlign w:val="bottom"/>
          </w:tcPr>
          <w:p>
            <w:pPr>
              <w:spacing w:after="0"/>
              <w:rPr>
                <w:sz w:val="1"/>
                <w:szCs w:val="1"/>
                <w:color w:val="auto"/>
              </w:rPr>
            </w:pPr>
          </w:p>
        </w:tc>
      </w:tr>
      <w:tr>
        <w:trPr>
          <w:trHeight w:val="174"/>
        </w:trPr>
        <w:tc>
          <w:tcPr>
            <w:tcW w:w="5040" w:type="dxa"/>
            <w:vAlign w:val="bottom"/>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w:t>
            </w:r>
          </w:p>
        </w:tc>
        <w:tc>
          <w:tcPr>
            <w:tcW w:w="220" w:type="dxa"/>
            <w:vAlign w:val="bottom"/>
          </w:tcPr>
          <w:p>
            <w:pPr>
              <w:spacing w:after="0"/>
              <w:rPr>
                <w:sz w:val="15"/>
                <w:szCs w:val="15"/>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40"/>
              <w:spacing w:after="0"/>
              <w:rPr>
                <w:sz w:val="20"/>
                <w:szCs w:val="20"/>
                <w:color w:val="auto"/>
              </w:rPr>
            </w:pPr>
            <w:r>
              <w:rPr>
                <w:rFonts w:ascii="Arial" w:cs="Arial" w:eastAsia="Arial" w:hAnsi="Arial"/>
                <w:sz w:val="14"/>
                <w:szCs w:val="14"/>
                <w:color w:val="auto"/>
              </w:rPr>
              <w:t>subsidiaries</w:t>
            </w: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(17,707)</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(13,830)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(33,494)</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(27,111)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(6,383)</w:t>
            </w:r>
          </w:p>
        </w:tc>
        <w:tc>
          <w:tcPr>
            <w:tcW w:w="0" w:type="dxa"/>
            <w:vAlign w:val="bottom"/>
          </w:tcPr>
          <w:p>
            <w:pPr>
              <w:spacing w:after="0"/>
              <w:rPr>
                <w:sz w:val="1"/>
                <w:szCs w:val="1"/>
                <w:color w:val="auto"/>
              </w:rPr>
            </w:pP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1,442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3,051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81"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(17,707)</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(33,494)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1,442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3,051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573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7,197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14,050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7,391</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(8,495)</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(1,289)</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(15,811)</w:t>
            </w:r>
          </w:p>
        </w:tc>
        <w:tc>
          <w:tcPr>
            <w:tcW w:w="100" w:type="dxa"/>
            <w:vAlign w:val="bottom"/>
          </w:tcPr>
          <w:p>
            <w:pPr>
              <w:spacing w:after="0"/>
              <w:rPr>
                <w:sz w:val="21"/>
                <w:szCs w:val="21"/>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(14,934)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expenses increased $3,877 and $8,839 during the three and six months ended June 30, 2018 compared to the three and six months ended June 30, 2017. The increase primarily consists of higher interest expense of $2,398 and $7,391 related to Senior Notes issued throughout 2017 and in the first six months of 2018.</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the three months ended June 30, 2018, general and administrative costs increased $1,232 compared to the three months ended June 30, 2017, and reflected (i) $820 of higher reimbursement expenses to our Manager, (ii) $410 of higher professional fees, due to SOX consulting fees incurred during the period, and (iii) $75 of higher director’s fees, the result of two new directors elected in 2018. Partially offsetting these increases was a decrease in general corporate costs of $73.</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2018, general and administrative costs increased $983 compared to the six months ended June 30, 2017, and reflected</w:t>
      </w:r>
    </w:p>
    <w:p>
      <w:pPr>
        <w:spacing w:after="0" w:line="5" w:lineRule="exact"/>
        <w:rPr>
          <w:sz w:val="20"/>
          <w:szCs w:val="20"/>
          <w:color w:val="auto"/>
        </w:rPr>
      </w:pPr>
    </w:p>
    <w:p>
      <w:pPr>
        <w:ind w:firstLine="8"/>
        <w:spacing w:after="0" w:line="260"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$797 of higher reimbursement expenses to our Manager, (ii) $413 of higher professional fees, and (iii) $159 of higher director’s fees. Partially offsetting these increases was a decrease in general corporate costs of $386.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Total other expenses decreased $0 and $2,456 during the three and six months ended June 30, 2018 compared to the three and six months ended June 30, 2017, due to a loss on extinguishment of debt incurred in the prior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(Non-GAAP)</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Loss increased $3,747 and $8,328 during the three and six months ended June 30, 2018 compared to the three and six months ended June 30, 2017. In addition to the changes in net loss attributable to shareholders noted above, Adjusted Net Loss was reduced by $2,456 in the six months ended June 30, 2017 related to the extinguishment of debt. There was no extinguishment in 2018.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EBITDA decreased $1,289 and $877 during the three and six months ended June 30, 2018 compared to the three and six months ended June 30, 2017. In addition to the changes in net loss attributable to shareholders noted above, Adjusted EBITDA includes the impact of higher interest expense of $2,398 and $7,391 during the three and six months ended June 30, 2018, related to the Senior Notes issued throughout 2017. Adjusted EBITDA for the six months ended June 30, 2017 period reflects the impact of losses on the extinguishment of debt. There was no extinguishment in 2018.</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93"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dividends to our shareholders,</w:t>
      </w:r>
    </w:p>
    <w:p>
      <w:pPr>
        <w:spacing w:after="0" w:line="5" w:lineRule="exact"/>
        <w:rPr>
          <w:sz w:val="20"/>
          <w:szCs w:val="20"/>
          <w:color w:val="auto"/>
        </w:rPr>
      </w:pPr>
    </w:p>
    <w:p>
      <w:pPr>
        <w:ind w:firstLine="8"/>
        <w:spacing w:after="0" w:line="260" w:lineRule="auto"/>
        <w:tabs>
          <w:tab w:leader="none" w:pos="276"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 (all dollar amounts are expressed in thousands).</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the six months ended June 30, 2018 and 2017, cash used for the purpose of making investments was $349,328 and $301,852, respectively.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In the six months ended June 30, 2018 and 2017, dividends to shareholders were $54,662 and $50,024, respectively.</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debt securities, (iii) proceeds from asset sales and (iv) proceeds from the issuance of common shares.</w:t>
      </w:r>
    </w:p>
    <w:p>
      <w:pPr>
        <w:spacing w:after="0" w:line="147" w:lineRule="exact"/>
        <w:rPr>
          <w:sz w:val="20"/>
          <w:szCs w:val="20"/>
          <w:color w:val="auto"/>
        </w:rPr>
      </w:pPr>
    </w:p>
    <w:p>
      <w:pPr>
        <w:ind w:left="6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six months ended June 30, 2018 and 2017, cash flows from operating activities, plus the principal collections on finance leases and maintenance reserve collections were $82,046 and $43,475, respectively.</w:t>
      </w:r>
    </w:p>
    <w:p>
      <w:pPr>
        <w:spacing w:after="0" w:line="141" w:lineRule="exact"/>
        <w:rPr>
          <w:rFonts w:ascii="Arial" w:cs="Arial" w:eastAsia="Arial" w:hAnsi="Arial"/>
          <w:sz w:val="16"/>
          <w:szCs w:val="16"/>
          <w:color w:val="auto"/>
        </w:rPr>
      </w:pPr>
    </w:p>
    <w:p>
      <w:pPr>
        <w:jc w:val="both"/>
        <w:ind w:left="660" w:hanging="328"/>
        <w:spacing w:after="0" w:line="249"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six months ended June 30, 2018, additional borrowings were obtained in connection with the Senior Notes of $100,000, the Revolving Credit Facility of $50,000, the Jefferson Revolver of $39,000, net of financing costs, and the CMQR Credit Agreement of $13,350. We made total principal repayments of $45,874, primarily relating to the FTAI Pride Credit Agreement, the Revolving Credit Facility and the CMQR Credit Agreement. During the six months ended June 30, 2017, additional borrowings were obtained in connection with the Term Loan of $97,163, net of deferred financing costs and the Senior Notes of $137,248, net of deferred financing costs and the repayment of the Term Loan. We made total principal repayments of $11,875 primarily related to the FTAI Pride Credit Agreement and the CMQR Credit Agreement.</w:t>
      </w:r>
    </w:p>
    <w:p>
      <w:pPr>
        <w:spacing w:after="0" w:line="151"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six months ended June 30, 2018 and 2017, proceeds from the sale of assets were $26,530 and $30,292, respectively.</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the six months ended June 30, 2018, proceeds from the issuance of common shares were $128,450, net of issuance costs of $2,100.</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currently evaluating several potential Infrastructure and Equipment Leasing transactions, which could occur within the next 12 months. However, as of the date of this filing, none of these pipeline transactions or negotiations are definitive or included within our planned liquidity needs. We cannot assure you if or when any such transaction will be consummated or the terms of any such transaction.</w:t>
      </w:r>
    </w:p>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dividend reinvestment plan in place which allows shareholders to automatically reinvest dividends in our common shares. The plan became effective on February 24, 2017.</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six months ended June 30,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six months ended June 30,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2017</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4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4"/>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59,152</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33,275</w:t>
            </w:r>
          </w:p>
        </w:tc>
      </w:tr>
      <w:tr>
        <w:trPr>
          <w:trHeight w:val="276"/>
        </w:trPr>
        <w:tc>
          <w:tcPr>
            <w:tcW w:w="72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4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(325,091)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(268,830)</w:t>
            </w:r>
          </w:p>
        </w:tc>
      </w:tr>
      <w:tr>
        <w:trPr>
          <w:trHeight w:val="258"/>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financing activities</w:t>
            </w:r>
          </w:p>
        </w:tc>
        <w:tc>
          <w:tcPr>
            <w:tcW w:w="480" w:type="dxa"/>
            <w:vAlign w:val="bottom"/>
          </w:tcPr>
          <w:p>
            <w:pPr>
              <w:spacing w:after="0"/>
              <w:rPr>
                <w:sz w:val="22"/>
                <w:szCs w:val="22"/>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246,978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186,087</w:t>
            </w:r>
          </w:p>
        </w:tc>
      </w:tr>
    </w:tbl>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527" w:right="239" w:bottom="1440" w:gutter="0" w:footer="0" w:header="0"/>
        </w:sectPr>
      </w:pPr>
    </w:p>
    <w:bookmarkStart w:id="68" w:name="page69"/>
    <w:bookmarkEnd w:id="68"/>
    <w:p>
      <w:pPr>
        <w:jc w:val="both"/>
        <w:spacing w:after="0" w:line="246" w:lineRule="auto"/>
        <w:rPr>
          <w:sz w:val="20"/>
          <w:szCs w:val="20"/>
          <w:color w:val="auto"/>
        </w:rPr>
      </w:pPr>
      <w:r>
        <w:rPr>
          <w:rFonts w:ascii="Arial" w:cs="Arial" w:eastAsia="Arial" w:hAnsi="Arial"/>
          <w:sz w:val="16"/>
          <w:szCs w:val="16"/>
          <w:color w:val="auto"/>
        </w:rPr>
        <w:t>Net cash provided by operating activities was $59,152 in the six months ended June 30, 2018 as compared to $33,275 in the six months ended June 30, 2017, representing a $25,877 increase. Net loss was $15,782 for the six months ended June 30, 2018, compared $15,021 for the six months ended June 30, 2017, an increase in net loss of $761. The increase in operating cash flow was attributable to changes to reconcile net income which include an increase of (i) $24,833 relating to depreciation and amortization, (ii) $9,652 relating to amortization of lease intangibles and incentives, and (iii) $1,458 relating to bad debt expense offset by a decrease of $2,456 loss on extinguishment of debt and decrease of $974 in gain on sale of assets. The increase was offset by changes in</w:t>
      </w:r>
    </w:p>
    <w:p>
      <w:pPr>
        <w:spacing w:after="0" w:line="2" w:lineRule="exact"/>
        <w:rPr>
          <w:sz w:val="20"/>
          <w:szCs w:val="20"/>
          <w:color w:val="auto"/>
        </w:rPr>
      </w:pPr>
    </w:p>
    <w:p>
      <w:pPr>
        <w:jc w:val="both"/>
        <w:ind w:firstLine="8"/>
        <w:spacing w:after="0" w:line="258" w:lineRule="auto"/>
        <w:tabs>
          <w:tab w:leader="none" w:pos="1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assets of $20,227 due to acquisition of crude inventory and prepaid expenses in the six months ended June 30, 2018, and (ii) in accounts receivable of $3,796 offset by increases in (i) accounts payable of $20,220 and (ii) other liabilities of $3,462 due to the expansion of business operations across all segments.</w:t>
      </w:r>
    </w:p>
    <w:p>
      <w:pPr>
        <w:spacing w:after="0" w:line="3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Net cash used in investing activities was $325,091 in the six months ended June 30, 2018 as compared to $268,830 in the six months ended June 30, 2017, representing a $56,261 increase. Cash used in investing activities increased by $12,165 in purchase deposits in the Aviation Leasing segment as well as the acquisition of property, plant and equipment of $73,351 mainly due to on going capital projects at Repauno, Hannibal and Jefferson Terminal. This increase in investing activities was offset by a decrease in cash used in investments in unconsolidated entities of $20,057 and a decrease in cash used for the acquisition of leasing equipment and lease intangibles in the Aviation Leasing segment of $16,223 in the six months ended June 30, 2018 as compared to the six months ended June 30, 2017.</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cash provided by financing activities was $246,978 in the six months ended June 30, 2018 as compared to $186,087 in the six months ended June 30, 2017, representing a $60,891 increase. This was attributable to an increase of $128,450 from proceeds for the issuance of common stock net of issuance costs and an increase in receipt of maintenance deposits of $12,380. These increases were offset by a $39,561 decrease in proceeds from borrowings, attributable to the Senior Notes and an increase of $33,999 on the repayment of debt, attributable to repayments under the CMQR Credit Agreement and the Revolving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use Funds Available for Distribution (“FAD”) in evaluating our ability to meet our stated dividend policy. FAD is not a financial measure in accordance with GAAP. The GAAP measure most directly comparable to FAD is net cash provided by operating activities. We believe FAD is a useful metric for investors and analysts for similar purposes.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define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2017</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59,152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33,275</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48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b w:val="1"/>
                <w:bCs w:val="1"/>
                <w:color w:val="auto"/>
              </w:rPr>
              <w:t>539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225</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Proceeds from sale of assets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26,530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30,292</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4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2"/>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(1)</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w:t>
            </w:r>
          </w:p>
        </w:tc>
      </w:tr>
      <w:tr>
        <w:trPr>
          <w:trHeight w:val="210"/>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48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4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(3,876)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(4,307)</w:t>
            </w:r>
          </w:p>
        </w:tc>
      </w:tr>
      <w:tr>
        <w:trPr>
          <w:trHeight w:val="216"/>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79,221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56,360</w:t>
            </w: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170" w:lineRule="exact"/>
        <w:rPr>
          <w:sz w:val="20"/>
          <w:szCs w:val="20"/>
          <w:color w:val="auto"/>
        </w:rPr>
      </w:pPr>
    </w:p>
    <w:p>
      <w:pPr>
        <w:jc w:val="both"/>
        <w:ind w:left="180" w:hanging="172"/>
        <w:spacing w:after="0" w:line="230" w:lineRule="auto"/>
        <w:tabs>
          <w:tab w:leader="none" w:pos="153" w:val="left"/>
        </w:tabs>
        <w:numPr>
          <w:ilvl w:val="0"/>
          <w:numId w:val="29"/>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six months ended June 30, 2018 excludes $17,750 repayment of the CMQR Credit Agreement and $25,000 repayment of the Revolving Credit Facilities, and for the six months ended June 30, 2017 excludes $100,000 repayment of the Term Loan, both of which were voluntary refinancings as repayments of these amounts were not required at such time.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FAD is subject to a number of limitations and assumptions and there can be no assurance that we will generate FAD sufficient to meet our intended dividends. FAD has material limitations as a liquidity measure because such measure excludes items that are required elements of our net cash provided by operating activities as described below. FAD should not be considered in isolation nor as a substitute for analysis of our results of operations under GAAP, and it is not the only metric that should be considered in evaluating our ability to meet our stated dividend policy. Specifically:</w:t>
      </w:r>
    </w:p>
    <w:p>
      <w:pPr>
        <w:spacing w:after="0" w:line="149" w:lineRule="exact"/>
        <w:rPr>
          <w:sz w:val="20"/>
          <w:szCs w:val="20"/>
          <w:color w:val="auto"/>
        </w:rPr>
      </w:pPr>
    </w:p>
    <w:p>
      <w:pPr>
        <w:ind w:left="660" w:right="20" w:hanging="328"/>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FAD does not include equity capital called from our existing limited partners, proceeds from any debt issuance or future equity offering, historical cash and cash equivalents and expected investments in our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47" w:right="239" w:bottom="1440" w:gutter="0" w:footer="0" w:header="0"/>
        </w:sectPr>
      </w:pPr>
    </w:p>
    <w:bookmarkStart w:id="69" w:name="page70"/>
    <w:bookmarkEnd w:id="69"/>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6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we rely on alternative sources of liquidity to fund such purchases.</w:t>
      </w:r>
    </w:p>
    <w:p>
      <w:pPr>
        <w:spacing w:after="0" w:line="141"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we have multiple sources of liquidity and intends to fund these expenditures with future incurrences of indebtedness, additional capital contributions and/or future issuances of equity.</w:t>
      </w:r>
    </w:p>
    <w:p>
      <w:pPr>
        <w:spacing w:after="0" w:line="14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6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our distribution decisions.</w:t>
      </w:r>
    </w:p>
    <w:p>
      <w:pPr>
        <w:spacing w:after="0" w:line="14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we are not bound by any contractual provision that requires us to use cash for distributions.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our presentation of FAD.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detail.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summarizes our future obligations, by period due, as of June 30, 2018, under our various contractual obligations and commitments. We had no off-balance sheet arrangements as of June 30,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47,743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50,868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20,400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20,400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Jefferson Revolver</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39,511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39,511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Series 2012 Bonds</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42,765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Series 2016 Bonds</w:t>
            </w:r>
          </w:p>
        </w:tc>
        <w:tc>
          <w:tcPr>
            <w:tcW w:w="2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144,200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144,200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550,000</w:t>
            </w: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Total principal payments on loans and</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8"/>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bonds payable</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4,670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49,413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191,410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41,471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552,120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33,660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872,744</w:t>
            </w:r>
          </w:p>
        </w:tc>
      </w:tr>
      <w:tr>
        <w:trPr>
          <w:trHeight w:val="324"/>
        </w:trPr>
        <w:tc>
          <w:tcPr>
            <w:tcW w:w="2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30,654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56,415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43,564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40,508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15,683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197,422</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 to third-party</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29,425</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2,925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69,083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87,744</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1,294</w:t>
            </w:r>
          </w:p>
        </w:tc>
      </w:tr>
      <w:tr>
        <w:trPr>
          <w:trHeight w:val="250"/>
        </w:trPr>
        <w:tc>
          <w:tcPr>
            <w:tcW w:w="27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55,989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69,610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48,661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43,820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13,032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84,773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315,885</w:t>
            </w: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60,659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240,071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565,152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118,433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1,188,629</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4"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21"/>
          <w:szCs w:val="21"/>
          <w:color w:val="auto"/>
          <w:vertAlign w:val="superscript"/>
        </w:rPr>
      </w:pPr>
      <w:r>
        <w:rPr>
          <w:rFonts w:ascii="Arial" w:cs="Arial" w:eastAsia="Arial" w:hAnsi="Arial"/>
          <w:sz w:val="15"/>
          <w:szCs w:val="15"/>
          <w:color w:val="auto"/>
        </w:rPr>
        <w:t>Estimated interest rates as of June 30, 2018.</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47"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color w:val="00497F"/>
        </w:rPr>
        <w:t>Application of Critical Accounting Policies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Goodwill</w:t>
      </w:r>
      <w:r>
        <w:rPr>
          <w:rFonts w:ascii="Arial" w:cs="Arial" w:eastAsia="Arial" w:hAnsi="Arial"/>
          <w:sz w:val="16"/>
          <w:szCs w:val="16"/>
          <w:color w:val="00497F"/>
        </w:rPr>
        <w:t>—</w:t>
      </w:r>
      <w:r>
        <w:rPr>
          <w:rFonts w:ascii="Arial" w:cs="Arial" w:eastAsia="Arial" w:hAnsi="Arial"/>
          <w:sz w:val="16"/>
          <w:szCs w:val="16"/>
          <w:color w:val="333333"/>
        </w:rPr>
        <w:t>Goodwill includes the excess of the purchase price over the fair value of the net tangible and intangible assets associated with the acquisitions of</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333333"/>
        </w:rPr>
        <w:t>CMQR and Jefferson Terminal. The carrying amount of goodwill is approximately $116,584 as of June 30, 2018 and December 31, 2017.</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We review the carrying values of goodwill at least annually to assess impairment since these assets are not amortized. An annual impairment review is conducted as of October 1st of each year. Additionally, we review the carrying value of goodwill whenever events or changes in circumstances indicate that its carrying amount may not be recoverable. The determination of fair value involves significant management judgment.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333333"/>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 ended December 31, 2017.</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333333"/>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In performing the annual analysis, our two reporting units subject to the test are the Jefferson Terminal and Railroad reporting units. We estimate the fair value of the reporting units using an income approach, specifically a discounted cash flow analysis. This analysis requires us to make significant assumptions and estimates about the extent and timing of future cash flows, discount rates and growth rates. The estimates and assumptions used consider historical performance if indicative of future performance, and are consistent with the assumptions used in determining future profit plans for the reporting units. We also utilize market valuation models and other financial ratios, which require us to make certain assumptions and estimates regarding the applicability of those models to our assets and businesses.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Although we believe the estimates of fair value are reasonable, the determination of certain valuation inputs is subject to management’s judgment. Changes in these inputs, including as a result of events beyond our control, could materially affect the results of the impairment review. If the forecasted cash flows of the Jefferson Terminal and Railroad reporting units or other key inputs are negatively revised in the future, the estimated fair value of the Jefferson Terminal and Railroad reporting units could be adversely impacted, potentially leading to an impairment in the future that could materially affect our operating results. Specifically, as it relates to the Jefferson Terminal segment, forecasted revenue is dependent on the ramp up of volumes under current contracts and the acquisition of additional storage contracts for the heavy and light crude, refined products and ethanol. The expansion of refineries in the Beaumont/Port Arthur area, as well as growing crude oil production in the U.S. and Canada, are expected to result in increased demand for storage on the U.S. Gulf Coast. Other assumptions utilized in our annual impairment analysis that are significant in determination of the fair value of the reporting unit include the discount rate utilized in our discounted cash flow analysis of 14% and our terminal growth rate of 3%.</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333333"/>
        </w:rPr>
        <w:t>Furthermore, development of both inbound and outbound pipelines to and from the Jefferson Terminal over the next two to three years will affect our forecasted growth and therefore our estimated fair value. We continue to expect the Jefferson Terminal segment to generate positive Adjusted EBITDA near the end of 2018. Although certain of our anticipated contracts or expected volumes from existing contracts for Jefferson Terminal have been delayed, we continue to believe our projected revenues are achievable and have not yet modified those projections based on ongoing negotiations with our customers and discussions with major pipeline companies. Further delays in executing these contracts or achieving our projections could adversely affect the fair value of the reporting unit. However, strengthening macroeconomic conditions such as increased oil prices and the increasing spread between Western Canadian Crude and Western Texas Intermediate are better than we anticipated, and we remain positive for the outlook of Jefferson Terminal’s earnings potential.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333333"/>
        </w:rPr>
        <w:t>For the year ended December 31, 2017, there was no impairment of 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Quantitative and Qualitative Disclosures About Market Risk</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27"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2018, assuming we do not hedge our exposure to interest rate fluctuations related to our outstanding floating rate debt, a hypothetical 100-basis point increase/decrease in our variable interest rate on our borrowings would result in an increase/decrease in interest expense of approximately $1,295 over the next 12 months before the impact of interest rate derivatives.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our management, including our Chief Executive Officer and Chief Financial Officer, of the effectiveness of our disclosure controls and procedures (as defined in Rule 13a-15(e) under the Securities Exchange Act of 1934 (the “Exchange Act”)). Based on the evaluation of our disclosure controls and procedures as of June 30, 2018, and due to the material weakness in our internal control over financial reporting described in Management’s Report on Internal Control over Financial Reporting included in our Annual Report on Form 10-K for the year ended December 31, 2017 filed with the Securities and Exchange Commission on March 1, 2018, our Chief Executive Officer and Chief Financial Officer concluded that, as of such date, our disclosure controls and procedures were not effective.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 change other than certain remediation efforts related to our internal control over financial reporting (as defined in Rule 13a-15(f) under the Exchange Act) occurred during our most recent fiscal quarter that has materially affected, or is reasonably likely to materially affect, our internal control over financial reporting. We have made no significant changes in our remediation plans during the three months ended June 30, 2018 that could materially affect, or are reasonably likely to materially affect, our internal control over financial reporting. For further information with regard to our “Remediation Plans,” please refer to Item 9A of our Annual Report on Form 10-K for the year ended December 31, 2017 filed with the Securities and Exchange Commission on March 1, 2018.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52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3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20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630" w:right="239" w:bottom="1440" w:gutter="0" w:footer="0" w:header="0"/>
        </w:sectPr>
      </w:pPr>
    </w:p>
    <w:bookmarkStart w:id="73" w:name="page74"/>
    <w:bookmarkEnd w:id="73"/>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601" w:right="239" w:bottom="1440" w:gutter="0" w:footer="0" w:header="0"/>
        </w:sectPr>
      </w:pPr>
    </w:p>
    <w:bookmarkStart w:id="74" w:name="page75"/>
    <w:bookmarkEnd w:id="74"/>
    <w:p>
      <w:pPr>
        <w:jc w:val="both"/>
        <w:spacing w:after="0" w:line="286"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18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81"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39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the assets that we purchase may fluctuate due to various factors.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81"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more recently proposed bills such as the “Rail Shipper Fairness Act of 2017,” or competitive access proposals under consideration by the STB,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80" w:right="23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to the extent we elect to move certain flammable liquids in the future.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1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hurricanes,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601"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June 30, 2018 and we do not anticipate any expenditures relating to environmental clean-up (including impacts to the Chaudière River) as a result of the Incident.</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80" w:right="2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19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1" w:right="239" w:bottom="1440" w:gutter="0" w:footer="0" w:header="0"/>
        </w:sectPr>
      </w:pPr>
    </w:p>
    <w:bookmarkStart w:id="80" w:name="page81"/>
    <w:bookmarkEnd w:id="80"/>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601"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manage our expanded operations, our results of operations will be adversely affected, and our reputation and business may be harmed.</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(including, but not limited to, our businesses within the Jefferson Terminal and Ports and Terminals segments).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20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21" w:lineRule="exact"/>
        <w:rPr>
          <w:rFonts w:ascii="Arial" w:cs="Arial" w:eastAsia="Arial" w:hAnsi="Arial"/>
          <w:sz w:val="16"/>
          <w:szCs w:val="16"/>
          <w:color w:val="auto"/>
        </w:rPr>
      </w:pPr>
    </w:p>
    <w:p>
      <w:pPr>
        <w:ind w:left="980" w:hanging="648"/>
        <w:spacing w:after="0" w:line="260" w:lineRule="auto"/>
        <w:tabs>
          <w:tab w:leader="none" w:pos="6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221" w:lineRule="exact"/>
        <w:rPr>
          <w:rFonts w:ascii="Arial" w:cs="Arial" w:eastAsia="Arial" w:hAnsi="Arial"/>
          <w:sz w:val="16"/>
          <w:szCs w:val="16"/>
          <w:color w:val="auto"/>
        </w:rPr>
      </w:pPr>
    </w:p>
    <w:p>
      <w:pPr>
        <w:ind w:left="980" w:hanging="648"/>
        <w:spacing w:after="0" w:line="253" w:lineRule="auto"/>
        <w:tabs>
          <w:tab w:leader="none" w:pos="6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20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221" w:lineRule="exact"/>
        <w:rPr>
          <w:rFonts w:ascii="Arial" w:cs="Arial" w:eastAsia="Arial" w:hAnsi="Arial"/>
          <w:sz w:val="16"/>
          <w:szCs w:val="16"/>
          <w:color w:val="auto"/>
        </w:rPr>
      </w:pPr>
    </w:p>
    <w:p>
      <w:pPr>
        <w:ind w:left="980" w:right="20" w:hanging="648"/>
        <w:spacing w:after="0" w:line="260" w:lineRule="auto"/>
        <w:tabs>
          <w:tab w:leader="none" w:pos="6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147"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200" w:lineRule="exact"/>
        <w:rPr>
          <w:sz w:val="20"/>
          <w:szCs w:val="20"/>
          <w:color w:val="auto"/>
        </w:rPr>
      </w:pP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agreements governing our indebtedness, including the indenture governing our Senior Notes, contain covenants that place restrictions on us and our subsidiaries. The indenture governing our Senior Notes restricts, among other things, our and certain of our subsidiaries’ ability to:</w:t>
      </w:r>
    </w:p>
    <w:p>
      <w:pPr>
        <w:spacing w:after="0" w:line="14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601" w:right="239" w:bottom="1440" w:gutter="0" w:footer="0" w:header="0"/>
        </w:sectPr>
      </w:pPr>
    </w:p>
    <w:bookmarkStart w:id="82" w:name="page83"/>
    <w:bookmarkEnd w:id="82"/>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Because we are a recently formed company with a limited operating history, our historical financial and operating data may not be representative of our future results.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46" w:right="239" w:bottom="1440" w:gutter="0" w:footer="0" w:header="0"/>
        </w:sectPr>
      </w:pPr>
    </w:p>
    <w:bookmarkStart w:id="83" w:name="page84"/>
    <w:bookmarkEnd w:id="83"/>
    <w:p>
      <w:pPr>
        <w:spacing w:after="0" w:line="260"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9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Repauno site and Long Ridge property are subject to environmental laws and regulations that may expose us to significant costs and liabilities.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600" w:right="239" w:bottom="1440" w:gutter="0" w:footer="0" w:header="0"/>
        </w:sectPr>
      </w:pPr>
    </w:p>
    <w:bookmarkStart w:id="84" w:name="page85"/>
    <w:bookmarkEnd w:id="84"/>
    <w:p>
      <w:pPr>
        <w:jc w:val="both"/>
        <w:spacing w:after="0" w:line="247" w:lineRule="auto"/>
        <w:rPr>
          <w:sz w:val="20"/>
          <w:szCs w:val="20"/>
          <w:color w:val="auto"/>
        </w:rPr>
      </w:pPr>
      <w:r>
        <w:rPr>
          <w:rFonts w:ascii="Arial" w:cs="Arial" w:eastAsia="Arial" w:hAnsi="Arial"/>
          <w:sz w:val="16"/>
          <w:szCs w:val="16"/>
          <w:color w:val="auto"/>
        </w:rPr>
        <w:t>In connection with our acquisition of Long Ridge,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Long Ridge. Pursuant to an order issued by the Ohio Environmental Protection Agency (“Ohio EPA”), the former owner is responsible for completing the removal and off-site disposal of electrolytic pots associated with the former use of Long Ridge as an aluminum reduction plant. In addition, Long Ridge is located adjacent to the former Ormet Corporation Superfund site (the “Ormet site”), which is owned and operated by the former owner of Long Ridge. Pursuant to an order with the United States Environmental Protection Agency (“US EPA”), the former owner is obligated to pump groundwater that has been impacted by the adjacent Ormet site beneath our site and discharge it to the Ohio River and monitor the groundwater annually. Long Ridge is also subject to an environmental covenant related to the adjacent Ormet site that, inter alia, restricts the use of groundwater beneath our site and requires US EPA consent for activities on Long Ridge that could disrupt the groundwater monitoring or pumping. The former owner is contractually obligated to complete its regulatory obligations on Long Ridge and we benefit from a related indemnity and insurance policy. If the former owner fails to fulfill its demolition, removal, investigation, remediation, monitoring, or indemnity obligations, and if the related insurance, which is subject to limits and conditions, fails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a portion of Long Ridge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Long Ridge into hubs for industrial and energy development in a timely manner, their future prospects could be materially and adversely affected, which may have a material adverse effect on our business, operating results and financial condition.</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601" w:right="239" w:bottom="1440" w:gutter="0" w:footer="0" w:header="0"/>
        </w:sectPr>
      </w:pPr>
    </w:p>
    <w:bookmarkStart w:id="85" w:name="page86"/>
    <w:bookmarkEnd w:id="85"/>
    <w:p>
      <w:pPr>
        <w:ind w:left="60"/>
        <w:spacing w:after="0"/>
        <w:rPr>
          <w:sz w:val="20"/>
          <w:szCs w:val="20"/>
          <w:color w:val="auto"/>
        </w:rPr>
      </w:pPr>
      <w:r>
        <w:rPr>
          <w:rFonts w:ascii="Arial" w:cs="Arial" w:eastAsia="Arial" w:hAnsi="Arial"/>
          <w:sz w:val="16"/>
          <w:szCs w:val="16"/>
          <w:b w:val="1"/>
          <w:bCs w:val="1"/>
          <w:color w:val="auto"/>
        </w:rPr>
        <w:t>Risks Related to Our Manager</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Co-Chief Executive Officer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December 27, 2017, SoftBank announced that it completed the SoftBank Merger. In connection with the SoftBank Merger, Fortress operates within SoftBank as an independent business headquartered in New York. There can be no assurance that the SoftBank Merger will not have an impact on us or our relationship with the Manager.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Industries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581" w:right="239" w:bottom="1440" w:gutter="0" w:footer="0" w:header="0"/>
        </w:sectPr>
      </w:pPr>
    </w:p>
    <w:bookmarkStart w:id="86" w:name="page87"/>
    <w:bookmarkEnd w:id="86"/>
    <w:p>
      <w:pPr>
        <w:jc w:val="both"/>
        <w:spacing w:after="0" w:line="24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Industries,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601" w:right="239" w:bottom="1440" w:gutter="0" w:footer="0" w:header="0"/>
        </w:sectPr>
      </w:pPr>
    </w:p>
    <w:bookmarkStart w:id="87" w:name="page88"/>
    <w:bookmarkEnd w:id="87"/>
    <w:p>
      <w:pPr>
        <w:jc w:val="both"/>
        <w:spacing w:after="0" w:line="286"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Taxation</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certain of our holdings, including holdings, if any, in a Controlled Foreign Corporation (“CFC”) may produce taxable income prior to our receipt of cash relating to such income, and shareholders subject to U.S. federal income tax will be required to take such income into account in determining their taxable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U.S. tax legislation could adversely affect us and our shareholders.</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December 22, 2017, legislation referred to as the “Tax Cuts and Jobs Act” (the “TCJA”) was signed into law. The TCJA is generally effective for taxable years beginning after December 31, 2017. The TCJA includes significant amendments to the Code, including amendments that significantly change the taxation of individuals and business entities, including the taxation of offshore earnings and the deductibility of interest. Some of the amendments could adversely affect our business and financial condition and the value of our common shares.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Although we are currently evaluating the impact of the TCJA on our business, significant uncertainty exists with respect to how the TCJA will affect our business. Some of this uncertainty will not be resolved until clarifying Treasury regulations are promulgated or other relevant authoritative guidance is published.</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Prospective investors should consult their tax advisors about the TCJA and its potential impact before investing in our common shares.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1" w:right="239" w:bottom="1440" w:gutter="0" w:footer="0" w:header="0"/>
        </w:sectPr>
      </w:pPr>
    </w:p>
    <w:bookmarkStart w:id="88" w:name="page89"/>
    <w:bookmarkEnd w:id="88"/>
    <w:p>
      <w:pPr>
        <w:jc w:val="both"/>
        <w:spacing w:after="0" w:line="286" w:lineRule="auto"/>
        <w:rPr>
          <w:sz w:val="20"/>
          <w:szCs w:val="20"/>
          <w:color w:val="auto"/>
        </w:rPr>
      </w:pPr>
      <w:r>
        <w:rPr>
          <w:rFonts w:ascii="Arial" w:cs="Arial" w:eastAsia="Arial" w:hAnsi="Arial"/>
          <w:sz w:val="16"/>
          <w:szCs w:val="16"/>
          <w:b w:val="1"/>
          <w:bCs w:val="1"/>
          <w:i w:val="1"/>
          <w:iCs w:val="1"/>
          <w:color w:val="auto"/>
        </w:rPr>
        <w:t>Under the TCJA, shareholders that are Non-U.S. Holders (defined below) could be subject to U.S. federal income tax, including a 10% withholding tax, on the disposition of our common shares.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If the Internal Revenue Service (the “IRS”) were to determine that we, Holdco, or any other entity in which we invest that is subject to tax on a flow-through basis, is engaged in a U.S. trade or business for U.S. federal income tax purposes, any gain recognized by a foreign transferor on the sale, exchange or other disposition of our common shares would generally be treated as “effectively connected” with such trade or business to the extent it does not exceed the effectively connected gain that would be allocable to the transferor if we sold all of our assets at their fair market value as of the date of the transferor’s disposition. Under the TCJA, any such gain that is treated as effectively connected will generally be subject to U.S. federal income tax. In addition, the transferee of the common shares or the applicable withholding agent would be required to deduct and withhold a tax equal to 10% of the amount realized by the transferor on the disposition, which would include an allocable portion of our liabilities and would therefore generally exceed the amount of transferred cash received by transferor in the disposition, unless the transferor provides an IRS Form W-9 or an affidavit stating the transferor’s taxpayer identification number and that the transferor is not a foreign person. If the transferee fails to properly withhold such tax, we would be required to deduct and withhold from distributions to the transferee a tax in an amount equal to the amount the transferee failed to withhold, plus interest. Although we do not believe that we are currently directly engaged in a U.S. trade or business, we are not required to manage our operations in a manner that is intended to avoid the conduct of a U.S. trade or business.</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withholding requirements with respect to the disposition of an interest in a publicly traded partnership are currently suspended and will remain suspended until Treasury regulations are promulgated or other relevant authoritative guidance is issued. Future guidance on the implementation of these requirements will be applicable on a prospective basis.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in the sale and such shareholder’s adjusted tax basis in those shares. A shareholder’s adjusted tax basis in the shares at the time of sale will generally be lower than the shareholder’s original tax basis in the shares to the extent that prior distributions to such shareholder exceed the total taxable income allocated to such shareholder. A shareholder may therefore recognize a gain in a sale of our common shares if the shares are sold at a price that is less than their original cost. A portion of the amount realized, whether or not representing gain, may be treated as ordinary income to such shareholder.</w:t>
      </w:r>
    </w:p>
    <w:p>
      <w:pPr>
        <w:spacing w:after="0" w:line="3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are indirectly reduced by such taxes, and the post-tax return to our shareholders is similarly reduced by such taxes.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U.S. federal income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24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580" w:right="239" w:bottom="1440" w:gutter="0" w:footer="0" w:header="0"/>
        </w:sectPr>
      </w:pPr>
    </w:p>
    <w:bookmarkStart w:id="89" w:name="page90"/>
    <w:bookmarkEnd w:id="89"/>
    <w:p>
      <w:pPr>
        <w:jc w:val="both"/>
        <w:spacing w:after="0" w:line="250"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A substantial portion of our income consists of “Subpart F” income (which includes rent and other types of passive income) derived from CFCs.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income. Although the TCJA reduced regular corporate rates from 35% to 21%, our failure to qualify as a partnership for U.S. federal income tax purposes could nevertheless adversely affect our business, operating results and financial condition. In addition, we would likely be liable for state and local income and/or franchise taxes on our income. Finally, distributions of cash to shareholders would constitute qualified dividend income taxable to such shareholders to the extent of our earnings and profits and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Shareholders that are not U.S. persons should also anticipate being required to file U.S. tax returns and may be required to pay U.S. tax solely on account of owning our common shares.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persons. Moreover, we anticipate that, in the future, we will sell interests in U.S. real holding property corporations (each a “USRPHC”) and therefore be deemed to be engaged in a U.S. trade or business at such time. If we were to realize gain from the sale or other disposition of a U.S. real property interest (including a USRPHC) or were otherwise engaged in a U.S. trade or business, non-U.S. persons generally would be required to file U.S. federal income tax returns and would be subject to U.S. federal withholding tax on their allocable share of the effectively connected income on gain at the highest marginal U.S. federal income tax rates applicable to ordinary income. Non-U.S. persons that are corporations may also be subject to a branch profits tax on their allocable share of such income. Non-U.S. persons should anticipate being required to file U.S. tax returns and may be required to pay U.S. tax solely on account of owning our common shares.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Non-U.S. persons that hold (or are deemed to hold) more than 5% of our common shares (or held, or were deemed to hold, more than 5% of our common shares) may be subject to U.S. federal income tax upon the disposition of some or all their common shares.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non-U.S. person held more than 5% of our common shares at any time during the 5-year period preceding such non-U.S. person’s disposition of our common shares, and we were considered a USRPHC (determined as if we were a U.S. corporation) at any time during such 5-year period because of our current or previous ownership of U.S. real property interests above a certain threshold, such non-U.S. person may be subject to U.S. tax on such disposition of our common shares (and may have a U.S. tax return filing obligation).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also includes income attributable to debt-financed property and we are not prohibited from incurring debt to finance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CFC for U.S. federal income tax purposes.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Many of our investments are in non-U.S. corporations or are held through a non-U.S. subsidiary that is classified as a corporation for U.S. federal income tax purposes. Many of these entities are CFCs for U.S. federal income tax purposes. U.S. Holders indirectly owning an interest in a CFC may experience adverse U.S. tax consequences.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601" w:right="2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 U.S. source international transport rental income of our non-U.S. subsidiaries generally will be subject to U.S. federal income tax, on a gross-income basis at a rate not in excess of 4%. If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in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21% for taxable years beginning after December 31, 2017.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The U.S. federal income tax treatment of our common shareholders may also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3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580" w:right="239" w:bottom="1440" w:gutter="0" w:footer="0" w:header="0"/>
        </w:sectPr>
      </w:pPr>
    </w:p>
    <w:bookmarkStart w:id="91" w:name="page92"/>
    <w:bookmarkEnd w:id="91"/>
    <w:p>
      <w:pPr>
        <w:jc w:val="both"/>
        <w:spacing w:after="0" w:line="275" w:lineRule="auto"/>
        <w:rPr>
          <w:sz w:val="20"/>
          <w:szCs w:val="20"/>
          <w:color w:val="auto"/>
        </w:rPr>
      </w:pPr>
      <w:r>
        <w:rPr>
          <w:rFonts w:ascii="Arial" w:cs="Arial" w:eastAsia="Arial" w:hAnsi="Arial"/>
          <w:sz w:val="16"/>
          <w:szCs w:val="16"/>
          <w:b w:val="1"/>
          <w:bCs w:val="1"/>
          <w:i w:val="1"/>
          <w:iCs w:val="1"/>
          <w:color w:val="auto"/>
        </w:rPr>
        <w:t>Because we cannot match transferors and transferees of our shares, we have therefore adopted certain income tax accounting positions that may not conform with all aspects of applicable tax requirements. The IRS may challenge this treatment, which could adversely affect the value of our shares.</w:t>
      </w:r>
    </w:p>
    <w:p>
      <w:pPr>
        <w:spacing w:after="0" w:line="3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generally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its common shares and would offset any gain (or increase the amount of loss) realized by such shareholder on a subsequent disposition of its common shares.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legislation regarding U.S. federal income tax liability arising from IRS audits could adversely affect our shareholders.</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prior rules, which generally provided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Our Common Shares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200" w:lineRule="exact"/>
        <w:rPr>
          <w:sz w:val="20"/>
          <w:szCs w:val="20"/>
          <w:color w:val="auto"/>
        </w:rPr>
      </w:pP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20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581" w:right="239" w:bottom="1440" w:gutter="0" w:footer="0" w:header="0"/>
        </w:sectPr>
      </w:pPr>
    </w:p>
    <w:bookmarkStart w:id="92" w:name="page93"/>
    <w:bookmarkEnd w:id="92"/>
    <w:p>
      <w:pPr>
        <w:jc w:val="both"/>
        <w:spacing w:after="0" w:line="253"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 Because we are no longer an emerging growth company, we are subject to heightened disclosure obligations, which may impact our share price.</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Because we ceased to be an emerging growth company at the end of 2017, we were required to have our independent registered public accounting firm attest to the effectiveness of our internal controls in our Annual Report on Form 10-K for the fiscal year ended December 31, 2017.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3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Furthermore, because we are no longer an emerging growth company, we can no longer take advantage of certain other exemptions from various SEC reporting requirements, including, but not limited to, exemptions from enhanced disclosure obligations regarding executive compensation in our periodic reports and proxy statements and the requirements of holding a non-binding advisory vote on executive compensation at our annual meeting and obtaining shareholder approval of any golden parachute payments not previously approved. Until we comply with these requirements in connection with our 2018 periodic reports, proxy statement and annual meeting of shareholders, our shareholders may not have access to certain information they deem important. Because we have previously taken advantage of each of these exemptions, we do not know if some investors will find our common shares less attractive as a result.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Your percentage ownership in FTAI may be diluted in the future because of equity awards granted and may be granted to our Manager pursuant to the Management Agreement and the Incentive Plan. We recently granted our Manager an option to acquire 700,000 common shares are part of the equity offering discussed in Note 15 to this Quarterly Report on Form 10Q. In the future, upon the successful completion of additional offerings of our common shares or other equity securities (including securities issued as consideration in an acquisition), we will grant to our Manager options to purchase common shares in an amount equal to 10% of the number of common shares being sold in such offerings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As of June 30, 2018, rights relating to 725,000 of our common shares were outstanding under the Incentive Plan. In connection with an offering that closed on January 16, 2018, the number of shares reserved for issuance under the Incentive Plan will be increased in an amount equal to 700,000 common shares, which amount corresponds to the common shares subject to the option described above. In the future on the date of any equity issuance by us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us in such equity issuance or (ii) if such equity issuance relates to equity securities other than our common shares, a number of our common shares equal to 10% of (A) the gross capital raised in an equity issuance of equity securities other than common shares during the ten-year term of the Incentive Plan, divided by (B) the fair market value of a common share as of the date of such equity issuance.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601"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i w:val="1"/>
          <w:iCs w:val="1"/>
          <w:color w:val="auto"/>
        </w:rPr>
        <w:t>Sales or issuances of our common shares could adversely affect the market price of our common shares.</w:t>
      </w:r>
    </w:p>
    <w:p>
      <w:pPr>
        <w:spacing w:after="0" w:line="24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Sales of substantial amounts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17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us based both on our consolidated net income and capital gains income in each fiscal quarter and for each fiscal year,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581" w:right="239" w:bottom="1440" w:gutter="0" w:footer="0" w:header="0"/>
        </w:sectPr>
      </w:pPr>
    </w:p>
    <w:bookmarkStart w:id="94" w:name="page95"/>
    <w:bookmarkEnd w:id="94"/>
    <w:p>
      <w:pPr>
        <w:jc w:val="both"/>
        <w:spacing w:after="0" w:line="286"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2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These rules and regulations increase our legal and financial compliance costs and make some activities more time-consuming and costly. For example, as a result of becoming a public company, we have independent directors and board committees. In addition, we may continue to incur additional costs associated with maintaining directors’ and officers’ liability insurance and with the termination of our status as an emerging growth company as of the end of 2017. Because we are no longer an emerging growth company, we are subject to the independent auditor attestation requirements of Section 404 of the Sarbanes-Oxley Act and enhanced disclosure obligations regarding executive compensation in our periodic reports and proxy statements.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Appointment of Principal Accounting Officer</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August 2, 2018, our Board of Directors appointed Eun Nam, 36, as our Chief Accounting Officer, effective as of August 6, 2018. Ms. Nam serves as a Senior Vice President of the Private Equity group of the Manager, and has been involved in various mergers and acquisitions and capital markets transactions. Ms. Nam previously served as Interim Chief Accounting Officer of Drive Shack Inc., an entity that was then managed by the Manager, from March through September 2016. Prior to joining Fortress in 2014, Ms. Nam worked in KPMG LLP’s audit and risk advisory services for over ten years. Ms. Nam received a Bachelor of Business Administration in Finance and Accounting from Emory University, and is a certified public accountant in Georgia.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581" w:right="239" w:bottom="1440" w:gutter="0" w:footer="0" w:header="0"/>
        </w:sectPr>
      </w:pPr>
    </w:p>
    <w:bookmarkStart w:id="95" w:name="page96"/>
    <w:bookmarkEnd w:id="95"/>
    <w:p>
      <w:pPr>
        <w:jc w:val="both"/>
        <w:spacing w:after="0" w:line="253" w:lineRule="auto"/>
        <w:rPr>
          <w:sz w:val="20"/>
          <w:szCs w:val="20"/>
          <w:color w:val="auto"/>
        </w:rPr>
      </w:pPr>
      <w:r>
        <w:rPr>
          <w:rFonts w:ascii="Arial" w:cs="Arial" w:eastAsia="Arial" w:hAnsi="Arial"/>
          <w:sz w:val="16"/>
          <w:szCs w:val="16"/>
          <w:color w:val="auto"/>
        </w:rPr>
        <w:t>Our officers are appointed annually by the Board of Directors. There is no arrangement or understanding between Ms. Nam and any other person pursuant to which she was appointed as an officer of the Company. There are also no family relationships between Ms. Nam and any director or executive officer of the Company.</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officers are not employees of ours and do not receive direct cash compensation for services rendered to us. Rather, they are employees of the Manager and are compensated by the Manager for their services to us as well as other entities affiliated with the Manager. The Manager has informed us that, because the services performed by certain individuals who serve as our officers are not performed exclusively for us, the Manager cannot segregate and identify that portion of compensation awarded to, earned by or paid to certain of our officers, including Ms. Nam, that relates solely to her services to us. Outside of the fees and compensation paid to the Manager by us, Ms. Nam does not have any direct or indirect material interests in any transaction with us or in any currently proposed transaction to which we are a party. Effective as of August 6, 2018, Mr. Scott Christopher will resign as our Chief Accounting Officer. Mr. Christopher will continue to serve as our Chief Financial Officer.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and Officer Indemnification Agreements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appointment of Ms. Nam, we have entered into an indemnification agreement with her, effective as of August 6, 2018. Under the indemnification agreement with our directors and officers, we, subject to certain limitations, have agreed to indemnify our directors and officers against certain liabilities arising out of their service as a director or officer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to the Revolving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August 2, 2018, we entered into Amendment No. 1 (the “Amendment”) to the Revolving Credit Facility.</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Amendment, among other things, (i) increases the aggregate revolving commitments under the Revolving Credit Facility by $50,000,000 from $75,000,000 to $125,000,000 and (ii) extends the maturity date of the revolving loans and commitments under the Existing Credit Agreement by one year from June 16, 2020 to June 16, 2021.</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foregoing description of the Amendment does not purport to be complete and is subject to, and qualified in its entirety by reference to, the full text of the Amendment, which is attached hereto as Exhibit 10.15 to this Quarterly Report on Form 10-Q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38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006EBF"/>
        </w:rPr>
        <w:t>Item 6. Exhibits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ind w:left="20"/>
              <w:spacing w:after="0"/>
              <w:rPr>
                <w:rFonts w:ascii="Arial" w:cs="Arial" w:eastAsia="Arial" w:hAnsi="Arial"/>
                <w:sz w:val="14"/>
                <w:szCs w:val="14"/>
                <w:color w:val="0000FF"/>
                <w:w w:val="92"/>
              </w:rPr>
            </w:pPr>
            <w:hyperlink r:id="rId27">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April 30, 2015).</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28">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Amended and Restated Limited Liability Company Agreement of Fortress Transportation and Infrastructure Investors LLC (incorporated by reference to</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Exhibit 3.2 of the Company's Current Report on Form 8-K, filed on May 21, 2015).</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29">
              <w:r>
                <w:rPr>
                  <w:rFonts w:ascii="Arial" w:cs="Arial" w:eastAsia="Arial" w:hAnsi="Arial"/>
                  <w:sz w:val="14"/>
                  <w:szCs w:val="14"/>
                  <w:color w:val="0000FF"/>
                  <w:w w:val="92"/>
                </w:rPr>
                <w:t>3.</w:t>
              </w:r>
              <w:r>
                <w:rPr>
                  <w:rFonts w:ascii="Arial" w:cs="Arial" w:eastAsia="Arial" w:hAnsi="Arial"/>
                  <w:sz w:val="14"/>
                  <w:szCs w:val="14"/>
                  <w:u w:val="single" w:color="auto"/>
                  <w:color w:val="0000FF"/>
                  <w:w w:val="92"/>
                </w:rPr>
                <w:t>3</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 Amendment to Amended and Restated Limited Liability Company Agreement of Fortress Transportation and Infrastructure Investors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3.3 of the Company's Annual Report on Form 10-K, filed on March 10, 2016).</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30">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Current Report on Form 8-K, filed on March 15, 2017).</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31">
              <w:r>
                <w:rPr>
                  <w:rFonts w:ascii="Arial" w:cs="Arial" w:eastAsia="Arial" w:hAnsi="Arial"/>
                  <w:sz w:val="14"/>
                  <w:szCs w:val="14"/>
                  <w:color w:val="0000FF"/>
                  <w:w w:val="92"/>
                </w:rPr>
                <w:t>4.</w:t>
              </w:r>
              <w:r>
                <w:rPr>
                  <w:rFonts w:ascii="Arial" w:cs="Arial" w:eastAsia="Arial" w:hAnsi="Arial"/>
                  <w:sz w:val="14"/>
                  <w:szCs w:val="14"/>
                  <w:u w:val="single" w:color="auto"/>
                  <w:color w:val="0000FF"/>
                  <w:w w:val="92"/>
                </w:rPr>
                <w:t>2</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32">
              <w:r>
                <w:rPr>
                  <w:rFonts w:ascii="Arial" w:cs="Arial" w:eastAsia="Arial" w:hAnsi="Arial"/>
                  <w:sz w:val="14"/>
                  <w:szCs w:val="14"/>
                  <w:color w:val="0000FF"/>
                  <w:w w:val="92"/>
                </w:rPr>
                <w:t>4.</w:t>
              </w:r>
              <w:r>
                <w:rPr>
                  <w:rFonts w:ascii="Arial" w:cs="Arial" w:eastAsia="Arial" w:hAnsi="Arial"/>
                  <w:sz w:val="14"/>
                  <w:szCs w:val="14"/>
                  <w:u w:val="single" w:color="auto"/>
                  <w:color w:val="0000FF"/>
                  <w:w w:val="92"/>
                </w:rPr>
                <w:t>3</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First Supplemental Indenture, dated June 8, 2017, between Fortress Transportation and Infrastructure Investors LLC and U.S. Bank National Association,</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 trustee, relating to the Company’s 6.75% senior unsecured notes due 2022 (incorporated by reference to Exhibit 4.3 of the Company’s Annual Report</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on Form 10-K, filed on March 1, 2018.</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33">
              <w:r>
                <w:rPr>
                  <w:rFonts w:ascii="Arial" w:cs="Arial" w:eastAsia="Arial" w:hAnsi="Arial"/>
                  <w:sz w:val="14"/>
                  <w:szCs w:val="14"/>
                  <w:color w:val="0000FF"/>
                  <w:w w:val="92"/>
                </w:rPr>
                <w:t>4.</w:t>
              </w:r>
              <w:r>
                <w:rPr>
                  <w:rFonts w:ascii="Arial" w:cs="Arial" w:eastAsia="Arial" w:hAnsi="Arial"/>
                  <w:sz w:val="14"/>
                  <w:szCs w:val="14"/>
                  <w:u w:val="single" w:color="auto"/>
                  <w:color w:val="0000FF"/>
                  <w:w w:val="92"/>
                </w:rPr>
                <w:t>4</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Second Supplemental Indenture, dated August 23, 2017, between Fortress Transportation and Infrastructure Investors LLC and U.S. Bank National</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August 23, 2017).</w:t>
            </w:r>
          </w:p>
        </w:tc>
      </w:tr>
      <w:tr>
        <w:trPr>
          <w:trHeight w:val="176"/>
        </w:trPr>
        <w:tc>
          <w:tcPr>
            <w:tcW w:w="240" w:type="dxa"/>
            <w:vAlign w:val="bottom"/>
          </w:tcPr>
          <w:p>
            <w:pPr>
              <w:spacing w:after="0"/>
              <w:rPr>
                <w:sz w:val="15"/>
                <w:szCs w:val="15"/>
                <w:color w:val="auto"/>
              </w:rPr>
            </w:pPr>
          </w:p>
        </w:tc>
        <w:tc>
          <w:tcPr>
            <w:tcW w:w="220" w:type="dxa"/>
            <w:vAlign w:val="bottom"/>
            <w:gridSpan w:val="2"/>
          </w:tcPr>
          <w:p>
            <w:pPr>
              <w:ind w:left="20"/>
              <w:spacing w:after="0"/>
              <w:rPr>
                <w:rFonts w:ascii="Arial" w:cs="Arial" w:eastAsia="Arial" w:hAnsi="Arial"/>
                <w:sz w:val="14"/>
                <w:szCs w:val="14"/>
                <w:color w:val="0000FF"/>
                <w:w w:val="92"/>
              </w:rPr>
            </w:pPr>
            <w:hyperlink r:id="rId34">
              <w:r>
                <w:rPr>
                  <w:rFonts w:ascii="Arial" w:cs="Arial" w:eastAsia="Arial" w:hAnsi="Arial"/>
                  <w:sz w:val="14"/>
                  <w:szCs w:val="14"/>
                  <w:color w:val="0000FF"/>
                  <w:w w:val="92"/>
                </w:rPr>
                <w:t>4.</w:t>
              </w:r>
              <w:r>
                <w:rPr>
                  <w:rFonts w:ascii="Arial" w:cs="Arial" w:eastAsia="Arial" w:hAnsi="Arial"/>
                  <w:sz w:val="14"/>
                  <w:szCs w:val="14"/>
                  <w:u w:val="single" w:color="auto"/>
                  <w:color w:val="0000FF"/>
                  <w:w w:val="92"/>
                </w:rPr>
                <w:t>5</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Third Supplemental Indenture, dated December 20, 2017, between Fortress Transportation and Infrastructure LLC and U.S. Bank National Association,</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as trustee, relating to the Company’s 6.75% senior unsecured notes due 2022 (incorporated by reference to Exhibit 4.1 of the Company’s Current Report</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on Form 8-K filed on December 20, 2017).</w:t>
            </w:r>
          </w:p>
        </w:tc>
      </w:tr>
      <w:tr>
        <w:trPr>
          <w:trHeight w:val="182"/>
        </w:trPr>
        <w:tc>
          <w:tcPr>
            <w:tcW w:w="2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20"/>
              <w:spacing w:after="0"/>
              <w:rPr>
                <w:rFonts w:ascii="Arial" w:cs="Arial" w:eastAsia="Arial" w:hAnsi="Arial"/>
                <w:sz w:val="14"/>
                <w:szCs w:val="14"/>
                <w:color w:val="0000FF"/>
                <w:w w:val="92"/>
              </w:rPr>
            </w:pPr>
            <w:hyperlink r:id="rId35">
              <w:r>
                <w:rPr>
                  <w:rFonts w:ascii="Arial" w:cs="Arial" w:eastAsia="Arial" w:hAnsi="Arial"/>
                  <w:sz w:val="14"/>
                  <w:szCs w:val="14"/>
                  <w:color w:val="0000FF"/>
                  <w:w w:val="92"/>
                </w:rPr>
                <w:t>4.</w:t>
              </w:r>
              <w:r>
                <w:rPr>
                  <w:rFonts w:ascii="Arial" w:cs="Arial" w:eastAsia="Arial" w:hAnsi="Arial"/>
                  <w:sz w:val="14"/>
                  <w:szCs w:val="14"/>
                  <w:u w:val="single" w:color="auto"/>
                  <w:color w:val="0000FF"/>
                  <w:w w:val="92"/>
                </w:rPr>
                <w:t>6</w:t>
              </w:r>
            </w:hyperlink>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Fourth Supplemental Indenture, dated May 31, 2018, between Fortress Transportation and Infrastructure Investors LLC and U.S. Bank National</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May 31, 2018).</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36">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reference to Exhibit 10.1 of the Company's Current Report on Form 8-K, filed on May 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7">
              <w:r>
                <w:rPr>
                  <w:rFonts w:ascii="Arial" w:cs="Arial" w:eastAsia="Arial" w:hAnsi="Arial"/>
                  <w:sz w:val="14"/>
                  <w:szCs w:val="14"/>
                  <w:color w:val="0000FF"/>
                </w:rPr>
                <w:t>10.2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10.2 of the Company's Current Report on Form 8-K, filed on May 21, 2015).</w:t>
            </w:r>
          </w:p>
        </w:tc>
      </w:tr>
      <w:tr>
        <w:trPr>
          <w:trHeight w:val="176"/>
        </w:trPr>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tcPr>
          <w:p>
            <w:pPr>
              <w:ind w:left="20"/>
              <w:spacing w:after="0"/>
              <w:rPr>
                <w:rFonts w:ascii="Arial" w:cs="Arial" w:eastAsia="Arial" w:hAnsi="Arial"/>
                <w:sz w:val="14"/>
                <w:szCs w:val="14"/>
                <w:color w:val="0000FF"/>
              </w:rPr>
            </w:pPr>
            <w:hyperlink r:id="rId38">
              <w:r>
                <w:rPr>
                  <w:rFonts w:ascii="Arial" w:cs="Arial" w:eastAsia="Arial" w:hAnsi="Arial"/>
                  <w:sz w:val="14"/>
                  <w:szCs w:val="14"/>
                  <w:color w:val="0000FF"/>
                </w:rPr>
                <w:t>10.3</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Transportation and Infrastructure Master GP LLC (incorporated by reference to Exhibit 10.3 of the Company's Current Report on Form 8-K, filed on May</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21, 2015).</w:t>
            </w:r>
          </w:p>
        </w:tc>
      </w:tr>
      <w:tr>
        <w:trPr>
          <w:trHeight w:val="182"/>
        </w:trPr>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39">
              <w:r>
                <w:rPr>
                  <w:rFonts w:ascii="Arial" w:cs="Arial" w:eastAsia="Arial" w:hAnsi="Arial"/>
                  <w:sz w:val="14"/>
                  <w:szCs w:val="14"/>
                  <w:color w:val="0000FF"/>
                </w:rPr>
                <w:t>10.4</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 Company's Current Report on Form 8-K, filed on May 21,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40">
              <w:r>
                <w:rPr>
                  <w:rFonts w:ascii="Arial" w:cs="Arial" w:eastAsia="Arial" w:hAnsi="Arial"/>
                  <w:sz w:val="14"/>
                  <w:szCs w:val="14"/>
                  <w:color w:val="0000FF"/>
                </w:rPr>
                <w:t>10.</w:t>
              </w:r>
              <w:r>
                <w:rPr>
                  <w:rFonts w:ascii="Arial" w:cs="Arial" w:eastAsia="Arial" w:hAnsi="Arial"/>
                  <w:sz w:val="14"/>
                  <w:szCs w:val="14"/>
                  <w:u w:val="single" w:color="auto"/>
                  <w:color w:val="0000FF"/>
                </w:rPr>
                <w:t>5</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41">
              <w:r>
                <w:rPr>
                  <w:rFonts w:ascii="Arial" w:cs="Arial" w:eastAsia="Arial" w:hAnsi="Arial"/>
                  <w:sz w:val="14"/>
                  <w:szCs w:val="14"/>
                  <w:color w:val="0000FF"/>
                </w:rPr>
                <w:t>10.</w:t>
              </w:r>
              <w:r>
                <w:rPr>
                  <w:rFonts w:ascii="Arial" w:cs="Arial" w:eastAsia="Arial" w:hAnsi="Arial"/>
                  <w:sz w:val="14"/>
                  <w:szCs w:val="14"/>
                  <w:u w:val="single" w:color="auto"/>
                  <w:color w:val="0000FF"/>
                </w:rPr>
                <w:t>6</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Partners LLC and the other lenders party thereto (incorporated by reference to Exhibit 10.6 of Amendment No. 4 to the Company's Registration Statement</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 Form S-1, filed April 30,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42">
              <w:r>
                <w:rPr>
                  <w:rFonts w:ascii="Arial" w:cs="Arial" w:eastAsia="Arial" w:hAnsi="Arial"/>
                  <w:sz w:val="14"/>
                  <w:szCs w:val="14"/>
                  <w:color w:val="0000FF"/>
                </w:rPr>
                <w:t>10.</w:t>
              </w:r>
              <w:r>
                <w:rPr>
                  <w:rFonts w:ascii="Arial" w:cs="Arial" w:eastAsia="Arial" w:hAnsi="Arial"/>
                  <w:sz w:val="14"/>
                  <w:szCs w:val="14"/>
                  <w:u w:val="single" w:color="auto"/>
                  <w:color w:val="0000FF"/>
                </w:rPr>
                <w:t>7</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Trust Indenture and Security Agreement between the District and The Bank of New York Mellon Trust Company, National Association, dated as of</w:t>
            </w:r>
          </w:p>
        </w:tc>
      </w:tr>
      <w:tr>
        <w:trPr>
          <w:trHeight w:val="177"/>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February 1, 2016 (incorporated by reference to Exhibit 10.7 of the Company's Annual Report on Form 10-K, filed on March 10, 2016).</w:t>
            </w:r>
          </w:p>
        </w:tc>
      </w:tr>
      <w:tr>
        <w:trPr>
          <w:trHeight w:val="182"/>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FF"/>
              </w:rPr>
            </w:pPr>
            <w:hyperlink r:id="rId43">
              <w:r>
                <w:rPr>
                  <w:rFonts w:ascii="Arial" w:cs="Arial" w:eastAsia="Arial" w:hAnsi="Arial"/>
                  <w:sz w:val="14"/>
                  <w:szCs w:val="14"/>
                  <w:color w:val="0000FF"/>
                </w:rPr>
                <w:t>10.</w:t>
              </w:r>
              <w:r>
                <w:rPr>
                  <w:rFonts w:ascii="Arial" w:cs="Arial" w:eastAsia="Arial" w:hAnsi="Arial"/>
                  <w:sz w:val="14"/>
                  <w:szCs w:val="14"/>
                  <w:u w:val="single" w:color="auto"/>
                  <w:color w:val="0000FF"/>
                </w:rPr>
                <w:t>8</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Standby Bond Purchase Agreement among the Port of Beaumont Navigation District of Jefferson County, Texas, The Bank of New York Mellon Trust</w:t>
            </w:r>
          </w:p>
        </w:tc>
      </w:tr>
      <w:tr>
        <w:trPr>
          <w:trHeight w:val="160"/>
        </w:trPr>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 National Association, Jefferson Railport Terminal II Holdings LLC and Jefferson Railport Terminal II LLC dated as of February 1, 2016</w:t>
            </w:r>
          </w:p>
        </w:tc>
      </w:tr>
      <w:tr>
        <w:trPr>
          <w:trHeight w:val="18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10.8 of the Company's Annual Report on Form 10-K, filed on March 10, 2016).</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FF"/>
              </w:rPr>
            </w:pPr>
            <w:hyperlink r:id="rId44">
              <w:r>
                <w:rPr>
                  <w:rFonts w:ascii="Arial" w:cs="Arial" w:eastAsia="Arial" w:hAnsi="Arial"/>
                  <w:sz w:val="14"/>
                  <w:szCs w:val="14"/>
                  <w:color w:val="0000FF"/>
                </w:rPr>
                <w:t>10.</w:t>
              </w:r>
              <w:r>
                <w:rPr>
                  <w:rFonts w:ascii="Arial" w:cs="Arial" w:eastAsia="Arial" w:hAnsi="Arial"/>
                  <w:sz w:val="14"/>
                  <w:szCs w:val="14"/>
                  <w:u w:val="single" w:color="auto"/>
                  <w:color w:val="0000FF"/>
                </w:rPr>
                <w:t>9</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FTAI Midstream GP Holdings LLC, FTAI Midstream GP LLC, FTAI Midstream Holdings LLC, FTAI Energy Partners LLC and Jefferson Railport Terminal II</w:t>
            </w:r>
          </w:p>
        </w:tc>
      </w:tr>
      <w:tr>
        <w:trPr>
          <w:trHeight w:val="16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Holdings LLC, dated as of February 1, 2016 (incorporated by reference to Exhibit 10.9 of the Company's Annual Report on Form 10-K, filed on March 10,</w:t>
            </w:r>
          </w:p>
        </w:tc>
      </w:tr>
      <w:tr>
        <w:trPr>
          <w:trHeight w:val="172"/>
        </w:trPr>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2016).</w:t>
            </w:r>
          </w:p>
        </w:tc>
      </w:tr>
      <w:tr>
        <w:trPr>
          <w:trHeight w:val="188"/>
        </w:trPr>
        <w:tc>
          <w:tcPr>
            <w:tcW w:w="240" w:type="dxa"/>
            <w:vAlign w:val="bottom"/>
          </w:tcPr>
          <w:p>
            <w:pPr>
              <w:spacing w:after="0"/>
              <w:rPr>
                <w:sz w:val="16"/>
                <w:szCs w:val="16"/>
                <w:color w:val="auto"/>
              </w:rPr>
            </w:pPr>
          </w:p>
        </w:tc>
        <w:tc>
          <w:tcPr>
            <w:tcW w:w="380" w:type="dxa"/>
            <w:vAlign w:val="bottom"/>
            <w:gridSpan w:val="4"/>
          </w:tcPr>
          <w:p>
            <w:pPr>
              <w:ind w:left="20"/>
              <w:spacing w:after="0"/>
              <w:rPr>
                <w:rFonts w:ascii="Arial" w:cs="Arial" w:eastAsia="Arial" w:hAnsi="Arial"/>
                <w:sz w:val="14"/>
                <w:szCs w:val="14"/>
                <w:color w:val="0000FF"/>
                <w:w w:val="96"/>
              </w:rPr>
            </w:pPr>
            <w:hyperlink r:id="rId45">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10</w:t>
              </w:r>
            </w:hyperlink>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Fee and Support Agreement, among FTAI Energy Holdings LLC, FEP Terminal Holdings LLC, FTAI Energy Partners LLC and Jefferson Railport Terminal</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720344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203440" cy="342900"/>
                    </a:xfrm>
                    <a:prstGeom prst="rect">
                      <a:avLst/>
                    </a:prstGeom>
                    <a:noFill/>
                  </pic:spPr>
                </pic:pic>
              </a:graphicData>
            </a:graphic>
          </wp:anchor>
        </w:drawing>
      </w:r>
    </w:p>
    <w:p>
      <w:pPr>
        <w:ind w:left="1560" w:right="40" w:hanging="6"/>
        <w:spacing w:after="0" w:line="258" w:lineRule="auto"/>
        <w:tabs>
          <w:tab w:leader="none" w:pos="1688" w:val="left"/>
        </w:tabs>
        <w:numPr>
          <w:ilvl w:val="0"/>
          <w:numId w:val="42"/>
        </w:numPr>
        <w:rPr>
          <w:rFonts w:ascii="Arial" w:cs="Arial" w:eastAsia="Arial" w:hAnsi="Arial"/>
          <w:sz w:val="14"/>
          <w:szCs w:val="14"/>
          <w:color w:val="auto"/>
        </w:rPr>
      </w:pPr>
      <w:r>
        <w:rPr>
          <w:rFonts w:ascii="Arial" w:cs="Arial" w:eastAsia="Arial" w:hAnsi="Arial"/>
          <w:sz w:val="14"/>
          <w:szCs w:val="14"/>
          <w:color w:val="auto"/>
        </w:rPr>
        <w:t>LLC, dated as of March 7, 2016 (incorporated by reference to Exhibit 10.10 of the Company's Amended Annual Report on Form 10-K/A, filed on April 29, 2016).</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60" w:type="dxa"/>
            <w:vAlign w:val="bottom"/>
            <w:gridSpan w:val="3"/>
          </w:tcPr>
          <w:p>
            <w:pPr>
              <w:jc w:val="right"/>
              <w:ind w:right="440"/>
              <w:spacing w:after="0"/>
              <w:rPr>
                <w:rFonts w:ascii="Arial" w:cs="Arial" w:eastAsia="Arial" w:hAnsi="Arial"/>
                <w:sz w:val="14"/>
                <w:szCs w:val="14"/>
                <w:color w:val="0000FF"/>
              </w:rPr>
            </w:pPr>
            <w:hyperlink r:id="rId47">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Lease and Development Agreement (Facilities Lease), dated as of February 1, 2016, by and between the Port of Beaumont Navigation District of</w:t>
            </w:r>
          </w:p>
        </w:tc>
      </w:tr>
      <w:tr>
        <w:trPr>
          <w:trHeight w:val="160"/>
        </w:trPr>
        <w:tc>
          <w:tcPr>
            <w:tcW w:w="26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Jefferson County, Texas and Jefferson Railport Terminal II LLC (incorporated by reference to Exhibit 10.11 of the Company's Annual Report on Form 10-</w:t>
            </w:r>
          </w:p>
        </w:tc>
      </w:tr>
      <w:tr>
        <w:trPr>
          <w:trHeight w:val="178"/>
        </w:trPr>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K, filed on March 10, 2016).</w:t>
            </w:r>
          </w:p>
        </w:tc>
      </w:tr>
      <w:tr>
        <w:trPr>
          <w:trHeight w:val="182"/>
        </w:trPr>
        <w:tc>
          <w:tcPr>
            <w:tcW w:w="1060" w:type="dxa"/>
            <w:vAlign w:val="bottom"/>
            <w:gridSpan w:val="3"/>
            <w:shd w:val="clear" w:color="auto" w:fill="CCEEFF"/>
          </w:tcPr>
          <w:p>
            <w:pPr>
              <w:jc w:val="right"/>
              <w:ind w:right="440"/>
              <w:spacing w:after="0"/>
              <w:rPr>
                <w:rFonts w:ascii="Arial" w:cs="Arial" w:eastAsia="Arial" w:hAnsi="Arial"/>
                <w:sz w:val="14"/>
                <w:szCs w:val="14"/>
                <w:color w:val="0000FF"/>
              </w:rPr>
            </w:pPr>
            <w:hyperlink r:id="rId48">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Deed of Trust of Jefferson Railport Terminal II LLC, dated as of February 1, 2016 (incorporated by reference to Exhibit 10.12 of the Company's Annual</w:t>
            </w:r>
          </w:p>
        </w:tc>
      </w:tr>
      <w:tr>
        <w:trPr>
          <w:trHeight w:val="183"/>
        </w:trPr>
        <w:tc>
          <w:tcPr>
            <w:tcW w:w="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Report on Form 10-K, filed on March 10, 2016).</w:t>
            </w:r>
          </w:p>
        </w:tc>
      </w:tr>
      <w:tr>
        <w:trPr>
          <w:trHeight w:val="176"/>
        </w:trPr>
        <w:tc>
          <w:tcPr>
            <w:tcW w:w="1060" w:type="dxa"/>
            <w:vAlign w:val="bottom"/>
            <w:gridSpan w:val="3"/>
          </w:tcPr>
          <w:p>
            <w:pPr>
              <w:jc w:val="right"/>
              <w:ind w:right="440"/>
              <w:spacing w:after="0"/>
              <w:rPr>
                <w:rFonts w:ascii="Arial" w:cs="Arial" w:eastAsia="Arial" w:hAnsi="Arial"/>
                <w:sz w:val="14"/>
                <w:szCs w:val="14"/>
                <w:color w:val="0000FF"/>
              </w:rPr>
            </w:pPr>
            <w:hyperlink r:id="rId49">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p>
        </w:tc>
        <w:tc>
          <w:tcPr>
            <w:tcW w:w="10300" w:type="dxa"/>
            <w:vAlign w:val="bottom"/>
          </w:tcPr>
          <w:p>
            <w:pPr>
              <w:ind w:left="460"/>
              <w:spacing w:after="0"/>
              <w:rPr>
                <w:sz w:val="20"/>
                <w:szCs w:val="20"/>
                <w:color w:val="auto"/>
              </w:rPr>
            </w:pPr>
            <w:r>
              <w:rPr>
                <w:rFonts w:ascii="Arial" w:cs="Arial" w:eastAsia="Arial" w:hAnsi="Arial"/>
                <w:sz w:val="14"/>
                <w:szCs w:val="14"/>
                <w:color w:val="auto"/>
              </w:rPr>
              <w:t>Credit Agreement, dated January 23, 2017, among Fortress Transportation and Infrastructure Investors LLC, as holdings, Fortress Worldwide</w:t>
            </w:r>
          </w:p>
        </w:tc>
      </w:tr>
      <w:tr>
        <w:trPr>
          <w:trHeight w:val="160"/>
        </w:trPr>
        <w:tc>
          <w:tcPr>
            <w:tcW w:w="26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Transportation and Infrastructure General Partnership, as IntermediateCo, WWTAI Finance Ltd., as Borrower, the Subsidiary Guarantors from time to time</w:t>
            </w:r>
          </w:p>
        </w:tc>
      </w:tr>
      <w:tr>
        <w:trPr>
          <w:trHeight w:val="162"/>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party thereto, the lenders from time to time party thereto and Morgan Stanley Senior Funding, Inc., as Administrative Agent (incorporated by reference to</w:t>
            </w:r>
          </w:p>
        </w:tc>
      </w:tr>
      <w:tr>
        <w:trPr>
          <w:trHeight w:val="178"/>
        </w:trPr>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300" w:type="dxa"/>
            <w:vAlign w:val="bottom"/>
          </w:tcPr>
          <w:p>
            <w:pPr>
              <w:ind w:left="460"/>
              <w:spacing w:after="0"/>
              <w:rPr>
                <w:sz w:val="20"/>
                <w:szCs w:val="20"/>
                <w:color w:val="auto"/>
              </w:rPr>
            </w:pPr>
            <w:r>
              <w:rPr>
                <w:rFonts w:ascii="Arial" w:cs="Arial" w:eastAsia="Arial" w:hAnsi="Arial"/>
                <w:sz w:val="14"/>
                <w:szCs w:val="14"/>
                <w:color w:val="auto"/>
              </w:rPr>
              <w:t>Exhibit 10.1 of the Company's Current Report on Form 8-K, filed on January 27, 2017).</w:t>
            </w:r>
          </w:p>
        </w:tc>
      </w:tr>
      <w:tr>
        <w:trPr>
          <w:trHeight w:val="182"/>
        </w:trPr>
        <w:tc>
          <w:tcPr>
            <w:tcW w:w="1060" w:type="dxa"/>
            <w:vAlign w:val="bottom"/>
            <w:gridSpan w:val="3"/>
            <w:shd w:val="clear" w:color="auto" w:fill="CCEEFF"/>
          </w:tcPr>
          <w:p>
            <w:pPr>
              <w:jc w:val="right"/>
              <w:ind w:right="440"/>
              <w:spacing w:after="0"/>
              <w:rPr>
                <w:rFonts w:ascii="Arial" w:cs="Arial" w:eastAsia="Arial" w:hAnsi="Arial"/>
                <w:sz w:val="14"/>
                <w:szCs w:val="14"/>
                <w:color w:val="0000FF"/>
              </w:rPr>
            </w:pPr>
            <w:hyperlink r:id="rId50">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Credit Agreement, dated June 16, 2017, among Fortress Transportation and Infrastructure Investors LLC, as Borrower, the lenders and issuing banks</w:t>
            </w:r>
          </w:p>
        </w:tc>
      </w:tr>
      <w:tr>
        <w:trPr>
          <w:trHeight w:val="160"/>
        </w:trPr>
        <w:tc>
          <w:tcPr>
            <w:tcW w:w="2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3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from time to time party thereto and JPMorgan Chase Bank, N.A., as Administrative Agent (incorporated by reference to Exhibit 10.1 of the Company’s</w:t>
            </w:r>
          </w:p>
        </w:tc>
      </w:tr>
      <w:tr>
        <w:trPr>
          <w:trHeight w:val="184"/>
        </w:trPr>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3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Report on Form 8-K, filed on June 22, 2017).</w:t>
            </w:r>
          </w:p>
        </w:tc>
      </w:tr>
      <w:tr>
        <w:trPr>
          <w:trHeight w:val="440"/>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00" w:type="dxa"/>
            <w:vAlign w:val="bottom"/>
          </w:tcPr>
          <w:p>
            <w:pPr>
              <w:ind w:left="4520"/>
              <w:spacing w:after="0"/>
              <w:rPr>
                <w:sz w:val="20"/>
                <w:szCs w:val="20"/>
                <w:color w:val="auto"/>
              </w:rPr>
            </w:pPr>
            <w:r>
              <w:rPr>
                <w:rFonts w:ascii="Arial" w:cs="Arial" w:eastAsia="Arial" w:hAnsi="Arial"/>
                <w:sz w:val="16"/>
                <w:szCs w:val="16"/>
                <w:color w:val="auto"/>
              </w:rPr>
              <w:t>97</w:t>
            </w:r>
          </w:p>
        </w:tc>
      </w:tr>
    </w:tbl>
    <w:p>
      <w:pPr>
        <w:sectPr>
          <w:pgSz w:w="11900" w:h="16838" w:orient="portrait"/>
          <w:cols w:equalWidth="0" w:num="1">
            <w:col w:w="11400"/>
          </w:cols>
          <w:pgMar w:left="240" w:top="630" w:right="25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11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7"/>
                <w:szCs w:val="17"/>
                <w:color w:val="auto"/>
              </w:rPr>
            </w:pPr>
          </w:p>
        </w:tc>
        <w:tc>
          <w:tcPr>
            <w:tcW w:w="98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380" w:type="dxa"/>
            <w:vAlign w:val="bottom"/>
            <w:gridSpan w:val="5"/>
          </w:tcPr>
          <w:p>
            <w:pPr>
              <w:ind w:left="260"/>
              <w:spacing w:after="0"/>
              <w:rPr>
                <w:rFonts w:ascii="Arial" w:cs="Arial" w:eastAsia="Arial" w:hAnsi="Arial"/>
                <w:sz w:val="14"/>
                <w:szCs w:val="14"/>
                <w:color w:val="0000FF"/>
              </w:rPr>
            </w:pPr>
            <w:hyperlink w:anchor="page100">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Amendment No. 1, dated as of August 2, 2018, among Fortress Transportation and Infrastructure Investors LLC, as borrower, Fortress Worldwide</w:t>
            </w:r>
          </w:p>
        </w:tc>
      </w:tr>
      <w:tr>
        <w:trPr>
          <w:trHeight w:val="16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Transportation and Infrastructure General Partnership, the lenders and issuing banks from time to time party thereto and JPMorgan Chase Bank, N.A., as</w:t>
            </w:r>
          </w:p>
        </w:tc>
      </w:tr>
      <w:tr>
        <w:trPr>
          <w:trHeight w:val="178"/>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administrative agent.</w:t>
            </w:r>
          </w:p>
        </w:tc>
      </w:tr>
      <w:tr>
        <w:trPr>
          <w:trHeight w:val="182"/>
        </w:trPr>
        <w:tc>
          <w:tcPr>
            <w:tcW w:w="1500" w:type="dxa"/>
            <w:vAlign w:val="bottom"/>
            <w:gridSpan w:val="6"/>
            <w:shd w:val="clear" w:color="auto" w:fill="CCEEFF"/>
          </w:tcPr>
          <w:p>
            <w:pPr>
              <w:ind w:left="20"/>
              <w:spacing w:after="0"/>
              <w:rPr>
                <w:rFonts w:ascii="Arial" w:cs="Arial" w:eastAsia="Arial" w:hAnsi="Arial"/>
                <w:sz w:val="14"/>
                <w:szCs w:val="14"/>
                <w:color w:val="auto"/>
              </w:rPr>
            </w:pPr>
            <w:r>
              <w:rPr>
                <w:rFonts w:ascii="Arial" w:cs="Arial" w:eastAsia="Arial" w:hAnsi="Arial"/>
                <w:sz w:val="14"/>
                <w:szCs w:val="14"/>
                <w:color w:val="auto"/>
              </w:rPr>
              <w:t xml:space="preserve">†  </w:t>
            </w:r>
            <w:hyperlink r:id="rId51">
              <w:r>
                <w:rPr>
                  <w:rFonts w:ascii="Arial" w:cs="Arial" w:eastAsia="Arial" w:hAnsi="Arial"/>
                  <w:sz w:val="14"/>
                  <w:szCs w:val="14"/>
                  <w:color w:val="0000FF"/>
                </w:rPr>
                <w:t>10.16</w:t>
              </w:r>
            </w:hyperlink>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Award Agreement under the Fortress Transportation and Infrastructure Investors Nonqualified Stock Option and Incentive Award Plan</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10.1 of the Company’s Current Report on Form 8-K, filed on January 17, 2018).</w:t>
            </w:r>
          </w:p>
        </w:tc>
      </w:tr>
      <w:tr>
        <w:trPr>
          <w:trHeight w:val="176"/>
        </w:trPr>
        <w:tc>
          <w:tcPr>
            <w:tcW w:w="620" w:type="dxa"/>
            <w:vAlign w:val="bottom"/>
            <w:gridSpan w:val="4"/>
          </w:tcPr>
          <w:p>
            <w:pPr>
              <w:ind w:left="260"/>
              <w:spacing w:after="0"/>
              <w:rPr>
                <w:rFonts w:ascii="Arial" w:cs="Arial" w:eastAsia="Arial" w:hAnsi="Arial"/>
                <w:sz w:val="14"/>
                <w:szCs w:val="14"/>
                <w:color w:val="0000FF"/>
              </w:rPr>
            </w:pPr>
            <w:hyperlink w:anchor="page111">
              <w:r>
                <w:rPr>
                  <w:rFonts w:ascii="Arial" w:cs="Arial" w:eastAsia="Arial" w:hAnsi="Arial"/>
                  <w:sz w:val="14"/>
                  <w:szCs w:val="14"/>
                  <w:color w:val="0000FF"/>
                </w:rPr>
                <w:t>31.</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620" w:type="dxa"/>
            <w:vAlign w:val="bottom"/>
            <w:gridSpan w:val="4"/>
            <w:shd w:val="clear" w:color="auto" w:fill="CCEEFF"/>
          </w:tcPr>
          <w:p>
            <w:pPr>
              <w:ind w:left="260"/>
              <w:spacing w:after="0"/>
              <w:rPr>
                <w:rFonts w:ascii="Arial" w:cs="Arial" w:eastAsia="Arial" w:hAnsi="Arial"/>
                <w:sz w:val="14"/>
                <w:szCs w:val="14"/>
                <w:color w:val="0000FF"/>
              </w:rPr>
            </w:pPr>
            <w:hyperlink w:anchor="page112">
              <w:r>
                <w:rPr>
                  <w:rFonts w:ascii="Arial" w:cs="Arial" w:eastAsia="Arial" w:hAnsi="Arial"/>
                  <w:sz w:val="14"/>
                  <w:szCs w:val="14"/>
                  <w:color w:val="0000FF"/>
                </w:rPr>
                <w:t>31.</w:t>
              </w:r>
              <w:r>
                <w:rPr>
                  <w:rFonts w:ascii="Arial" w:cs="Arial" w:eastAsia="Arial" w:hAnsi="Arial"/>
                  <w:sz w:val="14"/>
                  <w:szCs w:val="14"/>
                  <w:u w:val="single" w:color="auto"/>
                  <w:color w:val="0000FF"/>
                </w:rPr>
                <w:t>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176"/>
        </w:trPr>
        <w:tc>
          <w:tcPr>
            <w:tcW w:w="620" w:type="dxa"/>
            <w:vAlign w:val="bottom"/>
            <w:gridSpan w:val="4"/>
          </w:tcPr>
          <w:p>
            <w:pPr>
              <w:ind w:left="260"/>
              <w:spacing w:after="0"/>
              <w:rPr>
                <w:rFonts w:ascii="Arial" w:cs="Arial" w:eastAsia="Arial" w:hAnsi="Arial"/>
                <w:sz w:val="14"/>
                <w:szCs w:val="14"/>
                <w:color w:val="0000FF"/>
              </w:rPr>
            </w:pPr>
            <w:hyperlink w:anchor="page113">
              <w:r>
                <w:rPr>
                  <w:rFonts w:ascii="Arial" w:cs="Arial" w:eastAsia="Arial" w:hAnsi="Arial"/>
                  <w:sz w:val="14"/>
                  <w:szCs w:val="14"/>
                  <w:color w:val="0000FF"/>
                </w:rPr>
                <w:t>32.</w:t>
              </w:r>
              <w:r>
                <w:rPr>
                  <w:rFonts w:ascii="Arial" w:cs="Arial" w:eastAsia="Arial" w:hAnsi="Arial"/>
                  <w:sz w:val="14"/>
                  <w:szCs w:val="14"/>
                  <w:u w:val="single" w:color="auto"/>
                  <w:color w:val="0000FF"/>
                </w:rPr>
                <w:t>1</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60" w:type="dxa"/>
            <w:vAlign w:val="bottom"/>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620" w:type="dxa"/>
            <w:vAlign w:val="bottom"/>
            <w:gridSpan w:val="4"/>
            <w:shd w:val="clear" w:color="auto" w:fill="CCEEFF"/>
          </w:tcPr>
          <w:p>
            <w:pPr>
              <w:ind w:left="260"/>
              <w:spacing w:after="0"/>
              <w:rPr>
                <w:rFonts w:ascii="Arial" w:cs="Arial" w:eastAsia="Arial" w:hAnsi="Arial"/>
                <w:sz w:val="14"/>
                <w:szCs w:val="14"/>
                <w:color w:val="0000FF"/>
              </w:rPr>
            </w:pPr>
            <w:hyperlink w:anchor="page114">
              <w:r>
                <w:rPr>
                  <w:rFonts w:ascii="Arial" w:cs="Arial" w:eastAsia="Arial" w:hAnsi="Arial"/>
                  <w:sz w:val="14"/>
                  <w:szCs w:val="14"/>
                  <w:color w:val="0000FF"/>
                </w:rPr>
                <w:t>32.</w:t>
              </w:r>
              <w:r>
                <w:rPr>
                  <w:rFonts w:ascii="Arial" w:cs="Arial" w:eastAsia="Arial" w:hAnsi="Arial"/>
                  <w:sz w:val="14"/>
                  <w:szCs w:val="14"/>
                  <w:u w:val="single" w:color="auto"/>
                  <w:color w:val="0000FF"/>
                </w:rPr>
                <w:t>2</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75"/>
        </w:trPr>
        <w:tc>
          <w:tcPr>
            <w:tcW w:w="2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9860" w:type="dxa"/>
            <w:vAlign w:val="bottom"/>
            <w:tcBorders>
              <w:top w:val="single" w:sz="8" w:color="CCEEFF"/>
            </w:tcBorders>
            <w:shd w:val="clear" w:color="auto" w:fill="CCEEFF"/>
          </w:tcPr>
          <w:p>
            <w:pPr>
              <w:spacing w:after="0"/>
              <w:rPr>
                <w:sz w:val="6"/>
                <w:szCs w:val="6"/>
                <w:color w:val="auto"/>
              </w:rPr>
            </w:pPr>
          </w:p>
        </w:tc>
      </w:tr>
      <w:tr>
        <w:trPr>
          <w:trHeight w:val="204"/>
        </w:trPr>
        <w:tc>
          <w:tcPr>
            <w:tcW w:w="240" w:type="dxa"/>
            <w:vAlign w:val="bottom"/>
          </w:tcPr>
          <w:p>
            <w:pPr>
              <w:spacing w:after="0"/>
              <w:rPr>
                <w:sz w:val="17"/>
                <w:szCs w:val="17"/>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color w:val="auto"/>
              </w:rPr>
              <w:t>101.INS</w:t>
            </w:r>
          </w:p>
        </w:tc>
        <w:tc>
          <w:tcPr>
            <w:tcW w:w="9860" w:type="dxa"/>
            <w:vAlign w:val="bottom"/>
          </w:tcPr>
          <w:p>
            <w:pPr>
              <w:ind w:left="20"/>
              <w:spacing w:after="0"/>
              <w:rPr>
                <w:sz w:val="20"/>
                <w:szCs w:val="20"/>
                <w:color w:val="auto"/>
              </w:rPr>
            </w:pPr>
            <w:r>
              <w:rPr>
                <w:rFonts w:ascii="Arial" w:cs="Arial" w:eastAsia="Arial" w:hAnsi="Arial"/>
                <w:sz w:val="14"/>
                <w:szCs w:val="14"/>
                <w:color w:val="auto"/>
              </w:rPr>
              <w:t>XBRL Instance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color w:val="auto"/>
              </w:rPr>
              <w:t>101.CAL</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r>
        <w:trPr>
          <w:trHeight w:val="204"/>
        </w:trPr>
        <w:tc>
          <w:tcPr>
            <w:tcW w:w="240" w:type="dxa"/>
            <w:vAlign w:val="bottom"/>
          </w:tcPr>
          <w:p>
            <w:pPr>
              <w:spacing w:after="0"/>
              <w:rPr>
                <w:sz w:val="17"/>
                <w:szCs w:val="17"/>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color w:val="auto"/>
              </w:rPr>
              <w:t>101.LAB</w:t>
            </w:r>
          </w:p>
        </w:tc>
        <w:tc>
          <w:tcPr>
            <w:tcW w:w="9860" w:type="dxa"/>
            <w:vAlign w:val="bottom"/>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66"/>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04"/>
        </w:trPr>
        <w:tc>
          <w:tcPr>
            <w:tcW w:w="240" w:type="dxa"/>
            <w:vAlign w:val="bottom"/>
            <w:shd w:val="clear" w:color="auto" w:fill="CCEEFF"/>
          </w:tcPr>
          <w:p>
            <w:pPr>
              <w:spacing w:after="0"/>
              <w:rPr>
                <w:sz w:val="17"/>
                <w:szCs w:val="17"/>
                <w:color w:val="auto"/>
              </w:rPr>
            </w:pPr>
          </w:p>
        </w:tc>
        <w:tc>
          <w:tcPr>
            <w:tcW w:w="126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66"/>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60" w:type="dxa"/>
            <w:vAlign w:val="bottom"/>
            <w:shd w:val="clear" w:color="auto" w:fill="CCEEFF"/>
          </w:tcPr>
          <w:p>
            <w:pPr>
              <w:spacing w:after="0"/>
              <w:rPr>
                <w:sz w:val="5"/>
                <w:szCs w:val="5"/>
                <w:color w:val="auto"/>
              </w:rPr>
            </w:pPr>
          </w:p>
        </w:tc>
      </w:tr>
    </w:tbl>
    <w:p>
      <w:pPr>
        <w:spacing w:after="0" w:line="18" w:lineRule="exact"/>
        <w:rPr>
          <w:sz w:val="20"/>
          <w:szCs w:val="20"/>
          <w:color w:val="auto"/>
        </w:rPr>
      </w:pPr>
    </w:p>
    <w:p>
      <w:pPr>
        <w:ind w:left="260" w:hanging="231"/>
        <w:spacing w:after="0"/>
        <w:tabs>
          <w:tab w:leader="none" w:pos="26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60"/>
          </w:cols>
          <w:pgMar w:left="280" w:top="747" w:right="259" w:bottom="1440" w:gutter="0" w:footer="0" w:header="0"/>
        </w:sectPr>
      </w:pPr>
    </w:p>
    <w:bookmarkStart w:id="98" w:name="page99"/>
    <w:bookmarkEnd w:id="98"/>
    <w:p>
      <w:pPr>
        <w:jc w:val="center"/>
        <w:ind w:right="-199"/>
        <w:spacing w:after="0"/>
        <w:rPr>
          <w:sz w:val="20"/>
          <w:szCs w:val="20"/>
          <w:color w:val="auto"/>
        </w:rPr>
      </w:pPr>
      <w:r>
        <w:rPr>
          <w:rFonts w:ascii="Arial" w:cs="Arial" w:eastAsia="Arial" w:hAnsi="Arial"/>
          <w:sz w:val="16"/>
          <w:szCs w:val="16"/>
          <w:b w:val="1"/>
          <w:bCs w:val="1"/>
          <w:color w:val="00497F"/>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420" w:type="dxa"/>
            <w:vAlign w:val="bottom"/>
          </w:tcPr>
          <w:p>
            <w:pPr>
              <w:ind w:left="320"/>
              <w:spacing w:after="0"/>
              <w:rPr>
                <w:sz w:val="20"/>
                <w:szCs w:val="20"/>
                <w:color w:val="auto"/>
              </w:rPr>
            </w:pPr>
            <w:r>
              <w:rPr>
                <w:rFonts w:ascii="Arial" w:cs="Arial" w:eastAsia="Arial" w:hAnsi="Arial"/>
                <w:sz w:val="16"/>
                <w:szCs w:val="16"/>
                <w:color w:val="auto"/>
              </w:rPr>
              <w:t>August 3, 2018</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420" w:type="dxa"/>
            <w:vAlign w:val="bottom"/>
          </w:tcPr>
          <w:p>
            <w:pPr>
              <w:ind w:left="320"/>
              <w:spacing w:after="0"/>
              <w:rPr>
                <w:sz w:val="20"/>
                <w:szCs w:val="20"/>
                <w:color w:val="auto"/>
              </w:rPr>
            </w:pPr>
            <w:r>
              <w:rPr>
                <w:rFonts w:ascii="Arial" w:cs="Arial" w:eastAsia="Arial" w:hAnsi="Arial"/>
                <w:sz w:val="16"/>
                <w:szCs w:val="16"/>
                <w:color w:val="auto"/>
              </w:rPr>
              <w:t>August 3, 2018</w:t>
            </w:r>
          </w:p>
        </w:tc>
      </w:tr>
      <w:tr>
        <w:trPr>
          <w:trHeight w:val="237"/>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8"/>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 and Chief Accounting</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95"/>
        </w:trPr>
        <w:tc>
          <w:tcPr>
            <w:tcW w:w="540" w:type="dxa"/>
            <w:vAlign w:val="bottom"/>
          </w:tcPr>
          <w:p>
            <w:pPr>
              <w:spacing w:after="0"/>
              <w:rPr>
                <w:sz w:val="16"/>
                <w:szCs w:val="16"/>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Officer</w:t>
            </w:r>
          </w:p>
        </w:tc>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675"/>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99</w:t>
            </w:r>
          </w:p>
        </w:tc>
        <w:tc>
          <w:tcPr>
            <w:tcW w:w="1420" w:type="dxa"/>
            <w:vAlign w:val="bottom"/>
          </w:tcPr>
          <w:p>
            <w:pPr>
              <w:spacing w:after="0"/>
              <w:rPr>
                <w:sz w:val="24"/>
                <w:szCs w:val="24"/>
                <w:color w:val="auto"/>
              </w:rPr>
            </w:pPr>
          </w:p>
        </w:tc>
      </w:tr>
    </w:tbl>
    <w:p>
      <w:pPr>
        <w:sectPr>
          <w:pgSz w:w="11900" w:h="16838" w:orient="portrait"/>
          <w:cols w:equalWidth="0" w:num="1">
            <w:col w:w="11220"/>
          </w:cols>
          <w:pgMar w:left="240" w:top="634" w:right="439"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AMENDMENT NO. 1 dated as of August 2, 2018 (this “</w:t>
      </w:r>
      <w:r>
        <w:rPr>
          <w:rFonts w:ascii="Arial" w:cs="Arial" w:eastAsia="Arial" w:hAnsi="Arial"/>
          <w:sz w:val="20"/>
          <w:szCs w:val="20"/>
          <w:u w:val="single" w:color="auto"/>
          <w:color w:val="auto"/>
        </w:rPr>
        <w:t>Amendment</w:t>
      </w:r>
      <w:r>
        <w:rPr>
          <w:rFonts w:ascii="Arial" w:cs="Arial" w:eastAsia="Arial" w:hAnsi="Arial"/>
          <w:sz w:val="20"/>
          <w:szCs w:val="20"/>
          <w:color w:val="auto"/>
        </w:rPr>
        <w:t>”), to the CREDIT AGREEMENT dated as of June 16, 2017 (as amended, supplemented or otherwise modified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FORTRESS TRANSPORTATION AND INFRASTRUCTURE INVESTORS LLC, a Delaware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each lender from time to time party thereto (each individually referred to therein as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as “</w:t>
      </w:r>
      <w:r>
        <w:rPr>
          <w:rFonts w:ascii="Arial" w:cs="Arial" w:eastAsia="Arial" w:hAnsi="Arial"/>
          <w:sz w:val="20"/>
          <w:szCs w:val="20"/>
          <w:u w:val="single" w:color="auto"/>
          <w:color w:val="auto"/>
        </w:rPr>
        <w:t>Lenders</w:t>
      </w:r>
      <w:r>
        <w:rPr>
          <w:rFonts w:ascii="Arial" w:cs="Arial" w:eastAsia="Arial" w:hAnsi="Arial"/>
          <w:sz w:val="20"/>
          <w:szCs w:val="20"/>
          <w:color w:val="auto"/>
        </w:rPr>
        <w:t>”) and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The Borrower has requested that (i) the Aggregate Commitments under the Credit Agreement be increased by an amount equal to $50,000,000 (the “</w:t>
      </w:r>
      <w:r>
        <w:rPr>
          <w:rFonts w:ascii="Arial" w:cs="Arial" w:eastAsia="Arial" w:hAnsi="Arial"/>
          <w:sz w:val="20"/>
          <w:szCs w:val="20"/>
          <w:u w:val="single" w:color="auto"/>
          <w:color w:val="auto"/>
        </w:rPr>
        <w:t>Commitment Increase</w:t>
      </w:r>
      <w:r>
        <w:rPr>
          <w:rFonts w:ascii="Arial" w:cs="Arial" w:eastAsia="Arial" w:hAnsi="Arial"/>
          <w:sz w:val="20"/>
          <w:szCs w:val="20"/>
          <w:color w:val="auto"/>
        </w:rPr>
        <w:t>”), which Commitment Increase will be provided by Morgan Stanley Senior Funding, Inc. (the “</w:t>
      </w:r>
      <w:r>
        <w:rPr>
          <w:rFonts w:ascii="Arial" w:cs="Arial" w:eastAsia="Arial" w:hAnsi="Arial"/>
          <w:sz w:val="20"/>
          <w:szCs w:val="20"/>
          <w:u w:val="single" w:color="auto"/>
          <w:color w:val="auto"/>
        </w:rPr>
        <w:t>Commitment Increase Lender</w:t>
      </w:r>
      <w:r>
        <w:rPr>
          <w:rFonts w:ascii="Arial" w:cs="Arial" w:eastAsia="Arial" w:hAnsi="Arial"/>
          <w:sz w:val="20"/>
          <w:szCs w:val="20"/>
          <w:color w:val="auto"/>
        </w:rPr>
        <w:t>”) and (ii) the Credit Agreement be amended as set forth herein.</w:t>
      </w:r>
    </w:p>
    <w:p>
      <w:pPr>
        <w:spacing w:after="0" w:line="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B. The Commitment Increase Lender is willing to provide such additional Commitments, and the Lenders are willing to so amend the Credit Agreement, in each case on the terms and subject to the conditions set forth herein.</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Accordingly, in consideration of the mutual agreements herein contained and other good and valuable consideration, the sufficiency and receipt of which are hereby acknowledged, the parties hereto agree as follows:</w:t>
      </w:r>
    </w:p>
    <w:p>
      <w:pPr>
        <w:spacing w:after="0" w:line="8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Capitalized terms used and not defined herein shall have the meanings assigned to such terms in the Credit Agreement. The rules of interpretation set forth in Section 1.2 of the Credit Agreement are hereby incorporated by reference herein,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xml:space="preserve"> (a) Subject to the terms and conditions set forth herein, the Lenders party hereto (including the Commitment Increase Lender) hereby agree that, effective as of the Amendment Effective Date (as defined below), the aggregate amount of the Commitments outstanding immediately prior to the Amendment Effective Date shall be increased by an amount equal to the Commitment Increase, and that such Commitment Increase shall be held, as of the Amendment Effective Date, by the Commitment Increase Lender. On and after the Amendment Effective Date, the Commitment Increase Lender shall, in its capacity as a Lender, make Loans to the Borrower, and otherwise extend credit (including by funding participations in Letters of Credit), in each case in accordance with the terms and subject to the conditions of the Credit Agreement, as amended hereby. Each Lender agrees that no amounts shall be due under Section 2.15(c) of the Credit Agreement as a result of the transactions contemplated by this Amendment.</w:t>
      </w:r>
    </w:p>
    <w:p>
      <w:pPr>
        <w:spacing w:after="0" w:line="78" w:lineRule="exact"/>
        <w:rPr>
          <w:sz w:val="20"/>
          <w:szCs w:val="20"/>
          <w:color w:val="auto"/>
        </w:rPr>
      </w:pPr>
    </w:p>
    <w:p>
      <w:pPr>
        <w:jc w:val="both"/>
        <w:ind w:left="660" w:firstLine="645"/>
        <w:spacing w:after="0" w:line="286" w:lineRule="auto"/>
        <w:tabs>
          <w:tab w:leader="none" w:pos="2187" w:val="left"/>
        </w:tabs>
        <w:numPr>
          <w:ilvl w:val="0"/>
          <w:numId w:val="44"/>
        </w:numPr>
        <w:rPr>
          <w:rFonts w:ascii="Arial" w:cs="Arial" w:eastAsia="Arial" w:hAnsi="Arial"/>
          <w:sz w:val="19"/>
          <w:szCs w:val="19"/>
          <w:color w:val="auto"/>
        </w:rPr>
      </w:pPr>
      <w:r>
        <w:rPr>
          <w:rFonts w:ascii="Arial" w:cs="Arial" w:eastAsia="Arial" w:hAnsi="Arial"/>
          <w:sz w:val="19"/>
          <w:szCs w:val="19"/>
          <w:color w:val="auto"/>
        </w:rPr>
        <w:t>On the Amendment Effective Date, each of the Lenders with Commitments under the Credit Agreement immediately prior to the Amendment Effective Date (the “</w:t>
      </w:r>
      <w:r>
        <w:rPr>
          <w:rFonts w:ascii="Arial" w:cs="Arial" w:eastAsia="Arial" w:hAnsi="Arial"/>
          <w:sz w:val="19"/>
          <w:szCs w:val="19"/>
          <w:u w:val="single" w:color="auto"/>
          <w:color w:val="auto"/>
        </w:rPr>
        <w:t>Existing Lenders</w:t>
      </w:r>
      <w:r>
        <w:rPr>
          <w:rFonts w:ascii="Arial" w:cs="Arial" w:eastAsia="Arial" w:hAnsi="Arial"/>
          <w:sz w:val="19"/>
          <w:szCs w:val="19"/>
          <w:color w:val="auto"/>
        </w:rPr>
        <w:t>”), shall assign to the Commitment Increase Lender, and the Commitment Increase Lender shall purchase from each of such Lenders, at the principal amount thereof, such interests in the Loans outstanding on the Amendment Effective Date as shall be necessary in order that, after giving effect to all such assignments and purchases, the Loans will be held by the Existing Lenders and the Commitment Increase Lender ratably in accordance with their Commitments after giving effect to the Commitment Increase, and the participations in respect of Letters of Credit shall be reallocated so that such participations are held ratably among the Lenders in accordance with their commitments after giving effect to the Commitment Increase. Schedule 1.1A of the Credit Agreement, as amended by this Amendment, sets forth the Commitment of each Lender after giving effect to this Amendment.</w:t>
      </w:r>
    </w:p>
    <w:p>
      <w:pPr>
        <w:spacing w:after="0" w:line="74" w:lineRule="exact"/>
        <w:rPr>
          <w:rFonts w:ascii="Arial" w:cs="Arial" w:eastAsia="Arial" w:hAnsi="Arial"/>
          <w:sz w:val="19"/>
          <w:szCs w:val="19"/>
          <w:color w:val="auto"/>
        </w:rPr>
      </w:pPr>
    </w:p>
    <w:p>
      <w:pPr>
        <w:jc w:val="both"/>
        <w:ind w:left="660" w:firstLine="645"/>
        <w:spacing w:after="0" w:line="271" w:lineRule="auto"/>
        <w:tabs>
          <w:tab w:leader="none" w:pos="217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Commitment Increase Lender, by delivering its signature page to this Amendment on the Amendment Effective Date, shall be deemed to have acknowledged receipt of, and consented to and approved, each Loan Document and each other document required to be delivered to, or be approved by or satisfactory to, the Administrative Agent or any Lender on the Amendment Effective Date. The Commitment Increase Lender shall become a “Lender” for all purposes of the Credit Agreement and the other Loan Documents, in accordance with the terms thereof, and the Commitment Increase Lender shall have all the rights and obligations of a Lender under the Credit Agreement with respect to the interests purchased by it pursuant to such paragraphs, in accordance with the terms thereof.</w:t>
      </w:r>
    </w:p>
    <w:p>
      <w:pPr>
        <w:sectPr>
          <w:pgSz w:w="11900" w:h="16838" w:orient="portrait"/>
          <w:cols w:equalWidth="0" w:num="1">
            <w:col w:w="11420"/>
          </w:cols>
          <w:pgMar w:left="240" w:top="576" w:right="239" w:bottom="1440" w:gutter="0" w:footer="0" w:header="0"/>
        </w:sectPr>
      </w:pPr>
    </w:p>
    <w:bookmarkStart w:id="100" w:name="page101"/>
    <w:bookmarkEnd w:id="100"/>
    <w:p>
      <w:pPr>
        <w:ind w:firstLine="648"/>
        <w:spacing w:after="0" w:line="289"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Amendments</w:t>
      </w:r>
      <w:r>
        <w:rPr>
          <w:rFonts w:ascii="Arial" w:cs="Arial" w:eastAsia="Arial" w:hAnsi="Arial"/>
          <w:sz w:val="20"/>
          <w:szCs w:val="20"/>
          <w:color w:val="auto"/>
        </w:rPr>
        <w:t>. Effective as of the Amendment Effective Date, the Credit Agreement is hereby amended as follows:</w:t>
      </w:r>
    </w:p>
    <w:p>
      <w:pPr>
        <w:spacing w:after="0" w:line="67" w:lineRule="exact"/>
        <w:rPr>
          <w:sz w:val="20"/>
          <w:szCs w:val="20"/>
          <w:color w:val="auto"/>
        </w:rPr>
      </w:pPr>
    </w:p>
    <w:p>
      <w:pPr>
        <w:ind w:left="2180" w:hanging="875"/>
        <w:spacing w:after="0"/>
        <w:tabs>
          <w:tab w:leader="none" w:pos="2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definitions are hereby added to Section 1.1 of the Credit Agreement in the appropriate alphabetical</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order:</w:t>
      </w:r>
    </w:p>
    <w:p>
      <w:pPr>
        <w:spacing w:after="0" w:line="135" w:lineRule="exact"/>
        <w:rPr>
          <w:sz w:val="20"/>
          <w:szCs w:val="20"/>
          <w:color w:val="auto"/>
        </w:rPr>
      </w:pPr>
    </w:p>
    <w:p>
      <w:pPr>
        <w:ind w:left="1300" w:firstLine="653"/>
        <w:spacing w:after="0" w:line="289" w:lineRule="auto"/>
        <w:tabs>
          <w:tab w:leader="none" w:pos="2783"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w:t>
      </w:r>
      <w:r>
        <w:rPr>
          <w:rFonts w:ascii="Arial" w:cs="Arial" w:eastAsia="Arial" w:hAnsi="Arial"/>
          <w:sz w:val="20"/>
          <w:szCs w:val="20"/>
          <w:color w:val="auto"/>
        </w:rPr>
        <w:t>”: Amendment No. 1, dated as of August 2, 2018, among the Borrower, the Lenders party thereto and the Administrative Agent.</w:t>
      </w:r>
    </w:p>
    <w:p>
      <w:pPr>
        <w:spacing w:after="0" w:line="67" w:lineRule="exact"/>
        <w:rPr>
          <w:rFonts w:ascii="Arial" w:cs="Arial" w:eastAsia="Arial" w:hAnsi="Arial"/>
          <w:sz w:val="20"/>
          <w:szCs w:val="20"/>
          <w:color w:val="auto"/>
        </w:rPr>
      </w:pPr>
    </w:p>
    <w:p>
      <w:pPr>
        <w:ind w:left="2840" w:hanging="887"/>
        <w:spacing w:after="0"/>
        <w:tabs>
          <w:tab w:leader="none" w:pos="2840"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as defined in Amendment No. 1.</w:t>
      </w:r>
    </w:p>
    <w:p>
      <w:pPr>
        <w:spacing w:after="0" w:line="134" w:lineRule="exact"/>
        <w:rPr>
          <w:rFonts w:ascii="Arial" w:cs="Arial" w:eastAsia="Arial" w:hAnsi="Arial"/>
          <w:sz w:val="20"/>
          <w:szCs w:val="20"/>
          <w:color w:val="auto"/>
        </w:rPr>
      </w:pPr>
    </w:p>
    <w:p>
      <w:pPr>
        <w:ind w:left="1300" w:firstLine="653"/>
        <w:spacing w:after="0" w:line="289" w:lineRule="auto"/>
        <w:tabs>
          <w:tab w:leader="none" w:pos="2893"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w:t>
      </w:r>
    </w:p>
    <w:p>
      <w:pPr>
        <w:spacing w:after="0" w:line="67" w:lineRule="exact"/>
        <w:rPr>
          <w:rFonts w:ascii="Arial" w:cs="Arial" w:eastAsia="Arial" w:hAnsi="Arial"/>
          <w:sz w:val="20"/>
          <w:szCs w:val="20"/>
          <w:color w:val="auto"/>
        </w:rPr>
      </w:pPr>
    </w:p>
    <w:p>
      <w:pPr>
        <w:ind w:left="2880" w:hanging="927"/>
        <w:spacing w:after="0"/>
        <w:tabs>
          <w:tab w:leader="none" w:pos="28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134" w:lineRule="exact"/>
        <w:rPr>
          <w:rFonts w:ascii="Arial" w:cs="Arial" w:eastAsia="Arial" w:hAnsi="Arial"/>
          <w:sz w:val="20"/>
          <w:szCs w:val="20"/>
          <w:color w:val="auto"/>
        </w:rPr>
      </w:pPr>
    </w:p>
    <w:p>
      <w:pPr>
        <w:ind w:left="2840" w:hanging="887"/>
        <w:spacing w:after="0"/>
        <w:tabs>
          <w:tab w:leader="none" w:pos="2840" w:val="left"/>
        </w:tabs>
        <w:numPr>
          <w:ilvl w:val="1"/>
          <w:numId w:val="4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the Federal Reserve Bank of New York.</w:t>
      </w:r>
    </w:p>
    <w:p>
      <w:pPr>
        <w:spacing w:after="0" w:line="134" w:lineRule="exact"/>
        <w:rPr>
          <w:rFonts w:ascii="Arial" w:cs="Arial" w:eastAsia="Arial" w:hAnsi="Arial"/>
          <w:sz w:val="20"/>
          <w:szCs w:val="20"/>
          <w:color w:val="auto"/>
        </w:rPr>
      </w:pPr>
    </w:p>
    <w:p>
      <w:pPr>
        <w:ind w:left="2880" w:hanging="927"/>
        <w:spacing w:after="0"/>
        <w:tabs>
          <w:tab w:leader="none" w:pos="28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for any day, the greater of (a) the Federal Funds Effective Rate in effect on such day and</w:t>
      </w:r>
    </w:p>
    <w:p>
      <w:pPr>
        <w:spacing w:after="0" w:line="49" w:lineRule="exact"/>
        <w:rPr>
          <w:rFonts w:ascii="Arial" w:cs="Arial" w:eastAsia="Arial" w:hAnsi="Arial"/>
          <w:sz w:val="18"/>
          <w:szCs w:val="18"/>
          <w:color w:val="auto"/>
        </w:rPr>
      </w:pPr>
    </w:p>
    <w:p>
      <w:pPr>
        <w:jc w:val="both"/>
        <w:ind w:left="1300" w:firstLine="5"/>
        <w:spacing w:after="0" w:line="310" w:lineRule="auto"/>
        <w:tabs>
          <w:tab w:leader="none" w:pos="16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Overnight Bank Funding Rate in effect on such day (or for any day that is not a Business Day, for the immediately preceding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any of the aforesaid rates as so determined be less than zero, such rate shall be deemed to be zero for purposes of this Agreement.</w:t>
      </w:r>
    </w:p>
    <w:p>
      <w:pPr>
        <w:spacing w:after="0" w:line="54" w:lineRule="exact"/>
        <w:rPr>
          <w:rFonts w:ascii="Arial" w:cs="Arial" w:eastAsia="Arial" w:hAnsi="Arial"/>
          <w:sz w:val="18"/>
          <w:szCs w:val="18"/>
          <w:color w:val="auto"/>
        </w:rPr>
      </w:pPr>
    </w:p>
    <w:p>
      <w:pPr>
        <w:jc w:val="both"/>
        <w:ind w:left="1300" w:firstLine="653"/>
        <w:spacing w:after="0" w:line="274" w:lineRule="auto"/>
        <w:tabs>
          <w:tab w:leader="none" w:pos="2937" w:val="left"/>
        </w:tabs>
        <w:numPr>
          <w:ilvl w:val="1"/>
          <w:numId w:val="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for any day, the rate comprised of both overnight federal funds and overnight Borrowings with respect to Eurodollar Rate Loans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84" w:lineRule="exact"/>
        <w:rPr>
          <w:sz w:val="20"/>
          <w:szCs w:val="20"/>
          <w:color w:val="auto"/>
        </w:rPr>
      </w:pPr>
    </w:p>
    <w:p>
      <w:pPr>
        <w:ind w:left="2180" w:hanging="875"/>
        <w:spacing w:after="0"/>
        <w:tabs>
          <w:tab w:leader="none" w:pos="21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definition of “Base Rate” is hereby amended and restated in its entirety as follows:</w:t>
      </w:r>
    </w:p>
    <w:p>
      <w:pPr>
        <w:spacing w:after="0" w:line="1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for any day,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greatest of (a) the Prime Rate in effect on such day, (b) the NYFRB Rate in effect on such day plus ½ of 1% and (c) the Adjusted Eurodollar Rate for a one month Interest Period on such day (or if such day is not a Business Day, the immediately preceding Business Day) plus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definition, the Adjusted Eurodollar Rate for any day shall be based on the LIBO Screen Rate (or if the LIBO Screen Rate is not available for such one month Interest Period, the Interpolated Rate) at approximately 11:00 a.m. London time on such day. Any change in the Base Rate due to a change in the Prime Rate, the NYFRB Rate or the Adjusted Eurodollar Rate shall be effective from and including the effective date of such change in the Prime Rate, the NYFRB Rate or the Adjusted Eurodollar Rate, respectively. If the Base Rate is being used as an alternate rate of interest pursuant to Section 2.14 hereof, then the Base Rate shall be the greater of clause (a) and (b) above and shall be determined without reference to clause (c) above. For the avoidance of doubt, if the Base Rate shall be less than zero, such rate shall be deemed to be zero for purposes of this Agreement.</w:t>
      </w:r>
    </w:p>
    <w:p>
      <w:pPr>
        <w:spacing w:after="0" w:line="77" w:lineRule="exact"/>
        <w:rPr>
          <w:sz w:val="20"/>
          <w:szCs w:val="20"/>
          <w:color w:val="auto"/>
        </w:rPr>
      </w:pPr>
    </w:p>
    <w:p>
      <w:pPr>
        <w:ind w:left="2180" w:hanging="875"/>
        <w:spacing w:after="0"/>
        <w:tabs>
          <w:tab w:leader="none" w:pos="21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definition of “Federal Funds Effective Rate” is hereby amended and restated in its entirety as follows: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as so determined would be less than zero, such rate shall be deemed to zero for the purposes of this Agreement.</w:t>
      </w:r>
    </w:p>
    <w:p>
      <w:pPr>
        <w:spacing w:after="0" w:line="82" w:lineRule="exact"/>
        <w:rPr>
          <w:sz w:val="20"/>
          <w:szCs w:val="20"/>
          <w:color w:val="auto"/>
        </w:rPr>
      </w:pPr>
    </w:p>
    <w:p>
      <w:pPr>
        <w:ind w:left="660" w:right="2080" w:firstLine="645"/>
        <w:spacing w:after="0" w:line="544" w:lineRule="auto"/>
        <w:tabs>
          <w:tab w:leader="none" w:pos="218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definition of “Prime Rate” is hereby amended and restated in its entirety as follows: “</w:t>
      </w:r>
      <w:r>
        <w:rPr>
          <w:rFonts w:ascii="Arial" w:cs="Arial" w:eastAsia="Arial" w:hAnsi="Arial"/>
          <w:sz w:val="16"/>
          <w:szCs w:val="16"/>
          <w:u w:val="single" w:color="auto"/>
          <w:color w:val="auto"/>
        </w:rPr>
        <w:t>Prime Rate</w:t>
      </w:r>
      <w:r>
        <w:rPr>
          <w:rFonts w:ascii="Arial" w:cs="Arial" w:eastAsia="Arial" w:hAnsi="Arial"/>
          <w:sz w:val="16"/>
          <w:szCs w:val="16"/>
          <w:color w:val="auto"/>
        </w:rPr>
        <w:t>” means the rate of interest last quoted by The Wall Street Journal as the “Prime Rate” in the U.S.</w:t>
      </w:r>
    </w:p>
    <w:p>
      <w:pPr>
        <w:sectPr>
          <w:pgSz w:w="11900" w:h="16838" w:orient="portrait"/>
          <w:cols w:equalWidth="0" w:num="1">
            <w:col w:w="11420"/>
          </w:cols>
          <w:pgMar w:left="240" w:top="933" w:right="239" w:bottom="1440" w:gutter="0" w:footer="0" w:header="0"/>
        </w:sectPr>
      </w:pPr>
    </w:p>
    <w:bookmarkStart w:id="101" w:name="page102"/>
    <w:bookmarkEnd w:id="101"/>
    <w:p>
      <w:pPr>
        <w:jc w:val="both"/>
        <w:spacing w:after="0" w:line="328" w:lineRule="auto"/>
        <w:rPr>
          <w:sz w:val="20"/>
          <w:szCs w:val="20"/>
          <w:color w:val="auto"/>
        </w:rPr>
      </w:pPr>
      <w:r>
        <w:rPr>
          <w:rFonts w:ascii="Arial" w:cs="Arial" w:eastAsia="Arial" w:hAnsi="Arial"/>
          <w:sz w:val="16"/>
          <w:szCs w:val="16"/>
          <w:color w:val="auto"/>
        </w:rPr>
        <w:t>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34" w:lineRule="exact"/>
        <w:rPr>
          <w:sz w:val="20"/>
          <w:szCs w:val="20"/>
          <w:color w:val="auto"/>
        </w:rPr>
      </w:pPr>
    </w:p>
    <w:p>
      <w:pPr>
        <w:ind w:left="660" w:firstLine="645"/>
        <w:spacing w:after="0" w:line="289" w:lineRule="auto"/>
        <w:tabs>
          <w:tab w:leader="none" w:pos="217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second recital of the Credit Agreement is hereby amended by deleting therefrom the dollar amount “$75,000,000” and substituting therefor the dollar amount “$125,000,000”.</w:t>
      </w:r>
    </w:p>
    <w:p>
      <w:pPr>
        <w:spacing w:after="0" w:line="67" w:lineRule="exact"/>
        <w:rPr>
          <w:rFonts w:ascii="Arial" w:cs="Arial" w:eastAsia="Arial" w:hAnsi="Arial"/>
          <w:sz w:val="20"/>
          <w:szCs w:val="20"/>
          <w:color w:val="auto"/>
        </w:rPr>
      </w:pPr>
    </w:p>
    <w:p>
      <w:pPr>
        <w:jc w:val="both"/>
        <w:ind w:left="660" w:firstLine="645"/>
        <w:spacing w:after="0" w:line="278" w:lineRule="auto"/>
        <w:tabs>
          <w:tab w:leader="none" w:pos="2154"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last sentence of the definition of “Commitment” set forth in Section 1.1 of the Credit Agreement is hereby amended and restated in its entirety to read as follows: “The aggregate amount of the Commitments as of the Amendment Effective Date is $125,000,000.”.</w:t>
      </w:r>
    </w:p>
    <w:p>
      <w:pPr>
        <w:spacing w:after="0" w:line="78" w:lineRule="exact"/>
        <w:rPr>
          <w:rFonts w:ascii="Arial" w:cs="Arial" w:eastAsia="Arial" w:hAnsi="Arial"/>
          <w:sz w:val="20"/>
          <w:szCs w:val="20"/>
          <w:color w:val="auto"/>
        </w:rPr>
      </w:pPr>
    </w:p>
    <w:p>
      <w:pPr>
        <w:jc w:val="both"/>
        <w:ind w:left="660" w:firstLine="645"/>
        <w:spacing w:after="0" w:line="299" w:lineRule="auto"/>
        <w:tabs>
          <w:tab w:leader="none" w:pos="2187" w:val="left"/>
        </w:tabs>
        <w:numPr>
          <w:ilvl w:val="0"/>
          <w:numId w:val="51"/>
        </w:numPr>
        <w:rPr>
          <w:rFonts w:ascii="Arial" w:cs="Arial" w:eastAsia="Arial" w:hAnsi="Arial"/>
          <w:sz w:val="19"/>
          <w:szCs w:val="19"/>
          <w:color w:val="auto"/>
        </w:rPr>
      </w:pPr>
      <w:r>
        <w:rPr>
          <w:rFonts w:ascii="Arial" w:cs="Arial" w:eastAsia="Arial" w:hAnsi="Arial"/>
          <w:sz w:val="19"/>
          <w:szCs w:val="19"/>
          <w:color w:val="auto"/>
        </w:rPr>
        <w:t>Clause (a) of the definition of “Issuing Bank” set forth in Section 1.1 of the Credit Agreement is hereby amended and restated in its entirety to read as follows: “(a) JPMorgan Chase Bank, N.A., Barclays Bank PLC and Morgan Stanley Senior Funding, Inc. (it being understood and agreed that such entities can only issue standby Letters of Credit) and”.</w:t>
      </w:r>
    </w:p>
    <w:p>
      <w:pPr>
        <w:spacing w:after="0" w:line="61" w:lineRule="exact"/>
        <w:rPr>
          <w:rFonts w:ascii="Arial" w:cs="Arial" w:eastAsia="Arial" w:hAnsi="Arial"/>
          <w:sz w:val="19"/>
          <w:szCs w:val="19"/>
          <w:color w:val="auto"/>
        </w:rPr>
      </w:pPr>
    </w:p>
    <w:p>
      <w:pPr>
        <w:ind w:left="660" w:firstLine="645"/>
        <w:spacing w:after="0" w:line="289" w:lineRule="auto"/>
        <w:tabs>
          <w:tab w:leader="none" w:pos="2187" w:val="left"/>
        </w:tabs>
        <w:numPr>
          <w:ilvl w:val="0"/>
          <w:numId w:val="51"/>
        </w:numPr>
        <w:rPr>
          <w:rFonts w:ascii="Arial" w:cs="Arial" w:eastAsia="Arial" w:hAnsi="Arial"/>
          <w:sz w:val="20"/>
          <w:szCs w:val="20"/>
          <w:color w:val="auto"/>
        </w:rPr>
      </w:pPr>
      <w:r>
        <w:rPr>
          <w:rFonts w:ascii="Arial" w:cs="Arial" w:eastAsia="Arial" w:hAnsi="Arial"/>
          <w:sz w:val="20"/>
          <w:szCs w:val="20"/>
          <w:color w:val="auto"/>
        </w:rPr>
        <w:t>Clause (a) of the definition of “Maturity Date” set forth in Section 1.1 of the Credit Agreement is hereby amended by deleting therefrom the date “June 16, 2020” and substituting therefor the date “June 16, 2021”.</w:t>
      </w:r>
    </w:p>
    <w:p>
      <w:pPr>
        <w:spacing w:after="0" w:line="67" w:lineRule="exact"/>
        <w:rPr>
          <w:rFonts w:ascii="Arial" w:cs="Arial" w:eastAsia="Arial" w:hAnsi="Arial"/>
          <w:sz w:val="20"/>
          <w:szCs w:val="20"/>
          <w:color w:val="auto"/>
        </w:rPr>
      </w:pPr>
    </w:p>
    <w:p>
      <w:pPr>
        <w:ind w:left="2140" w:hanging="835"/>
        <w:spacing w:after="0"/>
        <w:tabs>
          <w:tab w:leader="none" w:pos="21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Section 2.15(a) of the Credit Agreement is hereby amended and restated in its entirety to read as follows:</w:t>
      </w:r>
    </w:p>
    <w:p>
      <w:pPr>
        <w:spacing w:after="0" w:line="133"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u w:val="single" w:color="auto"/>
          <w:color w:val="auto"/>
        </w:rPr>
        <w:t>Inability to Determine Applicable Interest Rate</w:t>
      </w:r>
      <w:r>
        <w:rPr>
          <w:rFonts w:ascii="Arial" w:cs="Arial" w:eastAsia="Arial" w:hAnsi="Arial"/>
          <w:sz w:val="18"/>
          <w:szCs w:val="18"/>
          <w:color w:val="auto"/>
        </w:rPr>
        <w:t>. (x) If at least two Business Days prior to the commencement of any</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Period for a Eurodollar Rate Loan:</w:t>
      </w:r>
    </w:p>
    <w:p>
      <w:pPr>
        <w:spacing w:after="0" w:line="105" w:lineRule="exact"/>
        <w:rPr>
          <w:sz w:val="20"/>
          <w:szCs w:val="20"/>
          <w:color w:val="auto"/>
        </w:rPr>
      </w:pPr>
    </w:p>
    <w:p>
      <w:pPr>
        <w:jc w:val="both"/>
        <w:ind w:left="1300" w:firstLine="653"/>
        <w:spacing w:after="0" w:line="322" w:lineRule="auto"/>
        <w:tabs>
          <w:tab w:leader="none" w:pos="278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Eurodollar Rate or the LIBO Rate, as applicable (including because the LIBO Screen Rate is not available or published on a current basis), for such Interest Period; or</w:t>
      </w:r>
    </w:p>
    <w:p>
      <w:pPr>
        <w:spacing w:after="0" w:line="44" w:lineRule="exact"/>
        <w:rPr>
          <w:rFonts w:ascii="Arial" w:cs="Arial" w:eastAsia="Arial" w:hAnsi="Arial"/>
          <w:sz w:val="18"/>
          <w:szCs w:val="18"/>
          <w:color w:val="auto"/>
        </w:rPr>
      </w:pPr>
    </w:p>
    <w:p>
      <w:pPr>
        <w:jc w:val="both"/>
        <w:ind w:left="1300" w:firstLine="653"/>
        <w:spacing w:after="0" w:line="278" w:lineRule="auto"/>
        <w:tabs>
          <w:tab w:leader="none" w:pos="2838"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Eurodollar Rate or the LIBO Rate, as applicable, for such Interest Period will not adequately and fairly reflect the cost to such Lenders of making or maintaining their Loans included in such Borrowing for such Interest Period;</w:t>
      </w:r>
    </w:p>
    <w:p>
      <w:pPr>
        <w:spacing w:after="0" w:line="65" w:lineRule="exact"/>
        <w:rPr>
          <w:sz w:val="20"/>
          <w:szCs w:val="20"/>
          <w:color w:val="auto"/>
        </w:rPr>
      </w:pPr>
    </w:p>
    <w:p>
      <w:pPr>
        <w:jc w:val="both"/>
        <w:ind w:left="1300"/>
        <w:spacing w:after="0" w:line="273" w:lineRule="auto"/>
        <w:rPr>
          <w:sz w:val="20"/>
          <w:szCs w:val="20"/>
          <w:color w:val="auto"/>
        </w:rPr>
      </w:pPr>
      <w:r>
        <w:rPr>
          <w:rFonts w:ascii="Arial" w:cs="Arial" w:eastAsia="Arial" w:hAnsi="Arial"/>
          <w:sz w:val="18"/>
          <w:szCs w:val="18"/>
          <w:color w:val="auto"/>
        </w:rPr>
        <w:t xml:space="preserve">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which the Administrative Agent agrees to do promptly thereafter, (A) any Conversion/Continuation Notice that requests the conversion of any Loan to, or continuation of any Loan as, a Eurodollar Rate Loan shall be ineffective and (B) if any Funding Notice requests a Eurodollar Rate Loan, such Borrowing shall be made as a Base Rate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circumstances giving rise to such notice affect only one Type of Borrowings, then the other Type of Borrowings shall be permitted;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each case, the Borrower may revoke any Conversion/Continuation Notice or Funding Notice that is pending when such notice is received.</w:t>
      </w:r>
    </w:p>
    <w:p>
      <w:pPr>
        <w:spacing w:after="0" w:line="61" w:lineRule="exact"/>
        <w:rPr>
          <w:sz w:val="20"/>
          <w:szCs w:val="20"/>
          <w:color w:val="auto"/>
        </w:rPr>
      </w:pPr>
    </w:p>
    <w:p>
      <w:pPr>
        <w:jc w:val="both"/>
        <w:ind w:left="660" w:firstLine="645"/>
        <w:spacing w:after="0" w:line="256" w:lineRule="auto"/>
        <w:tabs>
          <w:tab w:leader="none" w:pos="1595"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 Screen Rate has made a public statement that the administrator of the LIBO Screen Rate is insolvent (and there is no successor administrator that will continue publication of the LIBO Screen Rate), (x) the administrator of the LIBO Screen Rate has made a public statement identifying a specific date after which the LIBO Screen Rate will permanently or indefinitely cease to be published by it (and there is no successor administrator that will continue publication of the LIBO Screen Rate), (y) the supervisor for the administrator of the LIBO Screen Rate has made a public statement identifying a specific date after which the LIBO Screen Rate will permanently or indefinitely cease to be published or (z) the</w:t>
      </w:r>
    </w:p>
    <w:p>
      <w:pPr>
        <w:sectPr>
          <w:pgSz w:w="11900" w:h="16838" w:orient="portrait"/>
          <w:cols w:equalWidth="0" w:num="1">
            <w:col w:w="11420"/>
          </w:cols>
          <w:pgMar w:left="240" w:top="582" w:right="239" w:bottom="1440" w:gutter="0" w:footer="0" w:header="0"/>
        </w:sectPr>
      </w:pPr>
    </w:p>
    <w:bookmarkStart w:id="102" w:name="page103"/>
    <w:bookmarkEnd w:id="102"/>
    <w:p>
      <w:pPr>
        <w:jc w:val="both"/>
        <w:ind w:left="660"/>
        <w:spacing w:after="0" w:line="267" w:lineRule="auto"/>
        <w:rPr>
          <w:sz w:val="20"/>
          <w:szCs w:val="20"/>
          <w:color w:val="auto"/>
        </w:rPr>
      </w:pPr>
      <w:r>
        <w:rPr>
          <w:rFonts w:ascii="Arial" w:cs="Arial" w:eastAsia="Arial" w:hAnsi="Arial"/>
          <w:sz w:val="18"/>
          <w:szCs w:val="18"/>
          <w:color w:val="auto"/>
        </w:rPr>
        <w:t xml:space="preserve">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U.S. Dollar denominated syndicated loans in the United States at such time, and shall enter into an amendment to this Agreement to reflect such alternate rate of interest and such other related changes to this Agreement as may be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alternate rate of interest as so determined would be less than zero, such rate shall be deemed to be zero for the purposes of this Agreement. Notwithstanding anything to the contrary in Section 9.1,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w:t>
      </w:r>
    </w:p>
    <w:p>
      <w:pPr>
        <w:spacing w:after="0" w:line="9" w:lineRule="exact"/>
        <w:rPr>
          <w:sz w:val="20"/>
          <w:szCs w:val="20"/>
          <w:color w:val="auto"/>
        </w:rPr>
      </w:pPr>
    </w:p>
    <w:p>
      <w:pPr>
        <w:jc w:val="both"/>
        <w:ind w:left="660" w:hanging="4"/>
        <w:spacing w:after="0" w:line="274"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(but, in the case of the circumstances described in clause (ii) of the first sentence of this Section 2.12(b), only to the extent the LIBO Screen Rate for such Interest Period is not available or published at such time on a current basis), (x) any Conversion/Continuation Notice that requests the conversion of any Loan to, or continuation of any Loan as, a Eurodollar Rate Loan shall be ineffective and (y) if any Funding Notice requests a Eurodollar Rate Loan, such Borrowing shall be made as a Base Rate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alternate rate of interest shall be less than zero, such rate shall be deemed to be zero for the purposes of this Agreement.”</w:t>
      </w:r>
    </w:p>
    <w:p>
      <w:pPr>
        <w:spacing w:after="0" w:line="71" w:lineRule="exact"/>
        <w:rPr>
          <w:rFonts w:ascii="Arial" w:cs="Arial" w:eastAsia="Arial" w:hAnsi="Arial"/>
          <w:sz w:val="18"/>
          <w:szCs w:val="18"/>
          <w:color w:val="auto"/>
        </w:rPr>
      </w:pPr>
    </w:p>
    <w:p>
      <w:pPr>
        <w:jc w:val="both"/>
        <w:ind w:left="660" w:firstLine="645"/>
        <w:spacing w:after="0" w:line="278" w:lineRule="auto"/>
        <w:tabs>
          <w:tab w:leader="none" w:pos="2143" w:val="left"/>
        </w:tabs>
        <w:numPr>
          <w:ilvl w:val="1"/>
          <w:numId w:val="54"/>
        </w:numPr>
        <w:rPr>
          <w:rFonts w:ascii="Arial" w:cs="Arial" w:eastAsia="Arial" w:hAnsi="Arial"/>
          <w:sz w:val="20"/>
          <w:szCs w:val="20"/>
          <w:color w:val="auto"/>
        </w:rPr>
      </w:pPr>
      <w:r>
        <w:rPr>
          <w:rFonts w:ascii="Arial" w:cs="Arial" w:eastAsia="Arial" w:hAnsi="Arial"/>
          <w:sz w:val="20"/>
          <w:szCs w:val="20"/>
          <w:color w:val="auto"/>
        </w:rPr>
        <w:t>Section 3.18 of the Credit Agreement is hereby amended by adding the following as the last sentence of Section 3.18: “As of the Amendment Effective Date, the information included in the Beneficial Ownership Certification is true and correct in all respects.”</w:t>
      </w:r>
    </w:p>
    <w:p>
      <w:pPr>
        <w:spacing w:after="0" w:line="78" w:lineRule="exact"/>
        <w:rPr>
          <w:rFonts w:ascii="Arial" w:cs="Arial" w:eastAsia="Arial" w:hAnsi="Arial"/>
          <w:sz w:val="20"/>
          <w:szCs w:val="20"/>
          <w:color w:val="auto"/>
        </w:rPr>
      </w:pPr>
    </w:p>
    <w:p>
      <w:pPr>
        <w:ind w:left="2180" w:hanging="875"/>
        <w:spacing w:after="0"/>
        <w:tabs>
          <w:tab w:leader="none" w:pos="21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Section 5.7 of the Credit Agreement is hereby amended by replacing clause (c) thereof in its entirety to read as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21" w:lineRule="exact"/>
        <w:rPr>
          <w:sz w:val="20"/>
          <w:szCs w:val="20"/>
          <w:color w:val="auto"/>
        </w:rPr>
      </w:pPr>
    </w:p>
    <w:p>
      <w:pPr>
        <w:ind w:left="1300" w:right="20"/>
        <w:spacing w:after="0" w:line="260" w:lineRule="auto"/>
        <w:rPr>
          <w:sz w:val="20"/>
          <w:szCs w:val="20"/>
          <w:color w:val="auto"/>
        </w:rPr>
      </w:pPr>
      <w:r>
        <w:rPr>
          <w:rFonts w:ascii="Arial" w:cs="Arial" w:eastAsia="Arial" w:hAnsi="Arial"/>
          <w:sz w:val="20"/>
          <w:szCs w:val="20"/>
          <w:color w:val="auto"/>
        </w:rPr>
        <w:t>“(c) any change in the information provided in the Beneficial Ownership Certification delivered to such Lender that would result in a change to the list of beneficial owners identified in such certification;”</w:t>
      </w:r>
    </w:p>
    <w:p>
      <w:pPr>
        <w:spacing w:after="0" w:line="82" w:lineRule="exact"/>
        <w:rPr>
          <w:sz w:val="20"/>
          <w:szCs w:val="20"/>
          <w:color w:val="auto"/>
        </w:rPr>
      </w:pPr>
    </w:p>
    <w:p>
      <w:pPr>
        <w:ind w:left="660" w:firstLine="645"/>
        <w:spacing w:after="0" w:line="289" w:lineRule="auto"/>
        <w:tabs>
          <w:tab w:leader="none" w:pos="2143" w:val="left"/>
        </w:tabs>
        <w:numPr>
          <w:ilvl w:val="0"/>
          <w:numId w:val="55"/>
        </w:numPr>
        <w:rPr>
          <w:rFonts w:ascii="Arial" w:cs="Arial" w:eastAsia="Arial" w:hAnsi="Arial"/>
          <w:sz w:val="20"/>
          <w:szCs w:val="20"/>
          <w:color w:val="auto"/>
        </w:rPr>
      </w:pPr>
      <w:r>
        <w:rPr>
          <w:rFonts w:ascii="Arial" w:cs="Arial" w:eastAsia="Arial" w:hAnsi="Arial"/>
          <w:sz w:val="20"/>
          <w:szCs w:val="20"/>
          <w:color w:val="auto"/>
        </w:rPr>
        <w:t>Section 6.3(b)(1) of the Credit Agreement is hereby amended by deleting therefrom the dollar amount “$100,000,000” and substituting therefor the dollar amount “$125,000,000”.</w:t>
      </w:r>
    </w:p>
    <w:p>
      <w:pPr>
        <w:spacing w:after="0" w:line="67" w:lineRule="exact"/>
        <w:rPr>
          <w:rFonts w:ascii="Arial" w:cs="Arial" w:eastAsia="Arial" w:hAnsi="Arial"/>
          <w:sz w:val="20"/>
          <w:szCs w:val="20"/>
          <w:color w:val="auto"/>
        </w:rPr>
      </w:pPr>
    </w:p>
    <w:p>
      <w:pPr>
        <w:ind w:left="660" w:firstLine="645"/>
        <w:spacing w:after="0" w:line="289" w:lineRule="auto"/>
        <w:tabs>
          <w:tab w:leader="none" w:pos="2242"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Schedule 1.1A of the Credit Agreement is hereby amended and restated in its entirety with Schedule 1.1A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Amendment.</w:t>
      </w:r>
    </w:p>
    <w:p>
      <w:pPr>
        <w:spacing w:after="0" w:line="67"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 xml:space="preserve">Representations and Warranties. </w:t>
      </w:r>
      <w:r>
        <w:rPr>
          <w:rFonts w:ascii="Arial" w:cs="Arial" w:eastAsia="Arial" w:hAnsi="Arial"/>
          <w:sz w:val="18"/>
          <w:szCs w:val="18"/>
          <w:color w:val="auto"/>
        </w:rPr>
        <w:t>To induce the other parties hereto to enter into this Agreement,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Borrower hereby represents and warrants to the Administrative Agent and each of the other parties hereto that:</w:t>
      </w:r>
    </w:p>
    <w:p>
      <w:pPr>
        <w:spacing w:after="0" w:line="135" w:lineRule="exact"/>
        <w:rPr>
          <w:sz w:val="20"/>
          <w:szCs w:val="20"/>
          <w:color w:val="auto"/>
        </w:rPr>
      </w:pPr>
    </w:p>
    <w:p>
      <w:pPr>
        <w:jc w:val="both"/>
        <w:ind w:left="660" w:firstLine="645"/>
        <w:spacing w:after="0" w:line="314" w:lineRule="auto"/>
        <w:tabs>
          <w:tab w:leader="none" w:pos="21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of the Amendment Effective Date, each Loan Party has duly executed and delivered and authorized this Amendment and this Amendment constitutes the legal, valid and binding obligation of such Loan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51" w:lineRule="exact"/>
        <w:rPr>
          <w:rFonts w:ascii="Arial" w:cs="Arial" w:eastAsia="Arial" w:hAnsi="Arial"/>
          <w:sz w:val="18"/>
          <w:szCs w:val="18"/>
          <w:color w:val="auto"/>
        </w:rPr>
      </w:pPr>
    </w:p>
    <w:p>
      <w:pPr>
        <w:jc w:val="both"/>
        <w:ind w:left="660" w:firstLine="645"/>
        <w:spacing w:after="0" w:line="272" w:lineRule="auto"/>
        <w:tabs>
          <w:tab w:leader="none" w:pos="2187"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As of the Amendment Effective Date, (i) the representations and warranties set forth in the Credit Agreement and in the other Loan Documents are true and correct in all material respects except to the extent such representations and warranties specifically relate to an earlier date, in which case such representations and warranties were true and correct in all material respects on and as of such earlier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each case, such materiality qualifier is not applicable to any representations and warranties that already are qualified or modified by materiality in the text thereof and (ii) no Default or Event of Default has occurred and is continuing.</w:t>
      </w:r>
    </w:p>
    <w:p>
      <w:pPr>
        <w:spacing w:after="0" w:line="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Interest and Fees.</w:t>
      </w:r>
      <w:r>
        <w:rPr>
          <w:rFonts w:ascii="Arial" w:cs="Arial" w:eastAsia="Arial" w:hAnsi="Arial"/>
          <w:sz w:val="20"/>
          <w:szCs w:val="20"/>
          <w:color w:val="auto"/>
        </w:rPr>
        <w:t xml:space="preserve"> On the Amendment Effective Date, the Borrower shall pay to the Administrative Agent, for the accounts of the Existing Lenders, all unpaid interest and any other amounts which have accrued for the period from the last date such interest and fees were paid to but excluding the Amendment Effective</w:t>
      </w:r>
    </w:p>
    <w:p>
      <w:pPr>
        <w:sectPr>
          <w:pgSz w:w="11900" w:h="16838" w:orient="portrait"/>
          <w:cols w:equalWidth="0" w:num="1">
            <w:col w:w="11420"/>
          </w:cols>
          <w:pgMar w:left="240" w:top="582" w:right="239" w:bottom="1440" w:gutter="0" w:footer="0" w:header="0"/>
        </w:sectPr>
      </w:pPr>
    </w:p>
    <w:bookmarkStart w:id="103" w:name="page104"/>
    <w:bookmarkEnd w:id="103"/>
    <w:p>
      <w:pPr>
        <w:jc w:val="both"/>
        <w:spacing w:after="0" w:line="289" w:lineRule="auto"/>
        <w:rPr>
          <w:sz w:val="20"/>
          <w:szCs w:val="20"/>
          <w:color w:val="auto"/>
        </w:rPr>
      </w:pPr>
      <w:r>
        <w:rPr>
          <w:rFonts w:ascii="Arial" w:cs="Arial" w:eastAsia="Arial" w:hAnsi="Arial"/>
          <w:sz w:val="20"/>
          <w:szCs w:val="20"/>
          <w:color w:val="auto"/>
        </w:rPr>
        <w:t>Date. The interest and fees described in this Section 5 shall be payable in immediately available funds. Once paid, such interest and fees shall not be refundable under any circumstances.</w:t>
      </w:r>
    </w:p>
    <w:p>
      <w:pPr>
        <w:spacing w:after="0" w:line="6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xml:space="preserve"> The effectiveness of this Amendment is subject to the satisfaction or waiver, on or prior to August 2, 2018, of the following conditions precedent (the date on which all such conditions are satisfied or waived,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w:t>
      </w:r>
    </w:p>
    <w:p>
      <w:pPr>
        <w:spacing w:after="0" w:line="79" w:lineRule="exact"/>
        <w:rPr>
          <w:sz w:val="20"/>
          <w:szCs w:val="20"/>
          <w:color w:val="auto"/>
        </w:rPr>
      </w:pPr>
    </w:p>
    <w:p>
      <w:pPr>
        <w:jc w:val="both"/>
        <w:ind w:left="660" w:firstLine="645"/>
        <w:spacing w:after="0" w:line="314" w:lineRule="auto"/>
        <w:tabs>
          <w:tab w:leader="none" w:pos="21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the Borrower, each Existing Lender party hereto (which shall constitute the Required Lenders) and the Commitment Increase Lender either (i) a counterpart of this Amendment signed on behalf of such parties or (ii) written evidence satisfactory to the Administrative Agent (which may include facsimile or other electronic transmission of a signed signature page of this Amendment) that such parties have signed a counterpart of this Amendment.</w:t>
      </w:r>
    </w:p>
    <w:p>
      <w:pPr>
        <w:spacing w:after="0" w:line="51" w:lineRule="exact"/>
        <w:rPr>
          <w:rFonts w:ascii="Arial" w:cs="Arial" w:eastAsia="Arial" w:hAnsi="Arial"/>
          <w:sz w:val="18"/>
          <w:szCs w:val="18"/>
          <w:color w:val="auto"/>
        </w:rPr>
      </w:pPr>
    </w:p>
    <w:p>
      <w:pPr>
        <w:jc w:val="both"/>
        <w:ind w:left="660" w:firstLine="645"/>
        <w:spacing w:after="0" w:line="274" w:lineRule="auto"/>
        <w:tabs>
          <w:tab w:leader="none" w:pos="2187"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Borrower shall have paid all fees due and payable as of the Amendment Effective Date and all expenses for which reasonably detailed invoices have been presented prior to the Amendment Effective Date that are due to the Administrative Agent and the Lenders and required to be paid on the Amendment Effective Date in connection with the transactions contemplated hereby.</w:t>
      </w:r>
    </w:p>
    <w:p>
      <w:pPr>
        <w:spacing w:after="0" w:line="84" w:lineRule="exact"/>
        <w:rPr>
          <w:rFonts w:ascii="Arial" w:cs="Arial" w:eastAsia="Arial" w:hAnsi="Arial"/>
          <w:sz w:val="20"/>
          <w:szCs w:val="20"/>
          <w:color w:val="auto"/>
        </w:rPr>
      </w:pPr>
    </w:p>
    <w:p>
      <w:pPr>
        <w:ind w:left="2180" w:hanging="875"/>
        <w:spacing w:after="0"/>
        <w:tabs>
          <w:tab w:leader="none" w:pos="218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representations and warranties set forth in Section 4 shall be true and correct.</w:t>
      </w:r>
    </w:p>
    <w:p>
      <w:pPr>
        <w:spacing w:after="0" w:line="134" w:lineRule="exact"/>
        <w:rPr>
          <w:rFonts w:ascii="Arial" w:cs="Arial" w:eastAsia="Arial" w:hAnsi="Arial"/>
          <w:sz w:val="20"/>
          <w:szCs w:val="20"/>
          <w:color w:val="auto"/>
        </w:rPr>
      </w:pPr>
    </w:p>
    <w:p>
      <w:pPr>
        <w:jc w:val="both"/>
        <w:ind w:left="660" w:firstLine="645"/>
        <w:spacing w:after="0" w:line="274" w:lineRule="auto"/>
        <w:tabs>
          <w:tab w:leader="none" w:pos="2187"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Administrative Agent shall have received the results of recent Uniform Commercial Code, Tax and judgment lien searches in each relevant jurisdiction reasonably requested by the Administrative Agent with respect to the Borrower and IntermediateCo; and such searches shall reveal no Liens on any of the Collateral except for Liens permitted by Section 6.6 of the Credit Agreement.</w:t>
      </w:r>
    </w:p>
    <w:p>
      <w:pPr>
        <w:spacing w:after="0" w:line="84" w:lineRule="exact"/>
        <w:rPr>
          <w:rFonts w:ascii="Arial" w:cs="Arial" w:eastAsia="Arial" w:hAnsi="Arial"/>
          <w:sz w:val="20"/>
          <w:szCs w:val="20"/>
          <w:color w:val="auto"/>
        </w:rPr>
      </w:pPr>
    </w:p>
    <w:p>
      <w:pPr>
        <w:jc w:val="both"/>
        <w:ind w:left="660" w:firstLine="645"/>
        <w:spacing w:after="0" w:line="278" w:lineRule="auto"/>
        <w:tabs>
          <w:tab w:leader="none" w:pos="2176"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of each Loan Party, dated the Amendment Effective Date, substantially in the form of such certificate delivered on the Closing Date or otherwise in form and substance reasonably satisfactory to the Administrative Agent, with appropriate insertions and attachments.</w:t>
      </w:r>
    </w:p>
    <w:p>
      <w:pPr>
        <w:spacing w:after="0" w:line="78" w:lineRule="exact"/>
        <w:rPr>
          <w:rFonts w:ascii="Arial" w:cs="Arial" w:eastAsia="Arial" w:hAnsi="Arial"/>
          <w:sz w:val="20"/>
          <w:szCs w:val="20"/>
          <w:color w:val="auto"/>
        </w:rPr>
      </w:pPr>
    </w:p>
    <w:p>
      <w:pPr>
        <w:jc w:val="both"/>
        <w:ind w:left="660" w:firstLine="645"/>
        <w:spacing w:after="0" w:line="278" w:lineRule="auto"/>
        <w:tabs>
          <w:tab w:leader="none" w:pos="2154"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Administrative Agent shall have received a good standing certificate (to the extent such concept is known in the relevant jurisdiction) from the applicable Governmental Authority of each Loan Party’s respective jurisdiction of incorporation, organization or formation dated a recent date prior to the Amendment Effective Date.</w:t>
      </w:r>
    </w:p>
    <w:p>
      <w:pPr>
        <w:spacing w:after="0" w:line="78" w:lineRule="exact"/>
        <w:rPr>
          <w:rFonts w:ascii="Arial" w:cs="Arial" w:eastAsia="Arial" w:hAnsi="Arial"/>
          <w:sz w:val="20"/>
          <w:szCs w:val="20"/>
          <w:color w:val="auto"/>
        </w:rPr>
      </w:pPr>
    </w:p>
    <w:p>
      <w:pPr>
        <w:jc w:val="both"/>
        <w:ind w:left="660" w:right="20" w:firstLine="645"/>
        <w:spacing w:after="0" w:line="297" w:lineRule="auto"/>
        <w:tabs>
          <w:tab w:leader="none" w:pos="21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reasonably acceptable to the Administrative Agent, a legal opinion of (i) Cravath, Swaine &amp; Moore LLP, New York counsel to the Borrower and its Subsidiaries, (ii) Conyers Dill</w:t>
      </w:r>
    </w:p>
    <w:p>
      <w:pPr>
        <w:jc w:val="both"/>
        <w:ind w:left="660" w:right="20" w:hanging="4"/>
        <w:spacing w:after="0" w:line="278" w:lineRule="auto"/>
        <w:tabs>
          <w:tab w:leader="none" w:pos="873" w:val="left"/>
        </w:tabs>
        <w:numPr>
          <w:ilvl w:val="0"/>
          <w:numId w:val="57"/>
        </w:numPr>
        <w:rPr>
          <w:rFonts w:ascii="Arial" w:cs="Arial" w:eastAsia="Arial" w:hAnsi="Arial"/>
          <w:sz w:val="20"/>
          <w:szCs w:val="20"/>
          <w:color w:val="auto"/>
        </w:rPr>
      </w:pPr>
      <w:r>
        <w:rPr>
          <w:rFonts w:ascii="Arial" w:cs="Arial" w:eastAsia="Arial" w:hAnsi="Arial"/>
          <w:sz w:val="20"/>
          <w:szCs w:val="20"/>
          <w:color w:val="auto"/>
        </w:rPr>
        <w:t>Pearman Limited, Bermuda counsel to the Borrower and its Subsidiaries and (iii) Morris, Nichols, Arsht &amp; Tunnell LLP, Delaware counsel to the Borrower and its Subsidiaries, in each case dated the Amendment Effective Date and addressed to the Administrative Agent and the Lenders.</w:t>
      </w:r>
    </w:p>
    <w:p>
      <w:pPr>
        <w:spacing w:after="0" w:line="78" w:lineRule="exact"/>
        <w:rPr>
          <w:rFonts w:ascii="Arial" w:cs="Arial" w:eastAsia="Arial" w:hAnsi="Arial"/>
          <w:sz w:val="20"/>
          <w:szCs w:val="20"/>
          <w:color w:val="auto"/>
        </w:rPr>
      </w:pPr>
    </w:p>
    <w:p>
      <w:pPr>
        <w:ind w:left="660" w:firstLine="645"/>
        <w:spacing w:after="0" w:line="289" w:lineRule="auto"/>
        <w:tabs>
          <w:tab w:leader="none" w:pos="2187" w:val="left"/>
        </w:tabs>
        <w:numPr>
          <w:ilvl w:val="1"/>
          <w:numId w:val="58"/>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solvency certificate,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to the Credit Agreement, executed by a Responsible Officer of the Borrower.</w:t>
      </w:r>
    </w:p>
    <w:p>
      <w:pPr>
        <w:spacing w:after="0" w:line="67" w:lineRule="exact"/>
        <w:rPr>
          <w:rFonts w:ascii="Arial" w:cs="Arial" w:eastAsia="Arial" w:hAnsi="Arial"/>
          <w:sz w:val="20"/>
          <w:szCs w:val="20"/>
          <w:color w:val="auto"/>
        </w:rPr>
      </w:pPr>
    </w:p>
    <w:p>
      <w:pPr>
        <w:jc w:val="both"/>
        <w:ind w:left="660" w:firstLine="645"/>
        <w:spacing w:after="0" w:line="270" w:lineRule="auto"/>
        <w:tabs>
          <w:tab w:leader="none" w:pos="2143" w:val="left"/>
        </w:tabs>
        <w:numPr>
          <w:ilvl w:val="1"/>
          <w:numId w:val="58"/>
        </w:numPr>
        <w:rPr>
          <w:rFonts w:ascii="Arial" w:cs="Arial" w:eastAsia="Arial" w:hAnsi="Arial"/>
          <w:sz w:val="20"/>
          <w:szCs w:val="20"/>
          <w:color w:val="auto"/>
        </w:rPr>
      </w:pPr>
      <w:r>
        <w:rPr>
          <w:rFonts w:ascii="Arial" w:cs="Arial" w:eastAsia="Arial" w:hAnsi="Arial"/>
          <w:sz w:val="20"/>
          <w:szCs w:val="20"/>
          <w:color w:val="auto"/>
        </w:rPr>
        <w:t>(i) The Lenders shall have received, at least five days prior to the Amendment Effective Date, to the extent requested sufficiently in advance thereof, all documentation and other information with respect to the Borrower required by bank regulatory authorities under applicable “know your customer” and anti-money laundering rules and regulations, including the PATRIOT Act and (ii) to the extent the Borrower qualifies as a “legal entity customer” under the Beneficial Ownership Regulation, at least five days prior to the Amendment Effective Date, any Lender that has requested, in a written notice to the Borrower, a Beneficial Ownership Certification in relation to the Borrower shall have received such Beneficial Ownership Certification (provided that, upon the execution and delivery by such Lender of its signature page to this Amendment, the condition set forth in this clause (ii) shall be deemed to be satisfied).</w:t>
      </w:r>
    </w:p>
    <w:p>
      <w:pPr>
        <w:spacing w:after="0" w:line="78"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The Administrative Agent shall notify the Borrower and the Lenders of the Amendment Effective Date, and such notice shall be conclusive and binding.</w:t>
      </w:r>
    </w:p>
    <w:p>
      <w:pPr>
        <w:spacing w:after="0" w:line="82"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Consent and Reaffirmation.</w:t>
      </w:r>
      <w:r>
        <w:rPr>
          <w:rFonts w:ascii="Arial" w:cs="Arial" w:eastAsia="Arial" w:hAnsi="Arial"/>
          <w:sz w:val="20"/>
          <w:szCs w:val="20"/>
          <w:color w:val="auto"/>
        </w:rPr>
        <w:t xml:space="preserve"> Each of the Loan Parties hereby (i) consents to this Amendment and the transactions contemplated hereby and (ii) agrees that, notwithstanding the effectiveness of this Amendment,</w:t>
      </w:r>
    </w:p>
    <w:p>
      <w:pPr>
        <w:sectPr>
          <w:pgSz w:w="11900" w:h="16838" w:orient="portrait"/>
          <w:cols w:equalWidth="0" w:num="1">
            <w:col w:w="11420"/>
          </w:cols>
          <w:pgMar w:left="240" w:top="595" w:right="239" w:bottom="1440" w:gutter="0" w:footer="0" w:header="0"/>
        </w:sectPr>
      </w:pPr>
    </w:p>
    <w:bookmarkStart w:id="104" w:name="page105"/>
    <w:bookmarkEnd w:id="104"/>
    <w:p>
      <w:pPr>
        <w:jc w:val="both"/>
        <w:spacing w:after="0" w:line="273" w:lineRule="auto"/>
        <w:rPr>
          <w:sz w:val="20"/>
          <w:szCs w:val="20"/>
          <w:color w:val="auto"/>
        </w:rPr>
      </w:pPr>
      <w:r>
        <w:rPr>
          <w:rFonts w:ascii="Arial" w:cs="Arial" w:eastAsia="Arial" w:hAnsi="Arial"/>
          <w:sz w:val="20"/>
          <w:szCs w:val="20"/>
          <w:color w:val="auto"/>
        </w:rPr>
        <w:t>its Obligations under each of the Loan Documents to which it is a party continues to be in full force and effect and the Liens granted under such Loan Documents shall secure any Loans made pursuant to the Commitment Increase. The parties hereto expressly acknowledge that it is not their intention that this Amendment or any of the other Loan Documents executed or delivered pursuant hereto constitute a novation of any of the obligations, covenants or agreements contained in the Credit Agreement or any other Loan Document, but a modification thereof pursuant to the terms contained herein.</w:t>
      </w:r>
    </w:p>
    <w:p>
      <w:pPr>
        <w:spacing w:after="0" w:line="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This Amendment shall constitute a “Loan Document” for all purposes of the Credit Agreement and the other Loan Documents.</w:t>
      </w:r>
    </w:p>
    <w:p>
      <w:pPr>
        <w:spacing w:after="0" w:line="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Counterparts.</w:t>
      </w:r>
      <w:r>
        <w:rPr>
          <w:rFonts w:ascii="Arial" w:cs="Arial" w:eastAsia="Arial" w:hAnsi="Arial"/>
          <w:sz w:val="20"/>
          <w:szCs w:val="20"/>
          <w:color w:val="auto"/>
        </w:rPr>
        <w:t xml:space="preserve">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facsimile or other electronic transmission shall be as effective as delivery of an original executed counterpart of this Amendment.</w:t>
      </w:r>
    </w:p>
    <w:p>
      <w:pPr>
        <w:spacing w:after="0" w:line="8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AMENDMENT AND THE RIGHTS AND OBLIGATIONS OF THE PARTIES UNDER THIS AMENDMENT SHALL BE GOVERNED BY, AND CONSTRUED AND INTERPRETED IN ACCORDANCE WITH, THE LAW OF THE STATE OF NEW YORK.</w:t>
      </w:r>
    </w:p>
    <w:p>
      <w:pPr>
        <w:spacing w:after="0" w:line="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Headings.</w:t>
      </w:r>
      <w:r>
        <w:rPr>
          <w:rFonts w:ascii="Arial" w:cs="Arial" w:eastAsia="Arial" w:hAnsi="Arial"/>
          <w:sz w:val="20"/>
          <w:szCs w:val="20"/>
          <w:color w:val="auto"/>
        </w:rPr>
        <w:t xml:space="preserve"> Section headings used herein are for convenience of reference only, are not part of this Amendment and shall not affect the construction of, or be taken into consideration in interpreting, this Amendment.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420"/>
          </w:cols>
          <w:pgMar w:left="240" w:top="595" w:right="239" w:bottom="1440" w:gutter="0" w:footer="0" w:header="0"/>
        </w:sectPr>
      </w:pPr>
    </w:p>
    <w:bookmarkStart w:id="105" w:name="page106"/>
    <w:bookmarkEnd w:id="105"/>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or representatives as of the day and year first above written.</w:t>
      </w:r>
    </w:p>
    <w:p>
      <w:pPr>
        <w:spacing w:after="0" w:line="200" w:lineRule="exact"/>
        <w:rPr>
          <w:sz w:val="20"/>
          <w:szCs w:val="20"/>
          <w:color w:val="auto"/>
        </w:rPr>
      </w:pPr>
    </w:p>
    <w:p>
      <w:pPr>
        <w:spacing w:after="0" w:line="369" w:lineRule="exact"/>
        <w:rPr>
          <w:sz w:val="20"/>
          <w:szCs w:val="20"/>
          <w:color w:val="auto"/>
        </w:rPr>
      </w:pPr>
    </w:p>
    <w:p>
      <w:pPr>
        <w:ind w:left="3260"/>
        <w:spacing w:after="0"/>
        <w:tabs>
          <w:tab w:leader="none" w:pos="5100" w:val="left"/>
          <w:tab w:leader="none" w:pos="7700" w:val="left"/>
        </w:tabs>
        <w:rPr>
          <w:sz w:val="20"/>
          <w:szCs w:val="20"/>
          <w:color w:val="auto"/>
        </w:rPr>
      </w:pPr>
      <w:r>
        <w:rPr>
          <w:rFonts w:ascii="Arial" w:cs="Arial" w:eastAsia="Arial" w:hAnsi="Arial"/>
          <w:sz w:val="20"/>
          <w:szCs w:val="20"/>
          <w:color w:val="auto"/>
        </w:rPr>
        <w:t>FORTRESS</w:t>
      </w:r>
      <w:r>
        <w:rPr>
          <w:sz w:val="20"/>
          <w:szCs w:val="20"/>
          <w:color w:val="auto"/>
        </w:rPr>
        <w:tab/>
      </w:r>
      <w:r>
        <w:rPr>
          <w:rFonts w:ascii="Arial" w:cs="Arial" w:eastAsia="Arial" w:hAnsi="Arial"/>
          <w:sz w:val="20"/>
          <w:szCs w:val="20"/>
          <w:color w:val="auto"/>
        </w:rPr>
        <w:t>TRANSPORTATION</w:t>
      </w:r>
      <w:r>
        <w:rPr>
          <w:sz w:val="20"/>
          <w:szCs w:val="20"/>
          <w:color w:val="auto"/>
        </w:rPr>
        <w:tab/>
      </w:r>
      <w:r>
        <w:rPr>
          <w:rFonts w:ascii="Arial" w:cs="Arial" w:eastAsia="Arial" w:hAnsi="Arial"/>
          <w:sz w:val="19"/>
          <w:szCs w:val="19"/>
          <w:color w:val="auto"/>
        </w:rPr>
        <w:t>AND</w:t>
      </w:r>
    </w:p>
    <w:p>
      <w:pPr>
        <w:spacing w:after="0" w:line="15"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INFRASTRUCTURE INVESTORS LLC,</w:t>
      </w:r>
    </w:p>
    <w:p>
      <w:pPr>
        <w:ind w:left="3260"/>
        <w:spacing w:after="0"/>
        <w:rPr>
          <w:sz w:val="20"/>
          <w:szCs w:val="20"/>
          <w:color w:val="auto"/>
        </w:rPr>
      </w:pPr>
      <w:r>
        <w:rPr>
          <w:rFonts w:ascii="Arial" w:cs="Arial" w:eastAsia="Arial" w:hAnsi="Arial"/>
          <w:sz w:val="20"/>
          <w:szCs w:val="20"/>
          <w:color w:val="auto"/>
        </w:rPr>
        <w:t>as the Borrower</w:t>
      </w:r>
    </w:p>
    <w:p>
      <w:pPr>
        <w:spacing w:after="0" w:line="38" w:lineRule="exact"/>
        <w:rPr>
          <w:sz w:val="20"/>
          <w:szCs w:val="20"/>
          <w:color w:val="auto"/>
        </w:rPr>
      </w:pPr>
    </w:p>
    <w:p>
      <w:pPr>
        <w:ind w:left="3260"/>
        <w:spacing w:after="0"/>
        <w:tabs>
          <w:tab w:leader="none" w:pos="3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27305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4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 Joseph P. Adams Jr.</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FORTRESS WORLDWIDE TRANSPORTATION AND</w:t>
      </w:r>
    </w:p>
    <w:p>
      <w:pPr>
        <w:spacing w:after="0" w:line="15"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INFRASTRUCTURE GENERAL PARTNERSHIP,</w:t>
      </w:r>
    </w:p>
    <w:p>
      <w:pPr>
        <w:ind w:left="3260"/>
        <w:spacing w:after="0"/>
        <w:rPr>
          <w:sz w:val="20"/>
          <w:szCs w:val="20"/>
          <w:color w:val="auto"/>
        </w:rPr>
      </w:pPr>
      <w:r>
        <w:rPr>
          <w:rFonts w:ascii="Arial" w:cs="Arial" w:eastAsia="Arial" w:hAnsi="Arial"/>
          <w:sz w:val="20"/>
          <w:szCs w:val="20"/>
          <w:color w:val="auto"/>
        </w:rPr>
        <w:t>as a Grantor</w:t>
      </w:r>
    </w:p>
    <w:p>
      <w:pPr>
        <w:spacing w:after="0" w:line="38" w:lineRule="exact"/>
        <w:rPr>
          <w:sz w:val="20"/>
          <w:szCs w:val="20"/>
          <w:color w:val="auto"/>
        </w:rPr>
      </w:pPr>
    </w:p>
    <w:p>
      <w:pPr>
        <w:ind w:left="3260"/>
        <w:spacing w:after="0"/>
        <w:tabs>
          <w:tab w:leader="none" w:pos="3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Demetrios Tserpelis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27305</wp:posOffset>
            </wp:positionV>
            <wp:extent cx="2693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4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 Demetrios Tserpelis</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1420"/>
          </w:cols>
          <w:pgMar w:left="240" w:top="919" w:right="239" w:bottom="1440" w:gutter="0" w:footer="0" w:header="0"/>
        </w:sectPr>
      </w:pPr>
    </w:p>
    <w:bookmarkStart w:id="106" w:name="page107"/>
    <w:bookmarkEnd w:id="106"/>
    <w:p>
      <w:pPr>
        <w:ind w:left="2060"/>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as Administrative Agent, a Lender and Issuing Bank,</w:t>
      </w:r>
    </w:p>
    <w:p>
      <w:pPr>
        <w:spacing w:after="0" w:line="61" w:lineRule="exact"/>
        <w:rPr>
          <w:sz w:val="20"/>
          <w:szCs w:val="20"/>
          <w:color w:val="auto"/>
        </w:rPr>
      </w:pPr>
    </w:p>
    <w:p>
      <w:pPr>
        <w:ind w:left="2060"/>
        <w:spacing w:after="0"/>
        <w:tabs>
          <w:tab w:leader="none" w:pos="27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Cristina Caviness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27305</wp:posOffset>
            </wp:positionV>
            <wp:extent cx="27101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Cristina Caviness</w:t>
      </w:r>
    </w:p>
    <w:p>
      <w:pPr>
        <w:spacing w:after="0" w:line="5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44" w:right="1440" w:bottom="1440" w:gutter="0" w:footer="0" w:header="0"/>
        </w:sectPr>
      </w:pPr>
    </w:p>
    <w:bookmarkStart w:id="107" w:name="page108"/>
    <w:bookmarkEnd w:id="107"/>
    <w:p>
      <w:pPr>
        <w:ind w:left="2060"/>
        <w:spacing w:after="0"/>
        <w:rPr>
          <w:sz w:val="20"/>
          <w:szCs w:val="20"/>
          <w:color w:val="auto"/>
        </w:rPr>
      </w:pPr>
      <w:r>
        <w:rPr>
          <w:rFonts w:ascii="Arial" w:cs="Arial" w:eastAsia="Arial" w:hAnsi="Arial"/>
          <w:sz w:val="20"/>
          <w:szCs w:val="20"/>
          <w:color w:val="auto"/>
        </w:rPr>
        <w:t>BARCLAYS BANK PLC,</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as a Lender and Issuing Bank</w:t>
      </w:r>
    </w:p>
    <w:p>
      <w:pPr>
        <w:spacing w:after="0" w:line="84" w:lineRule="exact"/>
        <w:rPr>
          <w:sz w:val="20"/>
          <w:szCs w:val="20"/>
          <w:color w:val="auto"/>
        </w:rPr>
      </w:pPr>
    </w:p>
    <w:p>
      <w:pPr>
        <w:ind w:left="2060"/>
        <w:spacing w:after="0"/>
        <w:tabs>
          <w:tab w:leader="none" w:pos="27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27305</wp:posOffset>
            </wp:positionV>
            <wp:extent cx="27101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Name: Craig Malloy</w:t>
      </w:r>
    </w:p>
    <w:p>
      <w:pPr>
        <w:spacing w:after="0" w:line="7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019"/>
          </w:cols>
          <w:pgMar w:left="1440" w:top="744" w:right="1440" w:bottom="1440" w:gutter="0" w:footer="0" w:header="0"/>
        </w:sectPr>
      </w:pPr>
    </w:p>
    <w:bookmarkStart w:id="108" w:name="page109"/>
    <w:bookmarkEnd w:id="108"/>
    <w:p>
      <w:pPr>
        <w:ind w:left="2060"/>
        <w:spacing w:after="0"/>
        <w:rPr>
          <w:sz w:val="20"/>
          <w:szCs w:val="20"/>
          <w:color w:val="auto"/>
        </w:rPr>
      </w:pPr>
      <w:r>
        <w:rPr>
          <w:rFonts w:ascii="Arial" w:cs="Arial" w:eastAsia="Arial" w:hAnsi="Arial"/>
          <w:sz w:val="20"/>
          <w:szCs w:val="20"/>
          <w:color w:val="auto"/>
        </w:rPr>
        <w:t>MORGAN STANLEY SENIOR FUNDING, INC.,</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as the Commitment Increase Lender and Issuing Bank</w:t>
      </w:r>
    </w:p>
    <w:p>
      <w:pPr>
        <w:spacing w:after="0" w:line="84" w:lineRule="exact"/>
        <w:rPr>
          <w:sz w:val="20"/>
          <w:szCs w:val="20"/>
          <w:color w:val="auto"/>
        </w:rPr>
      </w:pPr>
    </w:p>
    <w:p>
      <w:pPr>
        <w:ind w:left="2060"/>
        <w:spacing w:after="0"/>
        <w:tabs>
          <w:tab w:leader="none" w:pos="27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27305</wp:posOffset>
            </wp:positionV>
            <wp:extent cx="27101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7"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Name: Michael King</w:t>
      </w:r>
    </w:p>
    <w:p>
      <w:pPr>
        <w:spacing w:after="0" w:line="5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744" w:right="1440" w:bottom="1440" w:gutter="0" w:footer="0" w:header="0"/>
        </w:sectPr>
      </w:pPr>
    </w:p>
    <w:bookmarkStart w:id="109" w:name="page110"/>
    <w:bookmarkEnd w:id="109"/>
    <w:tbl>
      <w:tblPr>
        <w:tblLayout w:type="fixed"/>
        <w:tblInd w:w="10" w:type="dxa"/>
        <w:tblCellMar>
          <w:top w:w="0" w:type="dxa"/>
          <w:left w:w="0" w:type="dxa"/>
          <w:bottom w:w="0" w:type="dxa"/>
          <w:right w:w="0" w:type="dxa"/>
        </w:tblCellMar>
      </w:tblPr>
      <w:tr>
        <w:trPr>
          <w:trHeight w:val="230"/>
        </w:trPr>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9"/>
              </w:rPr>
              <w:t>EXHIBIT A</w:t>
            </w:r>
          </w:p>
        </w:tc>
      </w:tr>
      <w:tr>
        <w:trPr>
          <w:trHeight w:val="655"/>
        </w:trPr>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87"/>
              </w:rPr>
              <w:t>Schedule 1.1A</w:t>
            </w:r>
          </w:p>
        </w:tc>
        <w:tc>
          <w:tcPr>
            <w:tcW w:w="5100" w:type="dxa"/>
            <w:vAlign w:val="bottom"/>
            <w:gridSpan w:val="5"/>
          </w:tcPr>
          <w:p>
            <w:pPr>
              <w:spacing w:after="0"/>
              <w:rPr>
                <w:sz w:val="24"/>
                <w:szCs w:val="24"/>
                <w:color w:val="auto"/>
              </w:rPr>
            </w:pPr>
          </w:p>
        </w:tc>
      </w:tr>
      <w:tr>
        <w:trPr>
          <w:trHeight w:val="655"/>
        </w:trPr>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300" w:type="dxa"/>
            <w:vAlign w:val="bottom"/>
            <w:gridSpan w:val="9"/>
          </w:tcPr>
          <w:p>
            <w:pPr>
              <w:jc w:val="center"/>
              <w:ind w:right="5100"/>
              <w:spacing w:after="0"/>
              <w:rPr>
                <w:sz w:val="20"/>
                <w:szCs w:val="20"/>
                <w:color w:val="auto"/>
              </w:rPr>
            </w:pPr>
            <w:r>
              <w:rPr>
                <w:rFonts w:ascii="Arial" w:cs="Arial" w:eastAsia="Arial" w:hAnsi="Arial"/>
                <w:sz w:val="20"/>
                <w:szCs w:val="20"/>
                <w:b w:val="1"/>
                <w:bCs w:val="1"/>
                <w:color w:val="auto"/>
                <w:w w:val="89"/>
              </w:rPr>
              <w:t>Commitments</w:t>
            </w:r>
          </w:p>
        </w:tc>
      </w:tr>
      <w:tr>
        <w:trPr>
          <w:trHeight w:val="939"/>
        </w:trPr>
        <w:tc>
          <w:tcPr>
            <w:tcW w:w="2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420" w:type="dxa"/>
            <w:vAlign w:val="bottom"/>
            <w:tcBorders>
              <w:left w:val="single" w:sz="8" w:color="auto"/>
              <w:bottom w:val="single" w:sz="8" w:color="auto"/>
            </w:tcBorders>
            <w:shd w:val="clear" w:color="auto" w:fill="999999"/>
          </w:tcPr>
          <w:p>
            <w:pPr>
              <w:spacing w:after="0"/>
              <w:rPr>
                <w:sz w:val="24"/>
                <w:szCs w:val="24"/>
                <w:color w:val="auto"/>
              </w:rPr>
            </w:pPr>
          </w:p>
        </w:tc>
        <w:tc>
          <w:tcPr>
            <w:tcW w:w="1100" w:type="dxa"/>
            <w:vAlign w:val="bottom"/>
            <w:tcBorders>
              <w:bottom w:val="single" w:sz="8" w:color="auto"/>
            </w:tcBorders>
            <w:shd w:val="clear" w:color="auto" w:fill="999999"/>
          </w:tcPr>
          <w:p>
            <w:pPr>
              <w:spacing w:after="0"/>
              <w:rPr>
                <w:sz w:val="24"/>
                <w:szCs w:val="24"/>
                <w:color w:val="auto"/>
              </w:rPr>
            </w:pPr>
          </w:p>
        </w:tc>
        <w:tc>
          <w:tcPr>
            <w:tcW w:w="1280" w:type="dxa"/>
            <w:vAlign w:val="bottom"/>
            <w:tcBorders>
              <w:bottom w:val="single" w:sz="8" w:color="auto"/>
            </w:tcBorders>
            <w:shd w:val="clear" w:color="auto" w:fill="999999"/>
          </w:tcPr>
          <w:p>
            <w:pPr>
              <w:spacing w:after="0"/>
              <w:rPr>
                <w:sz w:val="24"/>
                <w:szCs w:val="24"/>
                <w:color w:val="auto"/>
              </w:rPr>
            </w:pPr>
          </w:p>
        </w:tc>
        <w:tc>
          <w:tcPr>
            <w:tcW w:w="6020" w:type="dxa"/>
            <w:vAlign w:val="bottom"/>
            <w:tcBorders>
              <w:bottom w:val="single" w:sz="8" w:color="auto"/>
              <w:right w:val="single" w:sz="8" w:color="auto"/>
            </w:tcBorders>
            <w:gridSpan w:val="8"/>
            <w:shd w:val="clear" w:color="auto" w:fill="999999"/>
          </w:tcPr>
          <w:p>
            <w:pPr>
              <w:jc w:val="center"/>
              <w:ind w:right="4721"/>
              <w:spacing w:after="0" w:line="209" w:lineRule="exact"/>
              <w:rPr>
                <w:sz w:val="20"/>
                <w:szCs w:val="20"/>
                <w:color w:val="auto"/>
              </w:rPr>
            </w:pPr>
            <w:r>
              <w:rPr>
                <w:rFonts w:ascii="Arial" w:cs="Arial" w:eastAsia="Arial" w:hAnsi="Arial"/>
                <w:sz w:val="20"/>
                <w:szCs w:val="20"/>
                <w:b w:val="1"/>
                <w:bCs w:val="1"/>
                <w:color w:val="auto"/>
                <w:w w:val="89"/>
              </w:rPr>
              <w:t>Lender</w:t>
            </w:r>
          </w:p>
        </w:tc>
        <w:tc>
          <w:tcPr>
            <w:tcW w:w="280" w:type="dxa"/>
            <w:vAlign w:val="bottom"/>
          </w:tcPr>
          <w:p>
            <w:pPr>
              <w:spacing w:after="0"/>
              <w:rPr>
                <w:sz w:val="24"/>
                <w:szCs w:val="24"/>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Morgan Stanley Senior Funding, Inc.</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color w:val="auto"/>
              </w:rPr>
              <w:t>$50,000,000.00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Barclays Bank PLC</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color w:val="auto"/>
              </w:rPr>
              <w:t>$37,500,000.00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JPMorgan Chase Bank, N.A.</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color w:val="auto"/>
              </w:rPr>
              <w:t>$37,500,000.00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b w:val="1"/>
                <w:bCs w:val="1"/>
                <w:color w:val="auto"/>
              </w:rPr>
              <w:t>Total Commitments</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rPr>
              <w:t>$125,000,000.00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574"/>
        </w:trPr>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r>
      <w:tr>
        <w:trPr>
          <w:trHeight w:val="277"/>
        </w:trPr>
        <w:tc>
          <w:tcPr>
            <w:tcW w:w="2420" w:type="dxa"/>
            <w:vAlign w:val="bottom"/>
            <w:tcBorders>
              <w:top w:val="single" w:sz="8" w:color="auto"/>
              <w:left w:val="single" w:sz="8" w:color="auto"/>
              <w:bottom w:val="single" w:sz="8" w:color="auto"/>
            </w:tcBorders>
            <w:shd w:val="clear" w:color="auto" w:fill="999999"/>
          </w:tcPr>
          <w:p>
            <w:pPr>
              <w:spacing w:after="0"/>
              <w:rPr>
                <w:sz w:val="24"/>
                <w:szCs w:val="24"/>
                <w:color w:val="auto"/>
              </w:rPr>
            </w:pPr>
          </w:p>
        </w:tc>
        <w:tc>
          <w:tcPr>
            <w:tcW w:w="2380" w:type="dxa"/>
            <w:vAlign w:val="bottom"/>
            <w:tcBorders>
              <w:top w:val="single" w:sz="8" w:color="auto"/>
              <w:bottom w:val="single" w:sz="8" w:color="auto"/>
            </w:tcBorders>
            <w:gridSpan w:val="2"/>
            <w:shd w:val="clear" w:color="auto" w:fill="999999"/>
          </w:tcPr>
          <w:p>
            <w:pPr>
              <w:spacing w:after="0" w:line="209" w:lineRule="exact"/>
              <w:rPr>
                <w:sz w:val="20"/>
                <w:szCs w:val="20"/>
                <w:color w:val="auto"/>
              </w:rPr>
            </w:pPr>
            <w:r>
              <w:rPr>
                <w:rFonts w:ascii="Arial" w:cs="Arial" w:eastAsia="Arial" w:hAnsi="Arial"/>
                <w:sz w:val="20"/>
                <w:szCs w:val="20"/>
                <w:b w:val="1"/>
                <w:bCs w:val="1"/>
                <w:color w:val="auto"/>
              </w:rPr>
              <w:t>Issuing Bank</w:t>
            </w:r>
          </w:p>
        </w:tc>
        <w:tc>
          <w:tcPr>
            <w:tcW w:w="300" w:type="dxa"/>
            <w:vAlign w:val="bottom"/>
            <w:tcBorders>
              <w:top w:val="single" w:sz="8" w:color="auto"/>
              <w:bottom w:val="single" w:sz="8" w:color="auto"/>
            </w:tcBorders>
            <w:shd w:val="clear" w:color="auto" w:fill="999999"/>
          </w:tcPr>
          <w:p>
            <w:pPr>
              <w:spacing w:after="0"/>
              <w:rPr>
                <w:sz w:val="24"/>
                <w:szCs w:val="24"/>
                <w:color w:val="auto"/>
              </w:rPr>
            </w:pPr>
          </w:p>
        </w:tc>
        <w:tc>
          <w:tcPr>
            <w:tcW w:w="600" w:type="dxa"/>
            <w:vAlign w:val="bottom"/>
            <w:tcBorders>
              <w:top w:val="single" w:sz="8" w:color="auto"/>
              <w:bottom w:val="single" w:sz="8" w:color="auto"/>
            </w:tcBorders>
            <w:shd w:val="clear" w:color="auto" w:fill="999999"/>
          </w:tcPr>
          <w:p>
            <w:pPr>
              <w:spacing w:after="0"/>
              <w:rPr>
                <w:sz w:val="24"/>
                <w:szCs w:val="24"/>
                <w:color w:val="auto"/>
              </w:rPr>
            </w:pPr>
          </w:p>
        </w:tc>
        <w:tc>
          <w:tcPr>
            <w:tcW w:w="260" w:type="dxa"/>
            <w:vAlign w:val="bottom"/>
            <w:tcBorders>
              <w:top w:val="single" w:sz="8" w:color="auto"/>
              <w:bottom w:val="single" w:sz="8" w:color="auto"/>
              <w:right w:val="single" w:sz="8" w:color="auto"/>
            </w:tcBorders>
            <w:shd w:val="clear" w:color="auto" w:fill="999999"/>
          </w:tcPr>
          <w:p>
            <w:pPr>
              <w:spacing w:after="0"/>
              <w:rPr>
                <w:sz w:val="24"/>
                <w:szCs w:val="24"/>
                <w:color w:val="auto"/>
              </w:rPr>
            </w:pPr>
          </w:p>
        </w:tc>
        <w:tc>
          <w:tcPr>
            <w:tcW w:w="40" w:type="dxa"/>
            <w:vAlign w:val="bottom"/>
            <w:tcBorders>
              <w:top w:val="single" w:sz="8" w:color="auto"/>
              <w:bottom w:val="single" w:sz="8" w:color="auto"/>
            </w:tcBorders>
            <w:shd w:val="clear" w:color="auto" w:fill="999999"/>
          </w:tcPr>
          <w:p>
            <w:pPr>
              <w:spacing w:after="0"/>
              <w:rPr>
                <w:sz w:val="24"/>
                <w:szCs w:val="24"/>
                <w:color w:val="auto"/>
              </w:rPr>
            </w:pPr>
          </w:p>
        </w:tc>
        <w:tc>
          <w:tcPr>
            <w:tcW w:w="1640" w:type="dxa"/>
            <w:vAlign w:val="bottom"/>
            <w:tcBorders>
              <w:top w:val="single" w:sz="8" w:color="auto"/>
              <w:bottom w:val="single" w:sz="8" w:color="auto"/>
            </w:tcBorders>
            <w:shd w:val="clear" w:color="auto" w:fill="999999"/>
          </w:tcPr>
          <w:p>
            <w:pPr>
              <w:spacing w:after="0"/>
              <w:rPr>
                <w:sz w:val="24"/>
                <w:szCs w:val="24"/>
                <w:color w:val="auto"/>
              </w:rPr>
            </w:pPr>
          </w:p>
        </w:tc>
        <w:tc>
          <w:tcPr>
            <w:tcW w:w="3180" w:type="dxa"/>
            <w:vAlign w:val="bottom"/>
            <w:tcBorders>
              <w:top w:val="single" w:sz="8" w:color="auto"/>
              <w:bottom w:val="single" w:sz="8" w:color="auto"/>
              <w:right w:val="single" w:sz="8" w:color="auto"/>
            </w:tcBorders>
            <w:gridSpan w:val="3"/>
            <w:shd w:val="clear" w:color="auto" w:fill="999999"/>
          </w:tcPr>
          <w:p>
            <w:pPr>
              <w:jc w:val="right"/>
              <w:ind w:right="1621"/>
              <w:spacing w:after="0" w:line="209" w:lineRule="exact"/>
              <w:rPr>
                <w:sz w:val="20"/>
                <w:szCs w:val="20"/>
                <w:color w:val="auto"/>
              </w:rPr>
            </w:pPr>
            <w:r>
              <w:rPr>
                <w:rFonts w:ascii="Arial" w:cs="Arial" w:eastAsia="Arial" w:hAnsi="Arial"/>
                <w:sz w:val="20"/>
                <w:szCs w:val="20"/>
                <w:b w:val="1"/>
                <w:bCs w:val="1"/>
                <w:color w:val="auto"/>
                <w:w w:val="93"/>
              </w:rPr>
              <w:t>LC Commitment</w:t>
            </w:r>
          </w:p>
        </w:tc>
        <w:tc>
          <w:tcPr>
            <w:tcW w:w="280" w:type="dxa"/>
            <w:vAlign w:val="bottom"/>
          </w:tcPr>
          <w:p>
            <w:pPr>
              <w:spacing w:after="0"/>
              <w:rPr>
                <w:sz w:val="24"/>
                <w:szCs w:val="24"/>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Morgan Stanley Senior Funding, Inc.</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color w:val="auto"/>
              </w:rPr>
              <w:t>$10,000,000.00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Barclays Bank PLC</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color w:val="auto"/>
              </w:rPr>
              <w:t>$7,500,000.00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color w:val="auto"/>
              </w:rPr>
              <w:t>JPMorgan Chase Bank, N.A.</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color w:val="auto"/>
              </w:rPr>
              <w:t>$7,500,000.00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54"/>
        </w:trPr>
        <w:tc>
          <w:tcPr>
            <w:tcW w:w="4800" w:type="dxa"/>
            <w:vAlign w:val="bottom"/>
            <w:tcBorders>
              <w:left w:val="single" w:sz="8" w:color="auto"/>
            </w:tcBorders>
            <w:gridSpan w:val="3"/>
          </w:tcPr>
          <w:p>
            <w:pPr>
              <w:ind w:left="40"/>
              <w:spacing w:after="0"/>
              <w:rPr>
                <w:sz w:val="20"/>
                <w:szCs w:val="20"/>
                <w:color w:val="auto"/>
              </w:rPr>
            </w:pPr>
            <w:r>
              <w:rPr>
                <w:rFonts w:ascii="Arial" w:cs="Arial" w:eastAsia="Arial" w:hAnsi="Arial"/>
                <w:sz w:val="20"/>
                <w:szCs w:val="20"/>
                <w:b w:val="1"/>
                <w:bCs w:val="1"/>
                <w:color w:val="auto"/>
              </w:rPr>
              <w:t>Total LC Commitments</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4860" w:type="dxa"/>
            <w:vAlign w:val="bottom"/>
            <w:tcBorders>
              <w:right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rPr>
              <w:t>$25,000,000.00</w:t>
            </w:r>
          </w:p>
        </w:tc>
        <w:tc>
          <w:tcPr>
            <w:tcW w:w="280" w:type="dxa"/>
            <w:vAlign w:val="bottom"/>
          </w:tcPr>
          <w:p>
            <w:pPr>
              <w:spacing w:after="0"/>
              <w:rPr>
                <w:sz w:val="22"/>
                <w:szCs w:val="22"/>
                <w:color w:val="auto"/>
              </w:rPr>
            </w:pPr>
          </w:p>
        </w:tc>
      </w:tr>
      <w:tr>
        <w:trPr>
          <w:trHeight w:val="23"/>
        </w:trPr>
        <w:tc>
          <w:tcPr>
            <w:tcW w:w="24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80" w:type="dxa"/>
            <w:vAlign w:val="bottom"/>
          </w:tcPr>
          <w:p>
            <w:pPr>
              <w:spacing w:after="0"/>
              <w:rPr>
                <w:sz w:val="2"/>
                <w:szCs w:val="2"/>
                <w:color w:val="auto"/>
              </w:rPr>
            </w:pPr>
          </w:p>
        </w:tc>
      </w:tr>
    </w:tbl>
    <w:p>
      <w:pPr>
        <w:sectPr>
          <w:pgSz w:w="11900" w:h="16838" w:orient="portrait"/>
          <w:cols w:equalWidth="0" w:num="1">
            <w:col w:w="11100"/>
          </w:cols>
          <w:pgMar w:left="560" w:top="558"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60" w:lineRule="auto"/>
        <w:tabs>
          <w:tab w:leader="none" w:pos="3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33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4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204"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38"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78"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8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62"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48"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August 3, 2018</w:t>
            </w:r>
          </w:p>
        </w:tc>
        <w:tc>
          <w:tcPr>
            <w:tcW w:w="582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Joseph P. Adams, Jr.</w:t>
            </w:r>
          </w:p>
        </w:tc>
      </w:tr>
      <w:tr>
        <w:trPr>
          <w:trHeight w:val="270"/>
        </w:trPr>
        <w:tc>
          <w:tcPr>
            <w:tcW w:w="184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8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firstLine="8"/>
        <w:spacing w:after="0" w:line="260" w:lineRule="auto"/>
        <w:tabs>
          <w:tab w:leader="none" w:pos="4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right="20" w:firstLine="8"/>
        <w:spacing w:after="0" w:line="260" w:lineRule="auto"/>
        <w:tabs>
          <w:tab w:leader="none" w:pos="33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jc w:val="both"/>
        <w:ind w:firstLine="8"/>
        <w:spacing w:after="0" w:line="253" w:lineRule="auto"/>
        <w:tabs>
          <w:tab w:leader="none" w:pos="44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038"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jc w:val="both"/>
        <w:ind w:firstLine="656"/>
        <w:spacing w:after="0" w:line="253" w:lineRule="auto"/>
        <w:tabs>
          <w:tab w:leader="none" w:pos="1204"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ind w:firstLine="656"/>
        <w:spacing w:after="0" w:line="260" w:lineRule="auto"/>
        <w:tabs>
          <w:tab w:leader="none" w:pos="1138"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jc w:val="both"/>
        <w:ind w:firstLine="656"/>
        <w:spacing w:after="0" w:line="253" w:lineRule="auto"/>
        <w:tabs>
          <w:tab w:leader="none" w:pos="1078"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firstLine="8"/>
        <w:spacing w:after="0" w:line="260" w:lineRule="auto"/>
        <w:tabs>
          <w:tab w:leader="none" w:pos="3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firstLine="656"/>
        <w:spacing w:after="0" w:line="260" w:lineRule="auto"/>
        <w:tabs>
          <w:tab w:leader="none" w:pos="1062"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right="20" w:firstLine="656"/>
        <w:spacing w:after="0" w:line="260" w:lineRule="auto"/>
        <w:tabs>
          <w:tab w:leader="none" w:pos="1048"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August 3, 2018</w:t>
            </w:r>
          </w:p>
        </w:tc>
        <w:tc>
          <w:tcPr>
            <w:tcW w:w="5700" w:type="dxa"/>
            <w:vAlign w:val="bottom"/>
          </w:tcPr>
          <w:p>
            <w:pPr>
              <w:spacing w:after="0"/>
              <w:rPr>
                <w:sz w:val="19"/>
                <w:szCs w:val="19"/>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Scott Christopher</w:t>
            </w:r>
          </w:p>
        </w:tc>
      </w:tr>
      <w:tr>
        <w:trPr>
          <w:trHeight w:val="270"/>
        </w:trPr>
        <w:tc>
          <w:tcPr>
            <w:tcW w:w="19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81"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2018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3, 2018</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2018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49"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6277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3, 2018</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lowerLetter"/>
      <w:start w:val="2"/>
    </w:lvl>
  </w:abstractNum>
  <w:abstractNum w:abstractNumId="10">
    <w:nsid w:val="3804823E"/>
    <w:multiLevelType w:val="hybridMultilevel"/>
    <w:lvl w:ilvl="0">
      <w:lvlJc w:val="left"/>
      <w:lvlText w:val="(%1)"/>
      <w:numFmt w:val="decimal"/>
      <w:start w:val="1"/>
    </w:lvl>
    <w:lvl w:ilvl="1">
      <w:lvlJc w:val="left"/>
      <w:lvlText w:val="(%2)"/>
      <w:numFmt w:val="lowerRoman"/>
      <w:start w:val="3"/>
    </w:lvl>
  </w:abstractNum>
  <w:abstractNum w:abstractNumId="11">
    <w:nsid w:val="77465F01"/>
    <w:multiLevelType w:val="hybridMultilevel"/>
    <w:lvl w:ilvl="0">
      <w:lvlJc w:val="left"/>
      <w:lvlText w:val="(%1)"/>
      <w:numFmt w:val="decimal"/>
      <w:start w:val="3"/>
    </w:lvl>
  </w:abstractNum>
  <w:abstractNum w:abstractNumId="12">
    <w:nsid w:val="7724C67E"/>
    <w:multiLevelType w:val="hybridMultilevel"/>
    <w:lvl w:ilvl="0">
      <w:lvlJc w:val="left"/>
      <w:lvlText w:val="(%1)"/>
      <w:numFmt w:val="decimal"/>
      <w:start w:val="4"/>
    </w:lvl>
  </w:abstractNum>
  <w:abstractNum w:abstractNumId="13">
    <w:nsid w:val="5C482A97"/>
    <w:multiLevelType w:val="hybridMultilevel"/>
    <w:lvl w:ilvl="0">
      <w:lvlJc w:val="left"/>
      <w:lvlText w:val="(%1)"/>
      <w:numFmt w:val="lowerRoman"/>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2"/>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2"/>
    </w:lvl>
  </w:abstractNum>
  <w:abstractNum w:abstractNumId="19">
    <w:nsid w:val="153EA438"/>
    <w:multiLevelType w:val="hybridMultilevel"/>
    <w:lvl w:ilvl="0">
      <w:lvlJc w:val="left"/>
      <w:lvlText w:val="(%1)"/>
      <w:numFmt w:val="decimal"/>
      <w:start w:val="1"/>
    </w:lvl>
    <w:lvl w:ilvl="1">
      <w:lvlJc w:val="left"/>
      <w:lvlText w:val="(%2)"/>
      <w:numFmt w:val="lowerRoman"/>
      <w:start w:val="3"/>
    </w:lvl>
  </w:abstractNum>
  <w:abstractNum w:abstractNumId="20">
    <w:nsid w:val="3855585C"/>
    <w:multiLevelType w:val="hybridMultilevel"/>
    <w:lvl w:ilvl="0">
      <w:lvlJc w:val="left"/>
      <w:lvlText w:val="(%1)"/>
      <w:numFmt w:val="decimal"/>
      <w:start w:val="3"/>
    </w:lvl>
    <w:lvl w:ilvl="1">
      <w:lvlJc w:val="left"/>
      <w:lvlText w:val="(%2)"/>
      <w:numFmt w:val="lowerRoman"/>
      <w:start w:val="3"/>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lowerRoman"/>
      <w:start w:val="1"/>
    </w:lvl>
  </w:abstractNum>
  <w:abstractNum w:abstractNumId="25">
    <w:nsid w:val="725A06FB"/>
    <w:multiLevelType w:val="hybridMultilevel"/>
    <w:lvl w:ilvl="0">
      <w:lvlJc w:val="left"/>
      <w:lvlText w:val="(%1)"/>
      <w:numFmt w:val="lowerRoman"/>
      <w:start w:val="3"/>
    </w:lvl>
    <w:lvl w:ilvl="1">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lowerRoman"/>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upperLetter"/>
      <w:start w:val="35"/>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lowerLetter"/>
      <w:start w:val="2"/>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lvl w:ilvl="1">
      <w:lvlJc w:val="left"/>
      <w:lvlText w:val="(%2)"/>
      <w:numFmt w:val="lowerRoman"/>
      <w:start w:val="1"/>
    </w:lvl>
  </w:abstractNum>
  <w:abstractNum w:abstractNumId="46">
    <w:nsid w:val="4F4EF005"/>
    <w:multiLevelType w:val="hybridMultilevel"/>
    <w:lvl w:ilvl="0">
      <w:lvlJc w:val="left"/>
      <w:lvlText w:val="(%1)"/>
      <w:numFmt w:val="lowerLetter"/>
      <w:start w:val="2"/>
    </w:lvl>
    <w:lvl w:ilvl="1">
      <w:lvlJc w:val="left"/>
      <w:lvlText w:val="(%2)"/>
      <w:numFmt w:val="lowerRoman"/>
      <w:start w:val="7"/>
    </w:lvl>
  </w:abstractNum>
  <w:abstractNum w:abstractNumId="47">
    <w:nsid w:val="23F9C13C"/>
    <w:multiLevelType w:val="hybridMultilevel"/>
    <w:lvl w:ilvl="0">
      <w:lvlJc w:val="left"/>
      <w:lvlText w:val="(%1)"/>
      <w:numFmt w:val="lowerLetter"/>
      <w:start w:val="2"/>
    </w:lvl>
  </w:abstractNum>
  <w:abstractNum w:abstractNumId="48">
    <w:nsid w:val="649BB77C"/>
    <w:multiLevelType w:val="hybridMultilevel"/>
    <w:lvl w:ilvl="0">
      <w:lvlJc w:val="left"/>
      <w:lvlText w:val="(%1)"/>
      <w:numFmt w:val="lowerLetter"/>
      <w:start w:val="3"/>
    </w:lvl>
  </w:abstractNum>
  <w:abstractNum w:abstractNumId="49">
    <w:nsid w:val="275AC794"/>
    <w:multiLevelType w:val="hybridMultilevel"/>
    <w:lvl w:ilvl="0">
      <w:lvlJc w:val="left"/>
      <w:lvlText w:val="(%1)"/>
      <w:numFmt w:val="lowerLetter"/>
      <w:start w:val="4"/>
    </w:lvl>
  </w:abstractNum>
  <w:abstractNum w:abstractNumId="50">
    <w:nsid w:val="39386575"/>
    <w:multiLevelType w:val="hybridMultilevel"/>
    <w:lvl w:ilvl="0">
      <w:lvlJc w:val="left"/>
      <w:lvlText w:val="(%1)"/>
      <w:numFmt w:val="lowerLetter"/>
      <w:start w:val="5"/>
    </w:lvl>
  </w:abstractNum>
  <w:abstractNum w:abstractNumId="51">
    <w:nsid w:val="1CF10FD8"/>
    <w:multiLevelType w:val="hybridMultilevel"/>
    <w:lvl w:ilvl="0">
      <w:lvlJc w:val="left"/>
      <w:lvlText w:val="(%1)"/>
      <w:numFmt w:val="lowerRoman"/>
      <w:start w:val="1"/>
    </w:lvl>
  </w:abstractNum>
  <w:abstractNum w:abstractNumId="52">
    <w:nsid w:val="180115BE"/>
    <w:multiLevelType w:val="hybridMultilevel"/>
    <w:lvl w:ilvl="0">
      <w:lvlJc w:val="left"/>
      <w:lvlText w:val="(%1)"/>
      <w:numFmt w:val="lowerLetter"/>
      <w:start w:val="25"/>
    </w:lvl>
  </w:abstractNum>
  <w:abstractNum w:abstractNumId="53">
    <w:nsid w:val="235BA861"/>
    <w:multiLevelType w:val="hybridMultilevel"/>
    <w:lvl w:ilvl="0">
      <w:lvlJc w:val="left"/>
      <w:lvlText w:val="(%1)"/>
      <w:numFmt w:val="lowerLetter"/>
      <w:start w:val="2"/>
    </w:lvl>
    <w:lvl w:ilvl="1">
      <w:lvlJc w:val="left"/>
      <w:lvlText w:val="(%2)"/>
      <w:numFmt w:val="lowerLetter"/>
      <w:start w:val="10"/>
    </w:lvl>
  </w:abstractNum>
  <w:abstractNum w:abstractNumId="54">
    <w:nsid w:val="47398C89"/>
    <w:multiLevelType w:val="hybridMultilevel"/>
    <w:lvl w:ilvl="0">
      <w:lvlJc w:val="left"/>
      <w:lvlText w:val="(%1)"/>
      <w:numFmt w:val="lowerLetter"/>
      <w:start w:val="12"/>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amp;"/>
      <w:numFmt w:val="bullet"/>
      <w:start w:val="1"/>
    </w:lvl>
    <w:lvl w:ilvl="1">
      <w:lvlJc w:val="left"/>
      <w:lvlText w:val="(%2)"/>
      <w:numFmt w:val="lowerLetter"/>
      <w:start w:val="1"/>
    </w:lvl>
  </w:abstractNum>
  <w:abstractNum w:abstractNumId="57">
    <w:nsid w:val="741226BB"/>
    <w:multiLevelType w:val="hybridMultilevel"/>
    <w:lvl w:ilvl="0">
      <w:lvlJc w:val="left"/>
      <w:lvlText w:val="&amp;"/>
      <w:numFmt w:val="bullet"/>
      <w:start w:val="1"/>
    </w:lvl>
    <w:lvl w:ilvl="1">
      <w:lvlJc w:val="left"/>
      <w:lvlText w:val="(%2)"/>
      <w:numFmt w:val="lowerLetter"/>
      <w:start w:val="8"/>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46"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pn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27" Type="http://schemas.openxmlformats.org/officeDocument/2006/relationships/hyperlink" Target="http://www.sec.gov/Archives/edgar/data/1590364/000119312515163776/d616610dex31.htm" TargetMode="External"/><Relationship Id="rId28" Type="http://schemas.openxmlformats.org/officeDocument/2006/relationships/hyperlink" Target="http://www.sec.gov/Archives/edgar/data/1590364/000119312515197222/d931434dex31.htm" TargetMode="External"/><Relationship Id="rId29" Type="http://schemas.openxmlformats.org/officeDocument/2006/relationships/hyperlink" Target="http://www.sec.gov/Archives/edgar/data/1590364/000159036416000014/ftai12312015exhibit33.htm" TargetMode="External"/><Relationship Id="rId30" Type="http://schemas.openxmlformats.org/officeDocument/2006/relationships/hyperlink" Target="http://www.sec.gov/Archives/edgar/data/1590364/000095015717000381/ex4-1.htm" TargetMode="External"/><Relationship Id="rId31" Type="http://schemas.openxmlformats.org/officeDocument/2006/relationships/hyperlink" Target="http://www.sec.gov/Archives/edgar/data/1590364/000095015717000381/0000950157-17-000381-index.htm" TargetMode="External"/><Relationship Id="rId32" Type="http://schemas.openxmlformats.org/officeDocument/2006/relationships/hyperlink" Target="http://www.sec.gov/Archives/edgar/data/1590364/000159036418000003/ftai12312017exhibit43.htm" TargetMode="External"/><Relationship Id="rId33" Type="http://schemas.openxmlformats.org/officeDocument/2006/relationships/hyperlink" Target="http://www.sec.gov/Archives/edgar/data/1590364/000095015717001232/ex4-1.htm" TargetMode="External"/><Relationship Id="rId34" Type="http://schemas.openxmlformats.org/officeDocument/2006/relationships/hyperlink" Target="http://www.sec.gov/Archives/edgar/data/1590364/000114036117046889/s001999x5_ex4-1.htm" TargetMode="External"/><Relationship Id="rId35" Type="http://schemas.openxmlformats.org/officeDocument/2006/relationships/hyperlink" Target="http://www.sec.gov/Archives/edgar/data/1590364/000114036118026546/ex4_1.htm" TargetMode="External"/><Relationship Id="rId36" Type="http://schemas.openxmlformats.org/officeDocument/2006/relationships/hyperlink" Target="http://www.sec.gov/Archives/edgar/data/1590364/000119312515197222/d931434dex101.htm" TargetMode="External"/><Relationship Id="rId37" Type="http://schemas.openxmlformats.org/officeDocument/2006/relationships/hyperlink" Target="http://www.sec.gov/Archives/edgar/data/1590364/000119312515197222/d931434dex102.htm" TargetMode="External"/><Relationship Id="rId38" Type="http://schemas.openxmlformats.org/officeDocument/2006/relationships/hyperlink" Target="http://www.sec.gov/Archives/edgar/data/1590364/000119312515163776/d616610dex103.htm" TargetMode="External"/><Relationship Id="rId39" Type="http://schemas.openxmlformats.org/officeDocument/2006/relationships/hyperlink" Target="http://www.sec.gov/Archives/edgar/data/1590364/000119312515197222/d931434dex103.htm" TargetMode="External"/><Relationship Id="rId40" Type="http://schemas.openxmlformats.org/officeDocument/2006/relationships/hyperlink" Target="http://www.sec.gov/Archives/edgar/data/1590364/000119312515163776/d616610dex105.htm" TargetMode="External"/><Relationship Id="rId41" Type="http://schemas.openxmlformats.org/officeDocument/2006/relationships/hyperlink" Target="http://www.sec.gov/Archives/edgar/data/1590364/000119312515163776/d616610dex106.htm" TargetMode="External"/><Relationship Id="rId42" Type="http://schemas.openxmlformats.org/officeDocument/2006/relationships/hyperlink" Target="http://www.sec.gov/Archives/edgar/data/1590364/000159036416000014/ftai12312015exhibit107.htm" TargetMode="External"/><Relationship Id="rId43" Type="http://schemas.openxmlformats.org/officeDocument/2006/relationships/hyperlink" Target="http://www.sec.gov/Archives/edgar/data/1590364/000159036416000014/ftai12312015exhibit108.htm" TargetMode="External"/><Relationship Id="rId44" Type="http://schemas.openxmlformats.org/officeDocument/2006/relationships/hyperlink" Target="http://www.sec.gov/Archives/edgar/data/1590364/000159036416000014/ftai12312015exhibit109.htm" TargetMode="External"/><Relationship Id="rId45" Type="http://schemas.openxmlformats.org/officeDocument/2006/relationships/hyperlink" Target="http://www.sec.gov/Archives/edgar/data/1590364/000159036416000014/ftai12312015exhibit1010.htm" TargetMode="External"/><Relationship Id="rId47" Type="http://schemas.openxmlformats.org/officeDocument/2006/relationships/hyperlink" Target="http://www.sec.gov/Archives/edgar/data/1590364/000159036416000014/0001590364-16-000014-index.htm" TargetMode="External"/><Relationship Id="rId48" Type="http://schemas.openxmlformats.org/officeDocument/2006/relationships/hyperlink" Target="http://www.sec.gov/Archives/edgar/data/1590364/000159036416000014/ftai12312015exhibit1012.htm" TargetMode="External"/><Relationship Id="rId49" Type="http://schemas.openxmlformats.org/officeDocument/2006/relationships/hyperlink" Target="http://www.sec.gov/Archives/edgar/data/1590364/000156761917000090/s001516x1_ex10-1.htm" TargetMode="External"/><Relationship Id="rId50" Type="http://schemas.openxmlformats.org/officeDocument/2006/relationships/hyperlink" Target="http://www.sec.gov/Archives/edgar/data/1590364/000156761917001299/s001761x1_ex10-1.htm" TargetMode="External"/><Relationship Id="rId51" Type="http://schemas.openxmlformats.org/officeDocument/2006/relationships/hyperlink" Target="http://www.sec.gov/Archives/edgar/data/1590364/000114036118002262/s002014x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2019-12-28T20:26:19Z</dcterms:created>
  <dcterms:modified xsi:type="dcterms:W3CDTF">2019-12-28T20:26:19Z</dcterms:modified>
</cp:coreProperties>
</file>