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5" w:lineRule="exact"/>
        <w:rPr>
          <w:sz w:val="24"/>
          <w:szCs w:val="24"/>
          <w:color w:val="auto"/>
        </w:rPr>
      </w:pPr>
    </w:p>
    <w:p>
      <w:pPr>
        <w:ind w:left="320"/>
        <w:spacing w:after="0"/>
        <w:tabs>
          <w:tab w:leader="none" w:pos="21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ANNUAL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66" w:lineRule="exact"/>
        <w:rPr>
          <w:sz w:val="24"/>
          <w:szCs w:val="24"/>
          <w:color w:val="auto"/>
        </w:rPr>
      </w:pPr>
    </w:p>
    <w:p>
      <w:pPr>
        <w:ind w:left="320"/>
        <w:spacing w:after="0"/>
        <w:tabs>
          <w:tab w:leader="none" w:pos="19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TRANSITION REPORT PURSUANT TO SECTION 13 OR 15(d) OF THE SECURITIES EXCHANGE ACT OF 1934</w:t>
      </w:r>
    </w:p>
    <w:p>
      <w:pPr>
        <w:spacing w:after="0" w:line="222"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For the transition period from ____ to ____</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83185</wp:posOffset>
            </wp:positionV>
            <wp:extent cx="138049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FORTRESS TRANSPORTATION AND INFRASTRUCTURE INVESTORS LLC</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140" w:type="dxa"/>
            <w:vAlign w:val="bottom"/>
            <w:gridSpan w:val="4"/>
          </w:tcPr>
          <w:p>
            <w:pPr>
              <w:ind w:left="3860"/>
              <w:spacing w:after="0"/>
              <w:rPr>
                <w:sz w:val="20"/>
                <w:szCs w:val="20"/>
                <w:color w:val="auto"/>
              </w:rPr>
            </w:pPr>
            <w:r>
              <w:rPr>
                <w:rFonts w:ascii="Arial" w:cs="Arial" w:eastAsia="Arial" w:hAnsi="Arial"/>
                <w:sz w:val="16"/>
                <w:szCs w:val="16"/>
                <w:color w:val="auto"/>
              </w:rPr>
              <w:t>(Exact name of registrant as specified in its charter)</w:t>
            </w:r>
          </w:p>
        </w:tc>
        <w:tc>
          <w:tcPr>
            <w:tcW w:w="3280" w:type="dxa"/>
            <w:vAlign w:val="bottom"/>
          </w:tcPr>
          <w:p>
            <w:pPr>
              <w:spacing w:after="0"/>
              <w:rPr>
                <w:sz w:val="16"/>
                <w:szCs w:val="16"/>
                <w:color w:val="auto"/>
              </w:rPr>
            </w:pPr>
          </w:p>
        </w:tc>
      </w:tr>
      <w:tr>
        <w:trPr>
          <w:trHeight w:val="364"/>
        </w:trPr>
        <w:tc>
          <w:tcPr>
            <w:tcW w:w="5580" w:type="dxa"/>
            <w:vAlign w:val="bottom"/>
            <w:tcBorders>
              <w:bottom w:val="single" w:sz="8" w:color="auto"/>
            </w:tcBorders>
          </w:tcPr>
          <w:p>
            <w:pPr>
              <w:jc w:val="center"/>
              <w:ind w:left="2299"/>
              <w:spacing w:after="0"/>
              <w:rPr>
                <w:sz w:val="20"/>
                <w:szCs w:val="20"/>
                <w:color w:val="auto"/>
              </w:rPr>
            </w:pPr>
            <w:r>
              <w:rPr>
                <w:rFonts w:ascii="Arial" w:cs="Arial" w:eastAsia="Arial" w:hAnsi="Arial"/>
                <w:sz w:val="16"/>
                <w:szCs w:val="16"/>
                <w:b w:val="1"/>
                <w:bCs w:val="1"/>
                <w:color w:val="auto"/>
              </w:rPr>
              <w:t>Delaware</w:t>
            </w:r>
          </w:p>
        </w:tc>
        <w:tc>
          <w:tcPr>
            <w:tcW w:w="1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32-0434238</w:t>
            </w:r>
          </w:p>
        </w:tc>
      </w:tr>
      <w:tr>
        <w:trPr>
          <w:trHeight w:val="224"/>
        </w:trPr>
        <w:tc>
          <w:tcPr>
            <w:tcW w:w="6880" w:type="dxa"/>
            <w:vAlign w:val="bottom"/>
            <w:gridSpan w:val="2"/>
          </w:tcPr>
          <w:p>
            <w:pPr>
              <w:jc w:val="center"/>
              <w:ind w:left="101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18"/>
        </w:trPr>
        <w:tc>
          <w:tcPr>
            <w:tcW w:w="5580" w:type="dxa"/>
            <w:vAlign w:val="bottom"/>
          </w:tcPr>
          <w:p>
            <w:pPr>
              <w:ind w:left="1220"/>
              <w:spacing w:after="0"/>
              <w:rPr>
                <w:sz w:val="20"/>
                <w:szCs w:val="20"/>
                <w:color w:val="auto"/>
              </w:rPr>
            </w:pPr>
            <w:r>
              <w:rPr>
                <w:rFonts w:ascii="Arial" w:cs="Arial" w:eastAsia="Arial" w:hAnsi="Arial"/>
                <w:sz w:val="16"/>
                <w:szCs w:val="16"/>
                <w:b w:val="1"/>
                <w:bCs w:val="1"/>
                <w:color w:val="auto"/>
              </w:rPr>
              <w:t>1345 Avenue of the Americas, 45th Floor</w:t>
            </w: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New York</w:t>
            </w: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80" w:type="dxa"/>
            <w:vAlign w:val="bottom"/>
          </w:tcPr>
          <w:p>
            <w:pPr>
              <w:jc w:val="right"/>
              <w:ind w:right="1339"/>
              <w:spacing w:after="0"/>
              <w:rPr>
                <w:sz w:val="20"/>
                <w:szCs w:val="20"/>
                <w:color w:val="auto"/>
              </w:rPr>
            </w:pPr>
            <w:r>
              <w:rPr>
                <w:rFonts w:ascii="Arial" w:cs="Arial" w:eastAsia="Arial" w:hAnsi="Arial"/>
                <w:sz w:val="16"/>
                <w:szCs w:val="16"/>
                <w:b w:val="1"/>
                <w:bCs w:val="1"/>
                <w:color w:val="auto"/>
              </w:rPr>
              <w:t>10105</w:t>
            </w:r>
          </w:p>
        </w:tc>
      </w:tr>
      <w:tr>
        <w:trPr>
          <w:trHeight w:val="224"/>
        </w:trPr>
        <w:tc>
          <w:tcPr>
            <w:tcW w:w="5580" w:type="dxa"/>
            <w:vAlign w:val="bottom"/>
            <w:tcBorders>
              <w:top w:val="single" w:sz="8" w:color="auto"/>
            </w:tcBorders>
          </w:tcPr>
          <w:p>
            <w:pPr>
              <w:jc w:val="center"/>
              <w:ind w:left="2319"/>
              <w:spacing w:after="0"/>
              <w:rPr>
                <w:sz w:val="20"/>
                <w:szCs w:val="20"/>
                <w:color w:val="auto"/>
              </w:rPr>
            </w:pPr>
            <w:r>
              <w:rPr>
                <w:rFonts w:ascii="Arial" w:cs="Arial" w:eastAsia="Arial" w:hAnsi="Arial"/>
                <w:sz w:val="16"/>
                <w:szCs w:val="16"/>
                <w:color w:val="auto"/>
              </w:rPr>
              <w:t>(Address of principal executive offices)</w:t>
            </w:r>
          </w:p>
        </w:tc>
        <w:tc>
          <w:tcPr>
            <w:tcW w:w="1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w:t>
            </w:r>
          </w:p>
        </w:tc>
        <w:tc>
          <w:tcPr>
            <w:tcW w:w="100" w:type="dxa"/>
            <w:vAlign w:val="bottom"/>
          </w:tcPr>
          <w:p>
            <w:pPr>
              <w:spacing w:after="0"/>
              <w:rPr>
                <w:sz w:val="18"/>
                <w:szCs w:val="18"/>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24"/>
        </w:trPr>
        <w:tc>
          <w:tcPr>
            <w:tcW w:w="5140" w:type="dxa"/>
            <w:vAlign w:val="bottom"/>
            <w:gridSpan w:val="2"/>
          </w:tcPr>
          <w:p>
            <w:pPr>
              <w:jc w:val="center"/>
              <w:ind w:right="80"/>
              <w:spacing w:after="0"/>
              <w:rPr>
                <w:sz w:val="20"/>
                <w:szCs w:val="20"/>
                <w:color w:val="auto"/>
              </w:rPr>
            </w:pPr>
            <w:r>
              <w:rPr>
                <w:rFonts w:ascii="Arial" w:cs="Arial" w:eastAsia="Arial" w:hAnsi="Arial"/>
                <w:sz w:val="16"/>
                <w:szCs w:val="16"/>
                <w:color w:val="auto"/>
              </w:rPr>
              <w:t>Class A common shares, $0.01 par value per share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4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38"/>
        </w:trPr>
        <w:tc>
          <w:tcPr>
            <w:tcW w:w="514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195"/>
        </w:trPr>
        <w:tc>
          <w:tcPr>
            <w:tcW w:w="5140" w:type="dxa"/>
            <w:vAlign w:val="bottom"/>
            <w:gridSpan w:val="2"/>
          </w:tcPr>
          <w:p>
            <w:pPr>
              <w:jc w:val="center"/>
              <w:ind w:right="10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4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38"/>
        </w:trPr>
        <w:tc>
          <w:tcPr>
            <w:tcW w:w="514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195"/>
        </w:trPr>
        <w:tc>
          <w:tcPr>
            <w:tcW w:w="5140" w:type="dxa"/>
            <w:vAlign w:val="bottom"/>
            <w:gridSpan w:val="2"/>
          </w:tcPr>
          <w:p>
            <w:pPr>
              <w:jc w:val="center"/>
              <w:ind w:right="10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B</w:t>
            </w:r>
          </w:p>
        </w:tc>
        <w:tc>
          <w:tcPr>
            <w:tcW w:w="4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320" w:type="dxa"/>
        <w:tblCellMar>
          <w:top w:w="0" w:type="dxa"/>
          <w:left w:w="0" w:type="dxa"/>
          <w:bottom w:w="0" w:type="dxa"/>
          <w:right w:w="0" w:type="dxa"/>
        </w:tblCellMar>
      </w:tblPr>
      <w:tr>
        <w:trPr>
          <w:trHeight w:val="243"/>
        </w:trPr>
        <w:tc>
          <w:tcPr>
            <w:tcW w:w="2240" w:type="dxa"/>
            <w:vAlign w:val="bottom"/>
          </w:tcPr>
          <w:p>
            <w:pPr>
              <w:jc w:val="center"/>
              <w:ind w:right="559"/>
              <w:spacing w:after="0"/>
              <w:rPr>
                <w:sz w:val="20"/>
                <w:szCs w:val="20"/>
                <w:color w:val="auto"/>
              </w:rPr>
            </w:pPr>
            <w:r>
              <w:rPr>
                <w:rFonts w:ascii="Arial" w:cs="Arial" w:eastAsia="Arial" w:hAnsi="Arial"/>
                <w:sz w:val="16"/>
                <w:szCs w:val="16"/>
                <w:color w:val="auto"/>
              </w:rPr>
              <w:t>Large accelerated filer</w:t>
            </w:r>
          </w:p>
        </w:tc>
        <w:tc>
          <w:tcPr>
            <w:tcW w:w="132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240" w:type="dxa"/>
            <w:vAlign w:val="bottom"/>
          </w:tcPr>
          <w:p>
            <w:pPr>
              <w:jc w:val="center"/>
              <w:ind w:right="579"/>
              <w:spacing w:after="0"/>
              <w:rPr>
                <w:sz w:val="20"/>
                <w:szCs w:val="20"/>
                <w:color w:val="auto"/>
              </w:rPr>
            </w:pPr>
            <w:r>
              <w:rPr>
                <w:rFonts w:ascii="Arial" w:cs="Arial" w:eastAsia="Arial" w:hAnsi="Arial"/>
                <w:sz w:val="16"/>
                <w:szCs w:val="16"/>
                <w:color w:val="auto"/>
              </w:rPr>
              <w:t>Non-accelerated filer</w:t>
            </w:r>
          </w:p>
        </w:tc>
        <w:tc>
          <w:tcPr>
            <w:tcW w:w="132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ectPr>
          <w:pgSz w:w="11900" w:h="16838" w:orient="portrait"/>
          <w:cols w:equalWidth="0" w:num="1">
            <w:col w:w="11420"/>
          </w:cols>
          <w:pgMar w:left="240" w:top="92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2019 was approximately $1.3 billion.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There were 84,992,977 common shares representing limited liability company interests outstanding at February 27, 2020.</w:t>
      </w:r>
    </w:p>
    <w:p>
      <w:pPr>
        <w:spacing w:after="0" w:line="93"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Portions of the registrant's definitive proxy statement for the registrant's 2020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Item 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1B.</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4.</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Item 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7A.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Item 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9A.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9B.</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Item 10.</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14.</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Item 15.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860" w:type="dxa"/>
            <w:vAlign w:val="bottom"/>
          </w:tcPr>
          <w:p>
            <w:pPr>
              <w:ind w:left="1940"/>
              <w:spacing w:after="0"/>
              <w:rPr>
                <w:sz w:val="20"/>
                <w:szCs w:val="20"/>
                <w:color w:val="auto"/>
              </w:rPr>
            </w:pPr>
            <w:r>
              <w:rPr>
                <w:rFonts w:ascii="Arial" w:cs="Arial" w:eastAsia="Arial" w:hAnsi="Arial"/>
                <w:sz w:val="16"/>
                <w:szCs w:val="16"/>
                <w:b w:val="1"/>
                <w:bCs w:val="1"/>
                <w:color w:val="00497F"/>
              </w:rPr>
              <w:t>FORTRESS TRANSPORTATION AND INFRASTRUCTURE INVESTORS LLC</w:t>
            </w:r>
          </w:p>
        </w:tc>
        <w:tc>
          <w:tcPr>
            <w:tcW w:w="1460" w:type="dxa"/>
            <w:vAlign w:val="bottom"/>
          </w:tcPr>
          <w:p>
            <w:pPr>
              <w:spacing w:after="0"/>
              <w:rPr>
                <w:sz w:val="16"/>
                <w:szCs w:val="16"/>
                <w:color w:val="auto"/>
              </w:rPr>
            </w:pPr>
          </w:p>
        </w:tc>
      </w:tr>
      <w:tr>
        <w:trPr>
          <w:trHeight w:val="215"/>
        </w:trPr>
        <w:tc>
          <w:tcPr>
            <w:tcW w:w="8860" w:type="dxa"/>
            <w:vAlign w:val="bottom"/>
          </w:tcPr>
          <w:p>
            <w:pPr>
              <w:ind w:left="3960"/>
              <w:spacing w:after="0"/>
              <w:rPr>
                <w:sz w:val="20"/>
                <w:szCs w:val="20"/>
                <w:color w:val="auto"/>
              </w:rPr>
            </w:pPr>
            <w:r>
              <w:rPr>
                <w:rFonts w:ascii="Arial" w:cs="Arial" w:eastAsia="Arial" w:hAnsi="Arial"/>
                <w:sz w:val="16"/>
                <w:szCs w:val="16"/>
                <w:b w:val="1"/>
                <w:bCs w:val="1"/>
                <w:color w:val="00497F"/>
              </w:rPr>
              <w:t>INDEX TO FORM 10-K</w:t>
            </w:r>
          </w:p>
        </w:tc>
        <w:tc>
          <w:tcPr>
            <w:tcW w:w="1460" w:type="dxa"/>
            <w:vAlign w:val="bottom"/>
          </w:tcPr>
          <w:p>
            <w:pPr>
              <w:spacing w:after="0"/>
              <w:rPr>
                <w:sz w:val="18"/>
                <w:szCs w:val="18"/>
                <w:color w:val="auto"/>
              </w:rPr>
            </w:pPr>
          </w:p>
        </w:tc>
      </w:tr>
      <w:tr>
        <w:trPr>
          <w:trHeight w:val="318"/>
        </w:trPr>
        <w:tc>
          <w:tcPr>
            <w:tcW w:w="8860" w:type="dxa"/>
            <w:vAlign w:val="bottom"/>
          </w:tcPr>
          <w:p>
            <w:pPr>
              <w:jc w:val="center"/>
              <w:ind w:left="968"/>
              <w:spacing w:after="0"/>
              <w:rPr>
                <w:sz w:val="20"/>
                <w:szCs w:val="20"/>
                <w:color w:val="auto"/>
              </w:rPr>
            </w:pPr>
            <w:r>
              <w:rPr>
                <w:rFonts w:ascii="Arial" w:cs="Arial" w:eastAsia="Arial" w:hAnsi="Arial"/>
                <w:sz w:val="14"/>
                <w:szCs w:val="14"/>
                <w:b w:val="1"/>
                <w:bCs w:val="1"/>
                <w:color w:val="00497F"/>
              </w:rPr>
              <w:t>PART I</w:t>
            </w:r>
          </w:p>
        </w:tc>
        <w:tc>
          <w:tcPr>
            <w:tcW w:w="1460" w:type="dxa"/>
            <w:vAlign w:val="bottom"/>
          </w:tcPr>
          <w:p>
            <w:pPr>
              <w:spacing w:after="0"/>
              <w:rPr>
                <w:sz w:val="24"/>
                <w:szCs w:val="24"/>
                <w:color w:val="auto"/>
              </w:rPr>
            </w:pPr>
          </w:p>
        </w:tc>
      </w:tr>
      <w:tr>
        <w:trPr>
          <w:trHeight w:val="203"/>
        </w:trPr>
        <w:tc>
          <w:tcPr>
            <w:tcW w:w="8860" w:type="dxa"/>
            <w:vAlign w:val="bottom"/>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Forward-Looking Statements</w:t>
              </w:r>
            </w:hyperlink>
          </w:p>
        </w:tc>
        <w:tc>
          <w:tcPr>
            <w:tcW w:w="1460" w:type="dxa"/>
            <w:vAlign w:val="bottom"/>
          </w:tcPr>
          <w:p>
            <w:pPr>
              <w:jc w:val="center"/>
              <w:ind w:left="1148"/>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216"/>
        </w:trPr>
        <w:tc>
          <w:tcPr>
            <w:tcW w:w="8860" w:type="dxa"/>
            <w:vAlign w:val="bottom"/>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Business</w:t>
              </w:r>
            </w:hyperlink>
          </w:p>
        </w:tc>
        <w:tc>
          <w:tcPr>
            <w:tcW w:w="1460" w:type="dxa"/>
            <w:vAlign w:val="bottom"/>
          </w:tcPr>
          <w:p>
            <w:pPr>
              <w:jc w:val="center"/>
              <w:ind w:left="114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16"/>
        </w:trPr>
        <w:tc>
          <w:tcPr>
            <w:tcW w:w="886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Risk Factors</w:t>
              </w:r>
            </w:hyperlink>
          </w:p>
        </w:tc>
        <w:tc>
          <w:tcPr>
            <w:tcW w:w="1460" w:type="dxa"/>
            <w:vAlign w:val="bottom"/>
          </w:tcPr>
          <w:p>
            <w:pPr>
              <w:jc w:val="center"/>
              <w:ind w:left="1148"/>
              <w:spacing w:after="0"/>
              <w:rPr>
                <w:rFonts w:ascii="Arial" w:cs="Arial" w:eastAsia="Arial" w:hAnsi="Arial"/>
                <w:sz w:val="14"/>
                <w:szCs w:val="14"/>
                <w:color w:val="0000FF"/>
              </w:rPr>
            </w:pPr>
            <w:hyperlink w:anchor="page12">
              <w:r>
                <w:rPr>
                  <w:rFonts w:ascii="Arial" w:cs="Arial" w:eastAsia="Arial" w:hAnsi="Arial"/>
                  <w:sz w:val="14"/>
                  <w:szCs w:val="14"/>
                  <w:color w:val="0000FF"/>
                </w:rPr>
                <w:t>12</w:t>
              </w:r>
            </w:hyperlink>
          </w:p>
        </w:tc>
      </w:tr>
      <w:tr>
        <w:trPr>
          <w:trHeight w:val="216"/>
        </w:trPr>
        <w:tc>
          <w:tcPr>
            <w:tcW w:w="8860" w:type="dxa"/>
            <w:vAlign w:val="bottom"/>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Unresolved Staff Comments</w:t>
              </w:r>
            </w:hyperlink>
          </w:p>
        </w:tc>
        <w:tc>
          <w:tcPr>
            <w:tcW w:w="1460" w:type="dxa"/>
            <w:vAlign w:val="bottom"/>
          </w:tcPr>
          <w:p>
            <w:pPr>
              <w:jc w:val="center"/>
              <w:ind w:left="1148"/>
              <w:spacing w:after="0"/>
              <w:rPr>
                <w:rFonts w:ascii="Arial" w:cs="Arial" w:eastAsia="Arial" w:hAnsi="Arial"/>
                <w:sz w:val="14"/>
                <w:szCs w:val="14"/>
                <w:color w:val="0000FF"/>
              </w:rPr>
            </w:pPr>
            <w:hyperlink w:anchor="page33">
              <w:r>
                <w:rPr>
                  <w:rFonts w:ascii="Arial" w:cs="Arial" w:eastAsia="Arial" w:hAnsi="Arial"/>
                  <w:sz w:val="14"/>
                  <w:szCs w:val="14"/>
                  <w:color w:val="0000FF"/>
                </w:rPr>
                <w:t>33</w:t>
              </w:r>
            </w:hyperlink>
          </w:p>
        </w:tc>
      </w:tr>
      <w:tr>
        <w:trPr>
          <w:trHeight w:val="216"/>
        </w:trPr>
        <w:tc>
          <w:tcPr>
            <w:tcW w:w="8860" w:type="dxa"/>
            <w:vAlign w:val="bottom"/>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Properties</w:t>
              </w:r>
            </w:hyperlink>
          </w:p>
        </w:tc>
        <w:tc>
          <w:tcPr>
            <w:tcW w:w="1460" w:type="dxa"/>
            <w:vAlign w:val="bottom"/>
          </w:tcPr>
          <w:p>
            <w:pPr>
              <w:jc w:val="center"/>
              <w:ind w:left="1148"/>
              <w:spacing w:after="0"/>
              <w:rPr>
                <w:rFonts w:ascii="Arial" w:cs="Arial" w:eastAsia="Arial" w:hAnsi="Arial"/>
                <w:sz w:val="14"/>
                <w:szCs w:val="14"/>
                <w:color w:val="0000FF"/>
              </w:rPr>
            </w:pPr>
            <w:hyperlink w:anchor="page33">
              <w:r>
                <w:rPr>
                  <w:rFonts w:ascii="Arial" w:cs="Arial" w:eastAsia="Arial" w:hAnsi="Arial"/>
                  <w:sz w:val="14"/>
                  <w:szCs w:val="14"/>
                  <w:color w:val="0000FF"/>
                </w:rPr>
                <w:t>33</w:t>
              </w:r>
            </w:hyperlink>
          </w:p>
        </w:tc>
      </w:tr>
      <w:tr>
        <w:trPr>
          <w:trHeight w:val="216"/>
        </w:trPr>
        <w:tc>
          <w:tcPr>
            <w:tcW w:w="8860" w:type="dxa"/>
            <w:vAlign w:val="bottom"/>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Legal Proceedings</w:t>
              </w:r>
            </w:hyperlink>
          </w:p>
        </w:tc>
        <w:tc>
          <w:tcPr>
            <w:tcW w:w="1460" w:type="dxa"/>
            <w:vAlign w:val="bottom"/>
          </w:tcPr>
          <w:p>
            <w:pPr>
              <w:jc w:val="center"/>
              <w:ind w:left="1148"/>
              <w:spacing w:after="0"/>
              <w:rPr>
                <w:rFonts w:ascii="Arial" w:cs="Arial" w:eastAsia="Arial" w:hAnsi="Arial"/>
                <w:sz w:val="14"/>
                <w:szCs w:val="14"/>
                <w:color w:val="0000FF"/>
              </w:rPr>
            </w:pPr>
            <w:hyperlink w:anchor="page33">
              <w:r>
                <w:rPr>
                  <w:rFonts w:ascii="Arial" w:cs="Arial" w:eastAsia="Arial" w:hAnsi="Arial"/>
                  <w:sz w:val="14"/>
                  <w:szCs w:val="14"/>
                  <w:color w:val="0000FF"/>
                </w:rPr>
                <w:t>33</w:t>
              </w:r>
            </w:hyperlink>
          </w:p>
        </w:tc>
      </w:tr>
      <w:tr>
        <w:trPr>
          <w:trHeight w:val="216"/>
        </w:trPr>
        <w:tc>
          <w:tcPr>
            <w:tcW w:w="8860" w:type="dxa"/>
            <w:vAlign w:val="bottom"/>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Mine Safety Disclosures</w:t>
              </w:r>
            </w:hyperlink>
          </w:p>
        </w:tc>
        <w:tc>
          <w:tcPr>
            <w:tcW w:w="1460" w:type="dxa"/>
            <w:vAlign w:val="bottom"/>
          </w:tcPr>
          <w:p>
            <w:pPr>
              <w:jc w:val="center"/>
              <w:ind w:left="1148"/>
              <w:spacing w:after="0"/>
              <w:rPr>
                <w:rFonts w:ascii="Arial" w:cs="Arial" w:eastAsia="Arial" w:hAnsi="Arial"/>
                <w:sz w:val="14"/>
                <w:szCs w:val="14"/>
                <w:color w:val="0000FF"/>
              </w:rPr>
            </w:pPr>
            <w:hyperlink w:anchor="page33">
              <w:r>
                <w:rPr>
                  <w:rFonts w:ascii="Arial" w:cs="Arial" w:eastAsia="Arial" w:hAnsi="Arial"/>
                  <w:sz w:val="14"/>
                  <w:szCs w:val="14"/>
                  <w:color w:val="0000FF"/>
                </w:rPr>
                <w:t>33</w:t>
              </w:r>
            </w:hyperlink>
          </w:p>
        </w:tc>
      </w:tr>
      <w:tr>
        <w:trPr>
          <w:trHeight w:val="203"/>
        </w:trPr>
        <w:tc>
          <w:tcPr>
            <w:tcW w:w="8860" w:type="dxa"/>
            <w:vAlign w:val="bottom"/>
          </w:tcPr>
          <w:p>
            <w:pPr>
              <w:jc w:val="center"/>
              <w:ind w:left="968"/>
              <w:spacing w:after="0"/>
              <w:rPr>
                <w:sz w:val="20"/>
                <w:szCs w:val="20"/>
                <w:color w:val="auto"/>
              </w:rPr>
            </w:pPr>
            <w:r>
              <w:rPr>
                <w:rFonts w:ascii="Arial" w:cs="Arial" w:eastAsia="Arial" w:hAnsi="Arial"/>
                <w:sz w:val="14"/>
                <w:szCs w:val="14"/>
                <w:b w:val="1"/>
                <w:bCs w:val="1"/>
                <w:color w:val="00497F"/>
              </w:rPr>
              <w:t>PART II</w:t>
            </w:r>
          </w:p>
        </w:tc>
        <w:tc>
          <w:tcPr>
            <w:tcW w:w="1460" w:type="dxa"/>
            <w:vAlign w:val="bottom"/>
          </w:tcPr>
          <w:p>
            <w:pPr>
              <w:spacing w:after="0"/>
              <w:rPr>
                <w:sz w:val="17"/>
                <w:szCs w:val="17"/>
                <w:color w:val="auto"/>
              </w:rPr>
            </w:pPr>
          </w:p>
        </w:tc>
      </w:tr>
      <w:tr>
        <w:trPr>
          <w:trHeight w:val="230"/>
        </w:trPr>
        <w:tc>
          <w:tcPr>
            <w:tcW w:w="8860" w:type="dxa"/>
            <w:vAlign w:val="bottom"/>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Market for Registrant’s Common Equity, Related Stockholder Matters and Issuer Purchases of Equity Securities</w:t>
              </w:r>
            </w:hyperlink>
          </w:p>
        </w:tc>
        <w:tc>
          <w:tcPr>
            <w:tcW w:w="1460" w:type="dxa"/>
            <w:vAlign w:val="bottom"/>
          </w:tcPr>
          <w:p>
            <w:pPr>
              <w:jc w:val="center"/>
              <w:ind w:left="1148"/>
              <w:spacing w:after="0"/>
              <w:rPr>
                <w:rFonts w:ascii="Arial" w:cs="Arial" w:eastAsia="Arial" w:hAnsi="Arial"/>
                <w:sz w:val="14"/>
                <w:szCs w:val="14"/>
                <w:color w:val="0000FF"/>
              </w:rPr>
            </w:pPr>
            <w:hyperlink w:anchor="page33">
              <w:r>
                <w:rPr>
                  <w:rFonts w:ascii="Arial" w:cs="Arial" w:eastAsia="Arial" w:hAnsi="Arial"/>
                  <w:sz w:val="14"/>
                  <w:szCs w:val="14"/>
                  <w:color w:val="0000FF"/>
                </w:rPr>
                <w:t>34</w:t>
              </w:r>
            </w:hyperlink>
          </w:p>
        </w:tc>
      </w:tr>
      <w:tr>
        <w:trPr>
          <w:trHeight w:val="216"/>
        </w:trPr>
        <w:tc>
          <w:tcPr>
            <w:tcW w:w="8860" w:type="dxa"/>
            <w:vAlign w:val="bottom"/>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Selected Financial Data</w:t>
              </w:r>
            </w:hyperlink>
          </w:p>
        </w:tc>
        <w:tc>
          <w:tcPr>
            <w:tcW w:w="1460" w:type="dxa"/>
            <w:vAlign w:val="bottom"/>
          </w:tcPr>
          <w:p>
            <w:pPr>
              <w:jc w:val="center"/>
              <w:ind w:left="1148"/>
              <w:spacing w:after="0"/>
              <w:rPr>
                <w:rFonts w:ascii="Arial" w:cs="Arial" w:eastAsia="Arial" w:hAnsi="Arial"/>
                <w:sz w:val="14"/>
                <w:szCs w:val="14"/>
                <w:color w:val="0000FF"/>
              </w:rPr>
            </w:pPr>
            <w:hyperlink w:anchor="page35">
              <w:r>
                <w:rPr>
                  <w:rFonts w:ascii="Arial" w:cs="Arial" w:eastAsia="Arial" w:hAnsi="Arial"/>
                  <w:sz w:val="14"/>
                  <w:szCs w:val="14"/>
                  <w:color w:val="0000FF"/>
                </w:rPr>
                <w:t>36</w:t>
              </w:r>
            </w:hyperlink>
          </w:p>
        </w:tc>
      </w:tr>
      <w:tr>
        <w:trPr>
          <w:trHeight w:val="216"/>
        </w:trPr>
        <w:tc>
          <w:tcPr>
            <w:tcW w:w="8860" w:type="dxa"/>
            <w:vAlign w:val="bottom"/>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Management’s Discussion and Analysis of Financial Condition and Results of Operations</w:t>
              </w:r>
            </w:hyperlink>
          </w:p>
        </w:tc>
        <w:tc>
          <w:tcPr>
            <w:tcW w:w="1460" w:type="dxa"/>
            <w:vAlign w:val="bottom"/>
          </w:tcPr>
          <w:p>
            <w:pPr>
              <w:jc w:val="center"/>
              <w:ind w:left="1148"/>
              <w:spacing w:after="0"/>
              <w:rPr>
                <w:rFonts w:ascii="Arial" w:cs="Arial" w:eastAsia="Arial" w:hAnsi="Arial"/>
                <w:sz w:val="14"/>
                <w:szCs w:val="14"/>
                <w:color w:val="0000FF"/>
              </w:rPr>
            </w:pPr>
            <w:hyperlink w:anchor="page37">
              <w:r>
                <w:rPr>
                  <w:rFonts w:ascii="Arial" w:cs="Arial" w:eastAsia="Arial" w:hAnsi="Arial"/>
                  <w:sz w:val="14"/>
                  <w:szCs w:val="14"/>
                  <w:color w:val="0000FF"/>
                </w:rPr>
                <w:t>37</w:t>
              </w:r>
            </w:hyperlink>
          </w:p>
        </w:tc>
      </w:tr>
      <w:tr>
        <w:trPr>
          <w:trHeight w:val="216"/>
        </w:trPr>
        <w:tc>
          <w:tcPr>
            <w:tcW w:w="8860" w:type="dxa"/>
            <w:vAlign w:val="bottom"/>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Quantitative and Qualitative Disclosures About Market Risk</w:t>
              </w:r>
            </w:hyperlink>
          </w:p>
        </w:tc>
        <w:tc>
          <w:tcPr>
            <w:tcW w:w="1460" w:type="dxa"/>
            <w:vAlign w:val="bottom"/>
          </w:tcPr>
          <w:p>
            <w:pPr>
              <w:jc w:val="center"/>
              <w:ind w:left="1148"/>
              <w:spacing w:after="0"/>
              <w:rPr>
                <w:rFonts w:ascii="Arial" w:cs="Arial" w:eastAsia="Arial" w:hAnsi="Arial"/>
                <w:sz w:val="14"/>
                <w:szCs w:val="14"/>
                <w:color w:val="0000FF"/>
              </w:rPr>
            </w:pPr>
            <w:hyperlink w:anchor="page56">
              <w:r>
                <w:rPr>
                  <w:rFonts w:ascii="Arial" w:cs="Arial" w:eastAsia="Arial" w:hAnsi="Arial"/>
                  <w:sz w:val="14"/>
                  <w:szCs w:val="14"/>
                  <w:color w:val="0000FF"/>
                </w:rPr>
                <w:t>56</w:t>
              </w:r>
            </w:hyperlink>
          </w:p>
        </w:tc>
      </w:tr>
      <w:tr>
        <w:trPr>
          <w:trHeight w:val="216"/>
        </w:trPr>
        <w:tc>
          <w:tcPr>
            <w:tcW w:w="8860" w:type="dxa"/>
            <w:vAlign w:val="bottom"/>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Consolidated Financial Statements of Fortress Transportation and Infrastructure Investors LLC:</w:t>
              </w:r>
            </w:hyperlink>
          </w:p>
        </w:tc>
        <w:tc>
          <w:tcPr>
            <w:tcW w:w="1460" w:type="dxa"/>
            <w:vAlign w:val="bottom"/>
          </w:tcPr>
          <w:p>
            <w:pPr>
              <w:jc w:val="center"/>
              <w:ind w:left="1148"/>
              <w:spacing w:after="0"/>
              <w:rPr>
                <w:rFonts w:ascii="Arial" w:cs="Arial" w:eastAsia="Arial" w:hAnsi="Arial"/>
                <w:sz w:val="14"/>
                <w:szCs w:val="14"/>
                <w:color w:val="0000FF"/>
              </w:rPr>
            </w:pPr>
            <w:hyperlink w:anchor="page56">
              <w:r>
                <w:rPr>
                  <w:rFonts w:ascii="Arial" w:cs="Arial" w:eastAsia="Arial" w:hAnsi="Arial"/>
                  <w:sz w:val="14"/>
                  <w:szCs w:val="14"/>
                  <w:color w:val="0000FF"/>
                </w:rPr>
                <w:t>57</w:t>
              </w:r>
            </w:hyperlink>
          </w:p>
        </w:tc>
      </w:tr>
      <w:tr>
        <w:trPr>
          <w:trHeight w:val="189"/>
        </w:trPr>
        <w:tc>
          <w:tcPr>
            <w:tcW w:w="8860" w:type="dxa"/>
            <w:vAlign w:val="bottom"/>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Report of Independent Registered Public Accounting Firm</w:t>
              </w:r>
            </w:hyperlink>
          </w:p>
        </w:tc>
        <w:tc>
          <w:tcPr>
            <w:tcW w:w="1460" w:type="dxa"/>
            <w:vAlign w:val="bottom"/>
          </w:tcPr>
          <w:p>
            <w:pPr>
              <w:jc w:val="center"/>
              <w:ind w:left="1148"/>
              <w:spacing w:after="0"/>
              <w:rPr>
                <w:rFonts w:ascii="Arial" w:cs="Arial" w:eastAsia="Arial" w:hAnsi="Arial"/>
                <w:sz w:val="14"/>
                <w:szCs w:val="14"/>
                <w:color w:val="0000FF"/>
              </w:rPr>
            </w:pPr>
            <w:hyperlink w:anchor="page57">
              <w:r>
                <w:rPr>
                  <w:rFonts w:ascii="Arial" w:cs="Arial" w:eastAsia="Arial" w:hAnsi="Arial"/>
                  <w:sz w:val="14"/>
                  <w:szCs w:val="14"/>
                  <w:color w:val="0000FF"/>
                </w:rPr>
                <w:t>58</w:t>
              </w:r>
            </w:hyperlink>
          </w:p>
        </w:tc>
      </w:tr>
      <w:tr>
        <w:trPr>
          <w:trHeight w:val="189"/>
        </w:trPr>
        <w:tc>
          <w:tcPr>
            <w:tcW w:w="8860" w:type="dxa"/>
            <w:vAlign w:val="bottom"/>
          </w:tcPr>
          <w:p>
            <w:pPr>
              <w:spacing w:after="0"/>
              <w:rPr>
                <w:rFonts w:ascii="Arial" w:cs="Arial" w:eastAsia="Arial" w:hAnsi="Arial"/>
                <w:sz w:val="14"/>
                <w:szCs w:val="14"/>
                <w:color w:val="0000FF"/>
              </w:rPr>
            </w:pPr>
            <w:hyperlink w:anchor="page59">
              <w:r>
                <w:rPr>
                  <w:rFonts w:ascii="Arial" w:cs="Arial" w:eastAsia="Arial" w:hAnsi="Arial"/>
                  <w:sz w:val="14"/>
                  <w:szCs w:val="14"/>
                  <w:color w:val="0000FF"/>
                </w:rPr>
                <w:t>Consolidated Balance Sheets as of December 31, 2019 and 2018</w:t>
              </w:r>
            </w:hyperlink>
          </w:p>
        </w:tc>
        <w:tc>
          <w:tcPr>
            <w:tcW w:w="1460" w:type="dxa"/>
            <w:vAlign w:val="bottom"/>
          </w:tcPr>
          <w:p>
            <w:pPr>
              <w:jc w:val="center"/>
              <w:ind w:left="1148"/>
              <w:spacing w:after="0"/>
              <w:rPr>
                <w:rFonts w:ascii="Arial" w:cs="Arial" w:eastAsia="Arial" w:hAnsi="Arial"/>
                <w:sz w:val="14"/>
                <w:szCs w:val="14"/>
                <w:color w:val="0000FF"/>
              </w:rPr>
            </w:pPr>
            <w:hyperlink w:anchor="page59">
              <w:r>
                <w:rPr>
                  <w:rFonts w:ascii="Arial" w:cs="Arial" w:eastAsia="Arial" w:hAnsi="Arial"/>
                  <w:sz w:val="14"/>
                  <w:szCs w:val="14"/>
                  <w:color w:val="0000FF"/>
                </w:rPr>
                <w:t>60</w:t>
              </w:r>
            </w:hyperlink>
          </w:p>
        </w:tc>
      </w:tr>
      <w:tr>
        <w:trPr>
          <w:trHeight w:val="189"/>
        </w:trPr>
        <w:tc>
          <w:tcPr>
            <w:tcW w:w="8860" w:type="dxa"/>
            <w:vAlign w:val="bottom"/>
          </w:tcPr>
          <w:p>
            <w:pPr>
              <w:spacing w:after="0"/>
              <w:rPr>
                <w:rFonts w:ascii="Arial" w:cs="Arial" w:eastAsia="Arial" w:hAnsi="Arial"/>
                <w:sz w:val="14"/>
                <w:szCs w:val="14"/>
                <w:color w:val="0000FF"/>
              </w:rPr>
            </w:pPr>
            <w:hyperlink w:anchor="page60">
              <w:r>
                <w:rPr>
                  <w:rFonts w:ascii="Arial" w:cs="Arial" w:eastAsia="Arial" w:hAnsi="Arial"/>
                  <w:sz w:val="14"/>
                  <w:szCs w:val="14"/>
                  <w:color w:val="0000FF"/>
                </w:rPr>
                <w:t>Consolidated Statements of Operations for the years ended December 31, 2019, 2018 and 2017</w:t>
              </w:r>
            </w:hyperlink>
          </w:p>
        </w:tc>
        <w:tc>
          <w:tcPr>
            <w:tcW w:w="1460" w:type="dxa"/>
            <w:vAlign w:val="bottom"/>
          </w:tcPr>
          <w:p>
            <w:pPr>
              <w:jc w:val="center"/>
              <w:ind w:left="1148"/>
              <w:spacing w:after="0"/>
              <w:rPr>
                <w:rFonts w:ascii="Arial" w:cs="Arial" w:eastAsia="Arial" w:hAnsi="Arial"/>
                <w:sz w:val="14"/>
                <w:szCs w:val="14"/>
                <w:color w:val="0000FF"/>
              </w:rPr>
            </w:pPr>
            <w:hyperlink w:anchor="page60">
              <w:r>
                <w:rPr>
                  <w:rFonts w:ascii="Arial" w:cs="Arial" w:eastAsia="Arial" w:hAnsi="Arial"/>
                  <w:sz w:val="14"/>
                  <w:szCs w:val="14"/>
                  <w:color w:val="0000FF"/>
                </w:rPr>
                <w:t>61</w:t>
              </w:r>
            </w:hyperlink>
          </w:p>
        </w:tc>
      </w:tr>
      <w:tr>
        <w:trPr>
          <w:trHeight w:val="189"/>
        </w:trPr>
        <w:tc>
          <w:tcPr>
            <w:tcW w:w="8860" w:type="dxa"/>
            <w:vAlign w:val="bottom"/>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Consolidated Statements of Comprehensive Income (Loss) for the years ended December 31, 2019, 2018 and 2017</w:t>
              </w:r>
            </w:hyperlink>
          </w:p>
        </w:tc>
        <w:tc>
          <w:tcPr>
            <w:tcW w:w="1460" w:type="dxa"/>
            <w:vAlign w:val="bottom"/>
          </w:tcPr>
          <w:p>
            <w:pPr>
              <w:jc w:val="center"/>
              <w:ind w:left="1148"/>
              <w:spacing w:after="0"/>
              <w:rPr>
                <w:rFonts w:ascii="Arial" w:cs="Arial" w:eastAsia="Arial" w:hAnsi="Arial"/>
                <w:sz w:val="14"/>
                <w:szCs w:val="14"/>
                <w:color w:val="0000FF"/>
              </w:rPr>
            </w:pPr>
            <w:hyperlink w:anchor="page61">
              <w:r>
                <w:rPr>
                  <w:rFonts w:ascii="Arial" w:cs="Arial" w:eastAsia="Arial" w:hAnsi="Arial"/>
                  <w:sz w:val="14"/>
                  <w:szCs w:val="14"/>
                  <w:color w:val="0000FF"/>
                </w:rPr>
                <w:t>62</w:t>
              </w:r>
            </w:hyperlink>
          </w:p>
        </w:tc>
      </w:tr>
      <w:tr>
        <w:trPr>
          <w:trHeight w:val="189"/>
        </w:trPr>
        <w:tc>
          <w:tcPr>
            <w:tcW w:w="8860" w:type="dxa"/>
            <w:vAlign w:val="bottom"/>
          </w:tcPr>
          <w:p>
            <w:pPr>
              <w:spacing w:after="0"/>
              <w:rPr>
                <w:rFonts w:ascii="Arial" w:cs="Arial" w:eastAsia="Arial" w:hAnsi="Arial"/>
                <w:sz w:val="14"/>
                <w:szCs w:val="14"/>
                <w:color w:val="0000FF"/>
              </w:rPr>
            </w:pPr>
            <w:hyperlink w:anchor="page62">
              <w:r>
                <w:rPr>
                  <w:rFonts w:ascii="Arial" w:cs="Arial" w:eastAsia="Arial" w:hAnsi="Arial"/>
                  <w:sz w:val="14"/>
                  <w:szCs w:val="14"/>
                  <w:color w:val="0000FF"/>
                </w:rPr>
                <w:t>Consolidated Statement of Changes in Equity for the years ended December 31, 2019, 2018 and 2017</w:t>
              </w:r>
            </w:hyperlink>
          </w:p>
        </w:tc>
        <w:tc>
          <w:tcPr>
            <w:tcW w:w="1460" w:type="dxa"/>
            <w:vAlign w:val="bottom"/>
          </w:tcPr>
          <w:p>
            <w:pPr>
              <w:jc w:val="center"/>
              <w:ind w:left="1148"/>
              <w:spacing w:after="0"/>
              <w:rPr>
                <w:rFonts w:ascii="Arial" w:cs="Arial" w:eastAsia="Arial" w:hAnsi="Arial"/>
                <w:sz w:val="14"/>
                <w:szCs w:val="14"/>
                <w:color w:val="0000FF"/>
              </w:rPr>
            </w:pPr>
            <w:hyperlink w:anchor="page62">
              <w:r>
                <w:rPr>
                  <w:rFonts w:ascii="Arial" w:cs="Arial" w:eastAsia="Arial" w:hAnsi="Arial"/>
                  <w:sz w:val="14"/>
                  <w:szCs w:val="14"/>
                  <w:color w:val="0000FF"/>
                </w:rPr>
                <w:t>63</w:t>
              </w:r>
            </w:hyperlink>
          </w:p>
        </w:tc>
      </w:tr>
      <w:tr>
        <w:trPr>
          <w:trHeight w:val="189"/>
        </w:trPr>
        <w:tc>
          <w:tcPr>
            <w:tcW w:w="8860" w:type="dxa"/>
            <w:vAlign w:val="bottom"/>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Consolidated Statements of Cash Flows for the years ended December 31, 2019, 2018 and 2017</w:t>
              </w:r>
            </w:hyperlink>
          </w:p>
        </w:tc>
        <w:tc>
          <w:tcPr>
            <w:tcW w:w="1460" w:type="dxa"/>
            <w:vAlign w:val="bottom"/>
          </w:tcPr>
          <w:p>
            <w:pPr>
              <w:jc w:val="center"/>
              <w:ind w:left="1148"/>
              <w:spacing w:after="0"/>
              <w:rPr>
                <w:rFonts w:ascii="Arial" w:cs="Arial" w:eastAsia="Arial" w:hAnsi="Arial"/>
                <w:sz w:val="14"/>
                <w:szCs w:val="14"/>
                <w:color w:val="0000FF"/>
              </w:rPr>
            </w:pPr>
            <w:hyperlink w:anchor="page64">
              <w:r>
                <w:rPr>
                  <w:rFonts w:ascii="Arial" w:cs="Arial" w:eastAsia="Arial" w:hAnsi="Arial"/>
                  <w:sz w:val="14"/>
                  <w:szCs w:val="14"/>
                  <w:color w:val="0000FF"/>
                </w:rPr>
                <w:t>64</w:t>
              </w:r>
            </w:hyperlink>
          </w:p>
        </w:tc>
      </w:tr>
      <w:tr>
        <w:trPr>
          <w:trHeight w:val="189"/>
        </w:trPr>
        <w:tc>
          <w:tcPr>
            <w:tcW w:w="8860" w:type="dxa"/>
            <w:vAlign w:val="bottom"/>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Notes to Consolidated Financial Statements</w:t>
              </w:r>
            </w:hyperlink>
          </w:p>
        </w:tc>
        <w:tc>
          <w:tcPr>
            <w:tcW w:w="1460" w:type="dxa"/>
            <w:vAlign w:val="bottom"/>
          </w:tcPr>
          <w:p>
            <w:pPr>
              <w:jc w:val="center"/>
              <w:ind w:left="1148"/>
              <w:spacing w:after="0"/>
              <w:rPr>
                <w:rFonts w:ascii="Arial" w:cs="Arial" w:eastAsia="Arial" w:hAnsi="Arial"/>
                <w:sz w:val="14"/>
                <w:szCs w:val="14"/>
                <w:color w:val="0000FF"/>
              </w:rPr>
            </w:pPr>
            <w:hyperlink w:anchor="page66">
              <w:r>
                <w:rPr>
                  <w:rFonts w:ascii="Arial" w:cs="Arial" w:eastAsia="Arial" w:hAnsi="Arial"/>
                  <w:sz w:val="14"/>
                  <w:szCs w:val="14"/>
                  <w:color w:val="0000FF"/>
                </w:rPr>
                <w:t>66</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67">
              <w:r>
                <w:rPr>
                  <w:rFonts w:ascii="Arial" w:cs="Arial" w:eastAsia="Arial" w:hAnsi="Arial"/>
                  <w:sz w:val="14"/>
                  <w:szCs w:val="14"/>
                  <w:color w:val="0000FF"/>
                </w:rPr>
                <w:t>Note 1: Organization</w:t>
              </w:r>
            </w:hyperlink>
          </w:p>
        </w:tc>
        <w:tc>
          <w:tcPr>
            <w:tcW w:w="1460" w:type="dxa"/>
            <w:vAlign w:val="bottom"/>
          </w:tcPr>
          <w:p>
            <w:pPr>
              <w:jc w:val="center"/>
              <w:ind w:left="1148"/>
              <w:spacing w:after="0"/>
              <w:rPr>
                <w:rFonts w:ascii="Arial" w:cs="Arial" w:eastAsia="Arial" w:hAnsi="Arial"/>
                <w:sz w:val="14"/>
                <w:szCs w:val="14"/>
                <w:color w:val="0000FF"/>
              </w:rPr>
            </w:pPr>
            <w:hyperlink w:anchor="page67">
              <w:r>
                <w:rPr>
                  <w:rFonts w:ascii="Arial" w:cs="Arial" w:eastAsia="Arial" w:hAnsi="Arial"/>
                  <w:sz w:val="14"/>
                  <w:szCs w:val="14"/>
                  <w:color w:val="0000FF"/>
                </w:rPr>
                <w:t>66</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67">
              <w:r>
                <w:rPr>
                  <w:rFonts w:ascii="Arial" w:cs="Arial" w:eastAsia="Arial" w:hAnsi="Arial"/>
                  <w:sz w:val="14"/>
                  <w:szCs w:val="14"/>
                  <w:color w:val="0000FF"/>
                </w:rPr>
                <w:t>Note 2: Summary of Significant Accounting Policies</w:t>
              </w:r>
            </w:hyperlink>
          </w:p>
        </w:tc>
        <w:tc>
          <w:tcPr>
            <w:tcW w:w="1460" w:type="dxa"/>
            <w:vAlign w:val="bottom"/>
          </w:tcPr>
          <w:p>
            <w:pPr>
              <w:jc w:val="center"/>
              <w:ind w:left="1148"/>
              <w:spacing w:after="0"/>
              <w:rPr>
                <w:rFonts w:ascii="Arial" w:cs="Arial" w:eastAsia="Arial" w:hAnsi="Arial"/>
                <w:sz w:val="14"/>
                <w:szCs w:val="14"/>
                <w:color w:val="0000FF"/>
              </w:rPr>
            </w:pPr>
            <w:hyperlink w:anchor="page67">
              <w:r>
                <w:rPr>
                  <w:rFonts w:ascii="Arial" w:cs="Arial" w:eastAsia="Arial" w:hAnsi="Arial"/>
                  <w:sz w:val="14"/>
                  <w:szCs w:val="14"/>
                  <w:color w:val="0000FF"/>
                </w:rPr>
                <w:t>66</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74">
              <w:r>
                <w:rPr>
                  <w:rFonts w:ascii="Arial" w:cs="Arial" w:eastAsia="Arial" w:hAnsi="Arial"/>
                  <w:sz w:val="14"/>
                  <w:szCs w:val="14"/>
                  <w:color w:val="0000FF"/>
                </w:rPr>
                <w:t>Note 3: Discontinued Operations</w:t>
              </w:r>
            </w:hyperlink>
          </w:p>
        </w:tc>
        <w:tc>
          <w:tcPr>
            <w:tcW w:w="1460" w:type="dxa"/>
            <w:vAlign w:val="bottom"/>
          </w:tcPr>
          <w:p>
            <w:pPr>
              <w:jc w:val="center"/>
              <w:ind w:left="1148"/>
              <w:spacing w:after="0"/>
              <w:rPr>
                <w:rFonts w:ascii="Arial" w:cs="Arial" w:eastAsia="Arial" w:hAnsi="Arial"/>
                <w:sz w:val="14"/>
                <w:szCs w:val="14"/>
                <w:color w:val="0000FF"/>
              </w:rPr>
            </w:pPr>
            <w:hyperlink w:anchor="page74">
              <w:r>
                <w:rPr>
                  <w:rFonts w:ascii="Arial" w:cs="Arial" w:eastAsia="Arial" w:hAnsi="Arial"/>
                  <w:sz w:val="14"/>
                  <w:szCs w:val="14"/>
                  <w:color w:val="0000FF"/>
                </w:rPr>
                <w:t>73</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76">
              <w:r>
                <w:rPr>
                  <w:rFonts w:ascii="Arial" w:cs="Arial" w:eastAsia="Arial" w:hAnsi="Arial"/>
                  <w:sz w:val="14"/>
                  <w:szCs w:val="14"/>
                  <w:color w:val="0000FF"/>
                </w:rPr>
                <w:t>Note 4: Leasing Equipment, net</w:t>
              </w:r>
            </w:hyperlink>
          </w:p>
        </w:tc>
        <w:tc>
          <w:tcPr>
            <w:tcW w:w="1460" w:type="dxa"/>
            <w:vAlign w:val="bottom"/>
          </w:tcPr>
          <w:p>
            <w:pPr>
              <w:jc w:val="center"/>
              <w:ind w:left="1148"/>
              <w:spacing w:after="0"/>
              <w:rPr>
                <w:rFonts w:ascii="Arial" w:cs="Arial" w:eastAsia="Arial" w:hAnsi="Arial"/>
                <w:sz w:val="14"/>
                <w:szCs w:val="14"/>
                <w:color w:val="0000FF"/>
              </w:rPr>
            </w:pPr>
            <w:hyperlink w:anchor="page76">
              <w:r>
                <w:rPr>
                  <w:rFonts w:ascii="Arial" w:cs="Arial" w:eastAsia="Arial" w:hAnsi="Arial"/>
                  <w:sz w:val="14"/>
                  <w:szCs w:val="14"/>
                  <w:color w:val="0000FF"/>
                </w:rPr>
                <w:t>75</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76">
              <w:r>
                <w:rPr>
                  <w:rFonts w:ascii="Arial" w:cs="Arial" w:eastAsia="Arial" w:hAnsi="Arial"/>
                  <w:sz w:val="14"/>
                  <w:szCs w:val="14"/>
                  <w:color w:val="0000FF"/>
                </w:rPr>
                <w:t>Note 5: Finance Leases, net</w:t>
              </w:r>
            </w:hyperlink>
          </w:p>
        </w:tc>
        <w:tc>
          <w:tcPr>
            <w:tcW w:w="1460" w:type="dxa"/>
            <w:vAlign w:val="bottom"/>
          </w:tcPr>
          <w:p>
            <w:pPr>
              <w:jc w:val="center"/>
              <w:ind w:left="1148"/>
              <w:spacing w:after="0"/>
              <w:rPr>
                <w:rFonts w:ascii="Arial" w:cs="Arial" w:eastAsia="Arial" w:hAnsi="Arial"/>
                <w:sz w:val="14"/>
                <w:szCs w:val="14"/>
                <w:color w:val="0000FF"/>
              </w:rPr>
            </w:pPr>
            <w:hyperlink w:anchor="page76">
              <w:r>
                <w:rPr>
                  <w:rFonts w:ascii="Arial" w:cs="Arial" w:eastAsia="Arial" w:hAnsi="Arial"/>
                  <w:sz w:val="14"/>
                  <w:szCs w:val="14"/>
                  <w:color w:val="0000FF"/>
                </w:rPr>
                <w:t>75</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76">
              <w:r>
                <w:rPr>
                  <w:rFonts w:ascii="Arial" w:cs="Arial" w:eastAsia="Arial" w:hAnsi="Arial"/>
                  <w:sz w:val="14"/>
                  <w:szCs w:val="14"/>
                  <w:color w:val="0000FF"/>
                </w:rPr>
                <w:t>Note 6: Property, Plant and Equipment, net</w:t>
              </w:r>
            </w:hyperlink>
          </w:p>
        </w:tc>
        <w:tc>
          <w:tcPr>
            <w:tcW w:w="1460" w:type="dxa"/>
            <w:vAlign w:val="bottom"/>
          </w:tcPr>
          <w:p>
            <w:pPr>
              <w:jc w:val="center"/>
              <w:ind w:left="1148"/>
              <w:spacing w:after="0"/>
              <w:rPr>
                <w:rFonts w:ascii="Arial" w:cs="Arial" w:eastAsia="Arial" w:hAnsi="Arial"/>
                <w:sz w:val="14"/>
                <w:szCs w:val="14"/>
                <w:color w:val="0000FF"/>
              </w:rPr>
            </w:pPr>
            <w:hyperlink w:anchor="page76">
              <w:r>
                <w:rPr>
                  <w:rFonts w:ascii="Arial" w:cs="Arial" w:eastAsia="Arial" w:hAnsi="Arial"/>
                  <w:sz w:val="14"/>
                  <w:szCs w:val="14"/>
                  <w:color w:val="0000FF"/>
                </w:rPr>
                <w:t>76</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77">
              <w:r>
                <w:rPr>
                  <w:rFonts w:ascii="Arial" w:cs="Arial" w:eastAsia="Arial" w:hAnsi="Arial"/>
                  <w:sz w:val="14"/>
                  <w:szCs w:val="14"/>
                  <w:color w:val="0000FF"/>
                </w:rPr>
                <w:t>Note 7: Investments</w:t>
              </w:r>
            </w:hyperlink>
          </w:p>
        </w:tc>
        <w:tc>
          <w:tcPr>
            <w:tcW w:w="1460" w:type="dxa"/>
            <w:vAlign w:val="bottom"/>
          </w:tcPr>
          <w:p>
            <w:pPr>
              <w:jc w:val="center"/>
              <w:ind w:left="1148"/>
              <w:spacing w:after="0"/>
              <w:rPr>
                <w:rFonts w:ascii="Arial" w:cs="Arial" w:eastAsia="Arial" w:hAnsi="Arial"/>
                <w:sz w:val="14"/>
                <w:szCs w:val="14"/>
                <w:color w:val="0000FF"/>
              </w:rPr>
            </w:pPr>
            <w:hyperlink w:anchor="page77">
              <w:r>
                <w:rPr>
                  <w:rFonts w:ascii="Arial" w:cs="Arial" w:eastAsia="Arial" w:hAnsi="Arial"/>
                  <w:sz w:val="14"/>
                  <w:szCs w:val="14"/>
                  <w:color w:val="0000FF"/>
                </w:rPr>
                <w:t>76</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79">
              <w:r>
                <w:rPr>
                  <w:rFonts w:ascii="Arial" w:cs="Arial" w:eastAsia="Arial" w:hAnsi="Arial"/>
                  <w:sz w:val="14"/>
                  <w:szCs w:val="14"/>
                  <w:color w:val="0000FF"/>
                </w:rPr>
                <w:t>Note 8: Intangible Assets and Liabilities, net</w:t>
              </w:r>
            </w:hyperlink>
          </w:p>
        </w:tc>
        <w:tc>
          <w:tcPr>
            <w:tcW w:w="1460" w:type="dxa"/>
            <w:vAlign w:val="bottom"/>
          </w:tcPr>
          <w:p>
            <w:pPr>
              <w:jc w:val="center"/>
              <w:ind w:left="1148"/>
              <w:spacing w:after="0"/>
              <w:rPr>
                <w:rFonts w:ascii="Arial" w:cs="Arial" w:eastAsia="Arial" w:hAnsi="Arial"/>
                <w:sz w:val="14"/>
                <w:szCs w:val="14"/>
                <w:color w:val="0000FF"/>
              </w:rPr>
            </w:pPr>
            <w:hyperlink w:anchor="page79">
              <w:r>
                <w:rPr>
                  <w:rFonts w:ascii="Arial" w:cs="Arial" w:eastAsia="Arial" w:hAnsi="Arial"/>
                  <w:sz w:val="14"/>
                  <w:szCs w:val="14"/>
                  <w:color w:val="0000FF"/>
                </w:rPr>
                <w:t>79</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1">
              <w:r>
                <w:rPr>
                  <w:rFonts w:ascii="Arial" w:cs="Arial" w:eastAsia="Arial" w:hAnsi="Arial"/>
                  <w:sz w:val="14"/>
                  <w:szCs w:val="14"/>
                  <w:color w:val="0000FF"/>
                </w:rPr>
                <w:t>Note 9: Debt, net</w:t>
              </w:r>
            </w:hyperlink>
          </w:p>
        </w:tc>
        <w:tc>
          <w:tcPr>
            <w:tcW w:w="1460" w:type="dxa"/>
            <w:vAlign w:val="bottom"/>
          </w:tcPr>
          <w:p>
            <w:pPr>
              <w:jc w:val="center"/>
              <w:ind w:left="1148"/>
              <w:spacing w:after="0"/>
              <w:rPr>
                <w:rFonts w:ascii="Arial" w:cs="Arial" w:eastAsia="Arial" w:hAnsi="Arial"/>
                <w:sz w:val="14"/>
                <w:szCs w:val="14"/>
                <w:color w:val="0000FF"/>
              </w:rPr>
            </w:pPr>
            <w:hyperlink w:anchor="page81">
              <w:r>
                <w:rPr>
                  <w:rFonts w:ascii="Arial" w:cs="Arial" w:eastAsia="Arial" w:hAnsi="Arial"/>
                  <w:sz w:val="14"/>
                  <w:szCs w:val="14"/>
                  <w:color w:val="0000FF"/>
                </w:rPr>
                <w:t>80</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2">
              <w:r>
                <w:rPr>
                  <w:rFonts w:ascii="Arial" w:cs="Arial" w:eastAsia="Arial" w:hAnsi="Arial"/>
                  <w:sz w:val="14"/>
                  <w:szCs w:val="14"/>
                  <w:color w:val="0000FF"/>
                </w:rPr>
                <w:t>Note 10: Fair Value Measurements</w:t>
              </w:r>
            </w:hyperlink>
          </w:p>
        </w:tc>
        <w:tc>
          <w:tcPr>
            <w:tcW w:w="1460" w:type="dxa"/>
            <w:vAlign w:val="bottom"/>
          </w:tcPr>
          <w:p>
            <w:pPr>
              <w:jc w:val="center"/>
              <w:ind w:left="1148"/>
              <w:spacing w:after="0"/>
              <w:rPr>
                <w:rFonts w:ascii="Arial" w:cs="Arial" w:eastAsia="Arial" w:hAnsi="Arial"/>
                <w:sz w:val="14"/>
                <w:szCs w:val="14"/>
                <w:color w:val="0000FF"/>
              </w:rPr>
            </w:pPr>
            <w:hyperlink w:anchor="page82">
              <w:r>
                <w:rPr>
                  <w:rFonts w:ascii="Arial" w:cs="Arial" w:eastAsia="Arial" w:hAnsi="Arial"/>
                  <w:sz w:val="14"/>
                  <w:szCs w:val="14"/>
                  <w:color w:val="0000FF"/>
                </w:rPr>
                <w:t>82</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4">
              <w:r>
                <w:rPr>
                  <w:rFonts w:ascii="Arial" w:cs="Arial" w:eastAsia="Arial" w:hAnsi="Arial"/>
                  <w:sz w:val="14"/>
                  <w:szCs w:val="14"/>
                  <w:color w:val="0000FF"/>
                </w:rPr>
                <w:t>Note 11: Derivative Financial Instruments</w:t>
              </w:r>
            </w:hyperlink>
          </w:p>
        </w:tc>
        <w:tc>
          <w:tcPr>
            <w:tcW w:w="1460" w:type="dxa"/>
            <w:vAlign w:val="bottom"/>
          </w:tcPr>
          <w:p>
            <w:pPr>
              <w:jc w:val="center"/>
              <w:ind w:left="1148"/>
              <w:spacing w:after="0"/>
              <w:rPr>
                <w:rFonts w:ascii="Arial" w:cs="Arial" w:eastAsia="Arial" w:hAnsi="Arial"/>
                <w:sz w:val="14"/>
                <w:szCs w:val="14"/>
                <w:color w:val="0000FF"/>
              </w:rPr>
            </w:pPr>
            <w:hyperlink w:anchor="page84">
              <w:r>
                <w:rPr>
                  <w:rFonts w:ascii="Arial" w:cs="Arial" w:eastAsia="Arial" w:hAnsi="Arial"/>
                  <w:sz w:val="14"/>
                  <w:szCs w:val="14"/>
                  <w:color w:val="0000FF"/>
                </w:rPr>
                <w:t>83</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4">
              <w:r>
                <w:rPr>
                  <w:rFonts w:ascii="Arial" w:cs="Arial" w:eastAsia="Arial" w:hAnsi="Arial"/>
                  <w:sz w:val="14"/>
                  <w:szCs w:val="14"/>
                  <w:color w:val="0000FF"/>
                </w:rPr>
                <w:t>Note 12: Revenues</w:t>
              </w:r>
            </w:hyperlink>
          </w:p>
        </w:tc>
        <w:tc>
          <w:tcPr>
            <w:tcW w:w="1460" w:type="dxa"/>
            <w:vAlign w:val="bottom"/>
          </w:tcPr>
          <w:p>
            <w:pPr>
              <w:jc w:val="center"/>
              <w:ind w:left="1148"/>
              <w:spacing w:after="0"/>
              <w:rPr>
                <w:rFonts w:ascii="Arial" w:cs="Arial" w:eastAsia="Arial" w:hAnsi="Arial"/>
                <w:sz w:val="14"/>
                <w:szCs w:val="14"/>
                <w:color w:val="0000FF"/>
              </w:rPr>
            </w:pPr>
            <w:hyperlink w:anchor="page84">
              <w:r>
                <w:rPr>
                  <w:rFonts w:ascii="Arial" w:cs="Arial" w:eastAsia="Arial" w:hAnsi="Arial"/>
                  <w:sz w:val="14"/>
                  <w:szCs w:val="14"/>
                  <w:color w:val="0000FF"/>
                </w:rPr>
                <w:t>84</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6">
              <w:r>
                <w:rPr>
                  <w:rFonts w:ascii="Arial" w:cs="Arial" w:eastAsia="Arial" w:hAnsi="Arial"/>
                  <w:sz w:val="14"/>
                  <w:szCs w:val="14"/>
                  <w:color w:val="0000FF"/>
                </w:rPr>
                <w:t>Note 13: Leases</w:t>
              </w:r>
            </w:hyperlink>
          </w:p>
        </w:tc>
        <w:tc>
          <w:tcPr>
            <w:tcW w:w="1460" w:type="dxa"/>
            <w:vAlign w:val="bottom"/>
          </w:tcPr>
          <w:p>
            <w:pPr>
              <w:jc w:val="center"/>
              <w:ind w:left="1148"/>
              <w:spacing w:after="0"/>
              <w:rPr>
                <w:rFonts w:ascii="Arial" w:cs="Arial" w:eastAsia="Arial" w:hAnsi="Arial"/>
                <w:sz w:val="14"/>
                <w:szCs w:val="14"/>
                <w:color w:val="0000FF"/>
              </w:rPr>
            </w:pPr>
            <w:hyperlink w:anchor="page86">
              <w:r>
                <w:rPr>
                  <w:rFonts w:ascii="Arial" w:cs="Arial" w:eastAsia="Arial" w:hAnsi="Arial"/>
                  <w:sz w:val="14"/>
                  <w:szCs w:val="14"/>
                  <w:color w:val="0000FF"/>
                </w:rPr>
                <w:t>85</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7">
              <w:r>
                <w:rPr>
                  <w:rFonts w:ascii="Arial" w:cs="Arial" w:eastAsia="Arial" w:hAnsi="Arial"/>
                  <w:sz w:val="14"/>
                  <w:szCs w:val="14"/>
                  <w:color w:val="0000FF"/>
                </w:rPr>
                <w:t>Note 14: Equity-Based Compensation</w:t>
              </w:r>
            </w:hyperlink>
          </w:p>
        </w:tc>
        <w:tc>
          <w:tcPr>
            <w:tcW w:w="1460" w:type="dxa"/>
            <w:vAlign w:val="bottom"/>
          </w:tcPr>
          <w:p>
            <w:pPr>
              <w:jc w:val="center"/>
              <w:ind w:left="1148"/>
              <w:spacing w:after="0"/>
              <w:rPr>
                <w:rFonts w:ascii="Arial" w:cs="Arial" w:eastAsia="Arial" w:hAnsi="Arial"/>
                <w:sz w:val="14"/>
                <w:szCs w:val="14"/>
                <w:color w:val="0000FF"/>
              </w:rPr>
            </w:pPr>
            <w:hyperlink w:anchor="page87">
              <w:r>
                <w:rPr>
                  <w:rFonts w:ascii="Arial" w:cs="Arial" w:eastAsia="Arial" w:hAnsi="Arial"/>
                  <w:sz w:val="14"/>
                  <w:szCs w:val="14"/>
                  <w:color w:val="0000FF"/>
                </w:rPr>
                <w:t>86</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89">
              <w:r>
                <w:rPr>
                  <w:rFonts w:ascii="Arial" w:cs="Arial" w:eastAsia="Arial" w:hAnsi="Arial"/>
                  <w:sz w:val="14"/>
                  <w:szCs w:val="14"/>
                  <w:color w:val="0000FF"/>
                </w:rPr>
                <w:t>Note 15: Income Taxes</w:t>
              </w:r>
            </w:hyperlink>
          </w:p>
        </w:tc>
        <w:tc>
          <w:tcPr>
            <w:tcW w:w="1460" w:type="dxa"/>
            <w:vAlign w:val="bottom"/>
          </w:tcPr>
          <w:p>
            <w:pPr>
              <w:jc w:val="center"/>
              <w:ind w:left="1148"/>
              <w:spacing w:after="0"/>
              <w:rPr>
                <w:rFonts w:ascii="Arial" w:cs="Arial" w:eastAsia="Arial" w:hAnsi="Arial"/>
                <w:sz w:val="14"/>
                <w:szCs w:val="14"/>
                <w:color w:val="0000FF"/>
              </w:rPr>
            </w:pPr>
            <w:hyperlink w:anchor="page89">
              <w:r>
                <w:rPr>
                  <w:rFonts w:ascii="Arial" w:cs="Arial" w:eastAsia="Arial" w:hAnsi="Arial"/>
                  <w:sz w:val="14"/>
                  <w:szCs w:val="14"/>
                  <w:color w:val="0000FF"/>
                </w:rPr>
                <w:t>88</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91">
              <w:r>
                <w:rPr>
                  <w:rFonts w:ascii="Arial" w:cs="Arial" w:eastAsia="Arial" w:hAnsi="Arial"/>
                  <w:sz w:val="14"/>
                  <w:szCs w:val="14"/>
                  <w:color w:val="0000FF"/>
                </w:rPr>
                <w:t>Note 16: Management Agreement and Affiliate Transactions</w:t>
              </w:r>
            </w:hyperlink>
          </w:p>
        </w:tc>
        <w:tc>
          <w:tcPr>
            <w:tcW w:w="1460" w:type="dxa"/>
            <w:vAlign w:val="bottom"/>
          </w:tcPr>
          <w:p>
            <w:pPr>
              <w:jc w:val="center"/>
              <w:ind w:left="1148"/>
              <w:spacing w:after="0"/>
              <w:rPr>
                <w:rFonts w:ascii="Arial" w:cs="Arial" w:eastAsia="Arial" w:hAnsi="Arial"/>
                <w:sz w:val="14"/>
                <w:szCs w:val="14"/>
                <w:color w:val="0000FF"/>
              </w:rPr>
            </w:pPr>
            <w:hyperlink w:anchor="page91">
              <w:r>
                <w:rPr>
                  <w:rFonts w:ascii="Arial" w:cs="Arial" w:eastAsia="Arial" w:hAnsi="Arial"/>
                  <w:sz w:val="14"/>
                  <w:szCs w:val="14"/>
                  <w:color w:val="0000FF"/>
                </w:rPr>
                <w:t>90</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93">
              <w:r>
                <w:rPr>
                  <w:rFonts w:ascii="Arial" w:cs="Arial" w:eastAsia="Arial" w:hAnsi="Arial"/>
                  <w:sz w:val="14"/>
                  <w:szCs w:val="14"/>
                  <w:color w:val="0000FF"/>
                </w:rPr>
                <w:t>Note 17: Segment Information</w:t>
              </w:r>
            </w:hyperlink>
          </w:p>
        </w:tc>
        <w:tc>
          <w:tcPr>
            <w:tcW w:w="1460" w:type="dxa"/>
            <w:vAlign w:val="bottom"/>
          </w:tcPr>
          <w:p>
            <w:pPr>
              <w:jc w:val="center"/>
              <w:ind w:left="1148"/>
              <w:spacing w:after="0"/>
              <w:rPr>
                <w:rFonts w:ascii="Arial" w:cs="Arial" w:eastAsia="Arial" w:hAnsi="Arial"/>
                <w:sz w:val="14"/>
                <w:szCs w:val="14"/>
                <w:color w:val="0000FF"/>
              </w:rPr>
            </w:pPr>
            <w:hyperlink w:anchor="page93">
              <w:r>
                <w:rPr>
                  <w:rFonts w:ascii="Arial" w:cs="Arial" w:eastAsia="Arial" w:hAnsi="Arial"/>
                  <w:sz w:val="14"/>
                  <w:szCs w:val="14"/>
                  <w:color w:val="0000FF"/>
                </w:rPr>
                <w:t>92</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101">
              <w:r>
                <w:rPr>
                  <w:rFonts w:ascii="Arial" w:cs="Arial" w:eastAsia="Arial" w:hAnsi="Arial"/>
                  <w:sz w:val="14"/>
                  <w:szCs w:val="14"/>
                  <w:color w:val="0000FF"/>
                </w:rPr>
                <w:t>Note 18: Earnings per Share and Equity</w:t>
              </w:r>
            </w:hyperlink>
          </w:p>
        </w:tc>
        <w:tc>
          <w:tcPr>
            <w:tcW w:w="1460" w:type="dxa"/>
            <w:vAlign w:val="bottom"/>
          </w:tcPr>
          <w:p>
            <w:pPr>
              <w:jc w:val="center"/>
              <w:ind w:left="1148"/>
              <w:spacing w:after="0"/>
              <w:rPr>
                <w:rFonts w:ascii="Arial" w:cs="Arial" w:eastAsia="Arial" w:hAnsi="Arial"/>
                <w:sz w:val="14"/>
                <w:szCs w:val="14"/>
                <w:color w:val="0000FF"/>
              </w:rPr>
            </w:pPr>
            <w:hyperlink w:anchor="page101">
              <w:r>
                <w:rPr>
                  <w:rFonts w:ascii="Arial" w:cs="Arial" w:eastAsia="Arial" w:hAnsi="Arial"/>
                  <w:sz w:val="14"/>
                  <w:szCs w:val="14"/>
                  <w:color w:val="0000FF"/>
                </w:rPr>
                <w:t>100</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102">
              <w:r>
                <w:rPr>
                  <w:rFonts w:ascii="Arial" w:cs="Arial" w:eastAsia="Arial" w:hAnsi="Arial"/>
                  <w:sz w:val="14"/>
                  <w:szCs w:val="14"/>
                  <w:color w:val="0000FF"/>
                </w:rPr>
                <w:t>Note 19: Commitments and Contingencies</w:t>
              </w:r>
            </w:hyperlink>
          </w:p>
        </w:tc>
        <w:tc>
          <w:tcPr>
            <w:tcW w:w="1460" w:type="dxa"/>
            <w:vAlign w:val="bottom"/>
          </w:tcPr>
          <w:p>
            <w:pPr>
              <w:jc w:val="center"/>
              <w:ind w:left="1148"/>
              <w:spacing w:after="0"/>
              <w:rPr>
                <w:rFonts w:ascii="Arial" w:cs="Arial" w:eastAsia="Arial" w:hAnsi="Arial"/>
                <w:sz w:val="14"/>
                <w:szCs w:val="14"/>
                <w:color w:val="0000FF"/>
              </w:rPr>
            </w:pPr>
            <w:hyperlink w:anchor="page102">
              <w:r>
                <w:rPr>
                  <w:rFonts w:ascii="Arial" w:cs="Arial" w:eastAsia="Arial" w:hAnsi="Arial"/>
                  <w:sz w:val="14"/>
                  <w:szCs w:val="14"/>
                  <w:color w:val="0000FF"/>
                </w:rPr>
                <w:t>101</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102">
              <w:r>
                <w:rPr>
                  <w:rFonts w:ascii="Arial" w:cs="Arial" w:eastAsia="Arial" w:hAnsi="Arial"/>
                  <w:sz w:val="14"/>
                  <w:szCs w:val="14"/>
                  <w:color w:val="0000FF"/>
                </w:rPr>
                <w:t>Note 20: Quarterly Financial Information (Unaudited)</w:t>
              </w:r>
            </w:hyperlink>
          </w:p>
        </w:tc>
        <w:tc>
          <w:tcPr>
            <w:tcW w:w="1460" w:type="dxa"/>
            <w:vAlign w:val="bottom"/>
          </w:tcPr>
          <w:p>
            <w:pPr>
              <w:jc w:val="center"/>
              <w:ind w:left="1148"/>
              <w:spacing w:after="0"/>
              <w:rPr>
                <w:rFonts w:ascii="Arial" w:cs="Arial" w:eastAsia="Arial" w:hAnsi="Arial"/>
                <w:sz w:val="14"/>
                <w:szCs w:val="14"/>
                <w:color w:val="0000FF"/>
              </w:rPr>
            </w:pPr>
            <w:hyperlink w:anchor="page102">
              <w:r>
                <w:rPr>
                  <w:rFonts w:ascii="Arial" w:cs="Arial" w:eastAsia="Arial" w:hAnsi="Arial"/>
                  <w:sz w:val="14"/>
                  <w:szCs w:val="14"/>
                  <w:color w:val="0000FF"/>
                </w:rPr>
                <w:t>102</w:t>
              </w:r>
            </w:hyperlink>
          </w:p>
        </w:tc>
      </w:tr>
      <w:tr>
        <w:trPr>
          <w:trHeight w:val="189"/>
        </w:trPr>
        <w:tc>
          <w:tcPr>
            <w:tcW w:w="8860" w:type="dxa"/>
            <w:vAlign w:val="bottom"/>
          </w:tcPr>
          <w:p>
            <w:pPr>
              <w:ind w:left="220"/>
              <w:spacing w:after="0"/>
              <w:rPr>
                <w:rFonts w:ascii="Arial" w:cs="Arial" w:eastAsia="Arial" w:hAnsi="Arial"/>
                <w:sz w:val="14"/>
                <w:szCs w:val="14"/>
                <w:color w:val="0000FF"/>
              </w:rPr>
            </w:pPr>
            <w:hyperlink w:anchor="page104">
              <w:r>
                <w:rPr>
                  <w:rFonts w:ascii="Arial" w:cs="Arial" w:eastAsia="Arial" w:hAnsi="Arial"/>
                  <w:sz w:val="14"/>
                  <w:szCs w:val="14"/>
                  <w:color w:val="0000FF"/>
                </w:rPr>
                <w:t>Note 21: Subsequent Events</w:t>
              </w:r>
            </w:hyperlink>
          </w:p>
        </w:tc>
        <w:tc>
          <w:tcPr>
            <w:tcW w:w="1460" w:type="dxa"/>
            <w:vAlign w:val="bottom"/>
          </w:tcPr>
          <w:p>
            <w:pPr>
              <w:jc w:val="center"/>
              <w:ind w:left="1148"/>
              <w:spacing w:after="0"/>
              <w:rPr>
                <w:rFonts w:ascii="Arial" w:cs="Arial" w:eastAsia="Arial" w:hAnsi="Arial"/>
                <w:sz w:val="14"/>
                <w:szCs w:val="14"/>
                <w:color w:val="0000FF"/>
              </w:rPr>
            </w:pPr>
            <w:hyperlink w:anchor="page104">
              <w:r>
                <w:rPr>
                  <w:rFonts w:ascii="Arial" w:cs="Arial" w:eastAsia="Arial" w:hAnsi="Arial"/>
                  <w:sz w:val="14"/>
                  <w:szCs w:val="14"/>
                  <w:color w:val="0000FF"/>
                </w:rPr>
                <w:t>103</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Changes in and Disagreements with Accountants on Accounting and Financial Disclosure</w:t>
              </w:r>
            </w:hyperlink>
          </w:p>
        </w:tc>
        <w:tc>
          <w:tcPr>
            <w:tcW w:w="1460" w:type="dxa"/>
            <w:vAlign w:val="bottom"/>
          </w:tcPr>
          <w:p>
            <w:pPr>
              <w:jc w:val="center"/>
              <w:ind w:left="1148"/>
              <w:spacing w:after="0"/>
              <w:rPr>
                <w:rFonts w:ascii="Arial" w:cs="Arial" w:eastAsia="Arial" w:hAnsi="Arial"/>
                <w:sz w:val="14"/>
                <w:szCs w:val="14"/>
                <w:color w:val="0000FF"/>
              </w:rPr>
            </w:pPr>
            <w:hyperlink w:anchor="page105">
              <w:r>
                <w:rPr>
                  <w:rFonts w:ascii="Arial" w:cs="Arial" w:eastAsia="Arial" w:hAnsi="Arial"/>
                  <w:sz w:val="14"/>
                  <w:szCs w:val="14"/>
                  <w:color w:val="0000FF"/>
                </w:rPr>
                <w:t>105</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6">
              <w:r>
                <w:rPr>
                  <w:rFonts w:ascii="Arial" w:cs="Arial" w:eastAsia="Arial" w:hAnsi="Arial"/>
                  <w:sz w:val="14"/>
                  <w:szCs w:val="14"/>
                  <w:color w:val="0000FF"/>
                </w:rPr>
                <w:t>Controls and Procedures</w:t>
              </w:r>
            </w:hyperlink>
          </w:p>
        </w:tc>
        <w:tc>
          <w:tcPr>
            <w:tcW w:w="1460" w:type="dxa"/>
            <w:vAlign w:val="bottom"/>
          </w:tcPr>
          <w:p>
            <w:pPr>
              <w:jc w:val="center"/>
              <w:ind w:left="1148"/>
              <w:spacing w:after="0"/>
              <w:rPr>
                <w:rFonts w:ascii="Arial" w:cs="Arial" w:eastAsia="Arial" w:hAnsi="Arial"/>
                <w:sz w:val="14"/>
                <w:szCs w:val="14"/>
                <w:color w:val="0000FF"/>
              </w:rPr>
            </w:pPr>
            <w:hyperlink w:anchor="page106">
              <w:r>
                <w:rPr>
                  <w:rFonts w:ascii="Arial" w:cs="Arial" w:eastAsia="Arial" w:hAnsi="Arial"/>
                  <w:sz w:val="14"/>
                  <w:szCs w:val="14"/>
                  <w:color w:val="0000FF"/>
                </w:rPr>
                <w:t>105</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7">
              <w:r>
                <w:rPr>
                  <w:rFonts w:ascii="Arial" w:cs="Arial" w:eastAsia="Arial" w:hAnsi="Arial"/>
                  <w:sz w:val="14"/>
                  <w:szCs w:val="14"/>
                  <w:color w:val="0000FF"/>
                </w:rPr>
                <w:t>Other Information</w:t>
              </w:r>
            </w:hyperlink>
          </w:p>
        </w:tc>
        <w:tc>
          <w:tcPr>
            <w:tcW w:w="1460" w:type="dxa"/>
            <w:vAlign w:val="bottom"/>
          </w:tcPr>
          <w:p>
            <w:pPr>
              <w:jc w:val="center"/>
              <w:ind w:left="1148"/>
              <w:spacing w:after="0"/>
              <w:rPr>
                <w:rFonts w:ascii="Arial" w:cs="Arial" w:eastAsia="Arial" w:hAnsi="Arial"/>
                <w:sz w:val="14"/>
                <w:szCs w:val="14"/>
                <w:color w:val="0000FF"/>
              </w:rPr>
            </w:pPr>
            <w:hyperlink w:anchor="page107">
              <w:r>
                <w:rPr>
                  <w:rFonts w:ascii="Arial" w:cs="Arial" w:eastAsia="Arial" w:hAnsi="Arial"/>
                  <w:sz w:val="14"/>
                  <w:szCs w:val="14"/>
                  <w:color w:val="0000FF"/>
                </w:rPr>
                <w:t>106</w:t>
              </w:r>
            </w:hyperlink>
          </w:p>
        </w:tc>
      </w:tr>
      <w:tr>
        <w:trPr>
          <w:trHeight w:val="203"/>
        </w:trPr>
        <w:tc>
          <w:tcPr>
            <w:tcW w:w="8860" w:type="dxa"/>
            <w:vAlign w:val="bottom"/>
          </w:tcPr>
          <w:p>
            <w:pPr>
              <w:jc w:val="center"/>
              <w:ind w:left="968"/>
              <w:spacing w:after="0"/>
              <w:rPr>
                <w:sz w:val="20"/>
                <w:szCs w:val="20"/>
                <w:color w:val="auto"/>
              </w:rPr>
            </w:pPr>
            <w:r>
              <w:rPr>
                <w:rFonts w:ascii="Arial" w:cs="Arial" w:eastAsia="Arial" w:hAnsi="Arial"/>
                <w:sz w:val="14"/>
                <w:szCs w:val="14"/>
                <w:b w:val="1"/>
                <w:bCs w:val="1"/>
                <w:color w:val="00497F"/>
              </w:rPr>
              <w:t>PART III</w:t>
            </w:r>
          </w:p>
        </w:tc>
        <w:tc>
          <w:tcPr>
            <w:tcW w:w="1460" w:type="dxa"/>
            <w:vAlign w:val="bottom"/>
          </w:tcPr>
          <w:p>
            <w:pPr>
              <w:spacing w:after="0"/>
              <w:rPr>
                <w:sz w:val="17"/>
                <w:szCs w:val="17"/>
                <w:color w:val="auto"/>
              </w:rPr>
            </w:pPr>
          </w:p>
        </w:tc>
      </w:tr>
      <w:tr>
        <w:trPr>
          <w:trHeight w:val="230"/>
        </w:trPr>
        <w:tc>
          <w:tcPr>
            <w:tcW w:w="8860" w:type="dxa"/>
            <w:vAlign w:val="bottom"/>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Directors, Executive Officers and Corporate Governance</w:t>
              </w:r>
            </w:hyperlink>
          </w:p>
        </w:tc>
        <w:tc>
          <w:tcPr>
            <w:tcW w:w="1460" w:type="dxa"/>
            <w:vAlign w:val="bottom"/>
          </w:tcPr>
          <w:p>
            <w:pPr>
              <w:jc w:val="center"/>
              <w:ind w:left="1148"/>
              <w:spacing w:after="0"/>
              <w:rPr>
                <w:rFonts w:ascii="Arial" w:cs="Arial" w:eastAsia="Arial" w:hAnsi="Arial"/>
                <w:sz w:val="14"/>
                <w:szCs w:val="14"/>
                <w:color w:val="0000FF"/>
              </w:rPr>
            </w:pPr>
            <w:hyperlink w:anchor="page108">
              <w:r>
                <w:rPr>
                  <w:rFonts w:ascii="Arial" w:cs="Arial" w:eastAsia="Arial" w:hAnsi="Arial"/>
                  <w:sz w:val="14"/>
                  <w:szCs w:val="14"/>
                  <w:color w:val="0000FF"/>
                </w:rPr>
                <w:t>107</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Executive Compensation</w:t>
              </w:r>
            </w:hyperlink>
          </w:p>
        </w:tc>
        <w:tc>
          <w:tcPr>
            <w:tcW w:w="1460" w:type="dxa"/>
            <w:vAlign w:val="bottom"/>
          </w:tcPr>
          <w:p>
            <w:pPr>
              <w:jc w:val="center"/>
              <w:ind w:left="1148"/>
              <w:spacing w:after="0"/>
              <w:rPr>
                <w:rFonts w:ascii="Arial" w:cs="Arial" w:eastAsia="Arial" w:hAnsi="Arial"/>
                <w:sz w:val="14"/>
                <w:szCs w:val="14"/>
                <w:color w:val="0000FF"/>
              </w:rPr>
            </w:pPr>
            <w:hyperlink w:anchor="page108">
              <w:r>
                <w:rPr>
                  <w:rFonts w:ascii="Arial" w:cs="Arial" w:eastAsia="Arial" w:hAnsi="Arial"/>
                  <w:sz w:val="14"/>
                  <w:szCs w:val="14"/>
                  <w:color w:val="0000FF"/>
                </w:rPr>
                <w:t>107</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Security Ownership of Certain Beneficial Owners and Management and Related Stockholder Matters</w:t>
              </w:r>
            </w:hyperlink>
          </w:p>
        </w:tc>
        <w:tc>
          <w:tcPr>
            <w:tcW w:w="1460" w:type="dxa"/>
            <w:vAlign w:val="bottom"/>
          </w:tcPr>
          <w:p>
            <w:pPr>
              <w:jc w:val="center"/>
              <w:ind w:left="1148"/>
              <w:spacing w:after="0"/>
              <w:rPr>
                <w:rFonts w:ascii="Arial" w:cs="Arial" w:eastAsia="Arial" w:hAnsi="Arial"/>
                <w:sz w:val="14"/>
                <w:szCs w:val="14"/>
                <w:color w:val="0000FF"/>
              </w:rPr>
            </w:pPr>
            <w:hyperlink w:anchor="page108">
              <w:r>
                <w:rPr>
                  <w:rFonts w:ascii="Arial" w:cs="Arial" w:eastAsia="Arial" w:hAnsi="Arial"/>
                  <w:sz w:val="14"/>
                  <w:szCs w:val="14"/>
                  <w:color w:val="0000FF"/>
                </w:rPr>
                <w:t>107</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Certain Relationships and Related Transactions, and Director Independence</w:t>
              </w:r>
            </w:hyperlink>
          </w:p>
        </w:tc>
        <w:tc>
          <w:tcPr>
            <w:tcW w:w="1460" w:type="dxa"/>
            <w:vAlign w:val="bottom"/>
          </w:tcPr>
          <w:p>
            <w:pPr>
              <w:jc w:val="center"/>
              <w:ind w:left="1148"/>
              <w:spacing w:after="0"/>
              <w:rPr>
                <w:rFonts w:ascii="Arial" w:cs="Arial" w:eastAsia="Arial" w:hAnsi="Arial"/>
                <w:sz w:val="14"/>
                <w:szCs w:val="14"/>
                <w:color w:val="0000FF"/>
              </w:rPr>
            </w:pPr>
            <w:hyperlink w:anchor="page108">
              <w:r>
                <w:rPr>
                  <w:rFonts w:ascii="Arial" w:cs="Arial" w:eastAsia="Arial" w:hAnsi="Arial"/>
                  <w:sz w:val="14"/>
                  <w:szCs w:val="14"/>
                  <w:color w:val="0000FF"/>
                </w:rPr>
                <w:t>107</w:t>
              </w:r>
            </w:hyperlink>
          </w:p>
        </w:tc>
      </w:tr>
      <w:tr>
        <w:trPr>
          <w:trHeight w:val="216"/>
        </w:trPr>
        <w:tc>
          <w:tcPr>
            <w:tcW w:w="8860" w:type="dxa"/>
            <w:vAlign w:val="bottom"/>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Principal Accountant Fees and Services</w:t>
              </w:r>
            </w:hyperlink>
          </w:p>
        </w:tc>
        <w:tc>
          <w:tcPr>
            <w:tcW w:w="1460" w:type="dxa"/>
            <w:vAlign w:val="bottom"/>
          </w:tcPr>
          <w:p>
            <w:pPr>
              <w:jc w:val="center"/>
              <w:ind w:left="1148"/>
              <w:spacing w:after="0"/>
              <w:rPr>
                <w:rFonts w:ascii="Arial" w:cs="Arial" w:eastAsia="Arial" w:hAnsi="Arial"/>
                <w:sz w:val="14"/>
                <w:szCs w:val="14"/>
                <w:color w:val="0000FF"/>
              </w:rPr>
            </w:pPr>
            <w:hyperlink w:anchor="page108">
              <w:r>
                <w:rPr>
                  <w:rFonts w:ascii="Arial" w:cs="Arial" w:eastAsia="Arial" w:hAnsi="Arial"/>
                  <w:sz w:val="14"/>
                  <w:szCs w:val="14"/>
                  <w:color w:val="0000FF"/>
                </w:rPr>
                <w:t>107</w:t>
              </w:r>
            </w:hyperlink>
          </w:p>
        </w:tc>
      </w:tr>
      <w:tr>
        <w:trPr>
          <w:trHeight w:val="203"/>
        </w:trPr>
        <w:tc>
          <w:tcPr>
            <w:tcW w:w="8860" w:type="dxa"/>
            <w:vAlign w:val="bottom"/>
          </w:tcPr>
          <w:p>
            <w:pPr>
              <w:jc w:val="center"/>
              <w:ind w:left="968"/>
              <w:spacing w:after="0"/>
              <w:rPr>
                <w:sz w:val="20"/>
                <w:szCs w:val="20"/>
                <w:color w:val="auto"/>
              </w:rPr>
            </w:pPr>
            <w:r>
              <w:rPr>
                <w:rFonts w:ascii="Arial" w:cs="Arial" w:eastAsia="Arial" w:hAnsi="Arial"/>
                <w:sz w:val="14"/>
                <w:szCs w:val="14"/>
                <w:b w:val="1"/>
                <w:bCs w:val="1"/>
                <w:color w:val="00497F"/>
                <w:w w:val="97"/>
              </w:rPr>
              <w:t>PART IV</w:t>
            </w:r>
          </w:p>
        </w:tc>
        <w:tc>
          <w:tcPr>
            <w:tcW w:w="1460" w:type="dxa"/>
            <w:vAlign w:val="bottom"/>
          </w:tcPr>
          <w:p>
            <w:pPr>
              <w:spacing w:after="0"/>
              <w:rPr>
                <w:sz w:val="17"/>
                <w:szCs w:val="17"/>
                <w:color w:val="auto"/>
              </w:rPr>
            </w:pPr>
          </w:p>
        </w:tc>
      </w:tr>
      <w:tr>
        <w:trPr>
          <w:trHeight w:val="230"/>
        </w:trPr>
        <w:tc>
          <w:tcPr>
            <w:tcW w:w="8860" w:type="dxa"/>
            <w:vAlign w:val="bottom"/>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Exhibits</w:t>
              </w:r>
            </w:hyperlink>
          </w:p>
        </w:tc>
        <w:tc>
          <w:tcPr>
            <w:tcW w:w="1460" w:type="dxa"/>
            <w:vAlign w:val="bottom"/>
          </w:tcPr>
          <w:p>
            <w:pPr>
              <w:jc w:val="center"/>
              <w:ind w:left="1148"/>
              <w:spacing w:after="0"/>
              <w:rPr>
                <w:rFonts w:ascii="Arial" w:cs="Arial" w:eastAsia="Arial" w:hAnsi="Arial"/>
                <w:sz w:val="14"/>
                <w:szCs w:val="14"/>
                <w:color w:val="0000FF"/>
              </w:rPr>
            </w:pPr>
            <w:hyperlink w:anchor="page108">
              <w:r>
                <w:rPr>
                  <w:rFonts w:ascii="Arial" w:cs="Arial" w:eastAsia="Arial" w:hAnsi="Arial"/>
                  <w:sz w:val="14"/>
                  <w:szCs w:val="14"/>
                  <w:color w:val="0000FF"/>
                </w:rPr>
                <w:t>107</w:t>
              </w:r>
            </w:hyperlink>
          </w:p>
        </w:tc>
      </w:tr>
      <w:tr>
        <w:trPr>
          <w:trHeight w:val="216"/>
        </w:trPr>
        <w:tc>
          <w:tcPr>
            <w:tcW w:w="8860" w:type="dxa"/>
            <w:vAlign w:val="bottom"/>
          </w:tcPr>
          <w:p>
            <w:pPr>
              <w:spacing w:after="0"/>
              <w:rPr>
                <w:rFonts w:ascii="Arial" w:cs="Arial" w:eastAsia="Arial" w:hAnsi="Arial"/>
                <w:sz w:val="14"/>
                <w:szCs w:val="14"/>
                <w:color w:val="0000FF"/>
              </w:rPr>
            </w:pPr>
            <w:hyperlink w:anchor="page111">
              <w:r>
                <w:rPr>
                  <w:rFonts w:ascii="Arial" w:cs="Arial" w:eastAsia="Arial" w:hAnsi="Arial"/>
                  <w:sz w:val="14"/>
                  <w:szCs w:val="14"/>
                  <w:color w:val="0000FF"/>
                </w:rPr>
                <w:t>Form 10-K Summary</w:t>
              </w:r>
            </w:hyperlink>
          </w:p>
        </w:tc>
        <w:tc>
          <w:tcPr>
            <w:tcW w:w="1460" w:type="dxa"/>
            <w:vAlign w:val="bottom"/>
          </w:tcPr>
          <w:p>
            <w:pPr>
              <w:jc w:val="center"/>
              <w:ind w:left="1148"/>
              <w:spacing w:after="0"/>
              <w:rPr>
                <w:rFonts w:ascii="Arial" w:cs="Arial" w:eastAsia="Arial" w:hAnsi="Arial"/>
                <w:sz w:val="14"/>
                <w:szCs w:val="14"/>
                <w:color w:val="0000FF"/>
              </w:rPr>
            </w:pPr>
            <w:hyperlink w:anchor="page111">
              <w:r>
                <w:rPr>
                  <w:rFonts w:ascii="Arial" w:cs="Arial" w:eastAsia="Arial" w:hAnsi="Arial"/>
                  <w:sz w:val="14"/>
                  <w:szCs w:val="14"/>
                  <w:color w:val="0000FF"/>
                </w:rPr>
                <w:t>110</w:t>
              </w:r>
            </w:hyperlink>
          </w:p>
        </w:tc>
      </w:tr>
      <w:tr>
        <w:trPr>
          <w:trHeight w:val="189"/>
        </w:trPr>
        <w:tc>
          <w:tcPr>
            <w:tcW w:w="8860" w:type="dxa"/>
            <w:vAlign w:val="bottom"/>
          </w:tcPr>
          <w:p>
            <w:pPr>
              <w:spacing w:after="0"/>
              <w:rPr>
                <w:rFonts w:ascii="Arial" w:cs="Arial" w:eastAsia="Arial" w:hAnsi="Arial"/>
                <w:sz w:val="14"/>
                <w:szCs w:val="14"/>
                <w:color w:val="0000FF"/>
              </w:rPr>
            </w:pPr>
            <w:hyperlink w:anchor="page111">
              <w:r>
                <w:rPr>
                  <w:rFonts w:ascii="Arial" w:cs="Arial" w:eastAsia="Arial" w:hAnsi="Arial"/>
                  <w:sz w:val="14"/>
                  <w:szCs w:val="14"/>
                  <w:color w:val="0000FF"/>
                </w:rPr>
                <w:t>Signatures</w:t>
              </w:r>
            </w:hyperlink>
          </w:p>
        </w:tc>
        <w:tc>
          <w:tcPr>
            <w:tcW w:w="1460" w:type="dxa"/>
            <w:vAlign w:val="bottom"/>
          </w:tcPr>
          <w:p>
            <w:pPr>
              <w:jc w:val="center"/>
              <w:ind w:left="1148"/>
              <w:spacing w:after="0"/>
              <w:rPr>
                <w:rFonts w:ascii="Arial" w:cs="Arial" w:eastAsia="Arial" w:hAnsi="Arial"/>
                <w:sz w:val="14"/>
                <w:szCs w:val="14"/>
                <w:color w:val="0000FF"/>
              </w:rPr>
            </w:pPr>
            <w:hyperlink w:anchor="page111">
              <w:r>
                <w:rPr>
                  <w:rFonts w:ascii="Arial" w:cs="Arial" w:eastAsia="Arial" w:hAnsi="Arial"/>
                  <w:sz w:val="14"/>
                  <w:szCs w:val="14"/>
                  <w:color w:val="0000FF"/>
                </w:rPr>
                <w:t>110</w:t>
              </w:r>
            </w:hyperlink>
          </w:p>
        </w:tc>
      </w:tr>
    </w:tbl>
    <w:p>
      <w:pPr>
        <w:spacing w:after="0" w:line="200" w:lineRule="exact"/>
        <w:rPr>
          <w:sz w:val="20"/>
          <w:szCs w:val="20"/>
          <w:color w:val="auto"/>
        </w:rPr>
      </w:pPr>
    </w:p>
    <w:p>
      <w:pPr>
        <w:sectPr>
          <w:pgSz w:w="11900" w:h="16838" w:orient="portrait"/>
          <w:cols w:equalWidth="0" w:num="2">
            <w:col w:w="540" w:space="360"/>
            <w:col w:w="10320"/>
          </w:cols>
          <w:pgMar w:left="260" w:top="93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60" w:top="932" w:right="41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00497F"/>
        </w:rPr>
        <w:t>FORWARD-LOOKING STATEMENTS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98" w:lineRule="exact"/>
        <w:rPr>
          <w:sz w:val="20"/>
          <w:szCs w:val="20"/>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 w:name="page5"/>
    <w:bookmarkEnd w:id="4"/>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Fortress Transportation and Infrastructure Investors LLC, a Delaware limited liability company, was formed on February 19, 2014. Except as otherwise specified, “FTAI”, “we”, “us”, “our”, or “the Company” refer to us and our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approximately 0.05% of Holdco and is the general partner of Holdco, which was formed on May 9, 2011 and commenced operations on June 23, 2011.</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externally managed by FIG LLC (the “Manager”), an affiliate of Fortress Investment Group LLC (“Fortress”), which has a dedicated team of experienced professionals focused on the acquisition of transportation and infrastructure assets since 2002. On December 27, 2017, SoftBank Group Corp. (“SoftBank”) announced that it completed its previously announced acquisition of Fortress (the “SoftBank Merger”). In connection with the SoftBank Merger, Fortress operates within SoftBank as an independent business headquartered in New York.</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As of December 31, 2019, we had total consolidated assets of $3.2 billion and total equity of $1.3 billion.</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293370</wp:posOffset>
            </wp:positionV>
            <wp:extent cx="5257165" cy="6586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658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13" w:lineRule="exact"/>
        <w:rPr>
          <w:sz w:val="20"/>
          <w:szCs w:val="20"/>
          <w:color w:val="auto"/>
        </w:rPr>
      </w:pPr>
    </w:p>
    <w:p>
      <w:pPr>
        <w:ind w:left="660" w:hanging="328"/>
        <w:spacing w:after="0" w:line="26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Jefferson Terminal and Ports and Terminals are included in our Infrastructure Business; Aviation Leasing is included in our Equipment Leasing Business.</w:t>
      </w:r>
    </w:p>
    <w:p>
      <w:pPr>
        <w:sectPr>
          <w:pgSz w:w="11900" w:h="16838" w:orient="portrait"/>
          <w:cols w:equalWidth="0" w:num="1">
            <w:col w:w="11420"/>
          </w:cols>
          <w:pgMar w:left="240" w:top="10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0497F"/>
        </w:rPr>
        <w:t>Our Strategy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invest across a number of major sectors within the transportation industry, including aviation, energy, intermodal transport and ports and terminals,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Within each sector, we consider investments in operating infrastructure as well as in equipment that we lease to operators.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 While leverage on any individual asset may vary, we target overall leverage for our assets on a consolidated basis of no greater than 50% of total capital.</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in connection with our initial public offering (“IPO”), we entered into a new management agreement with the Manager (the “Management Agreement”), an affiliate of Fortress, pursuant to which 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refer to Note 16 of our consolidated financial statements included in Item 8 in this Annual Report on Form 10-K for further details regarding our Management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Our Portfolio</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ports and terminals. We target assets that, on a combined basis, generate strong and stable cash flows with the potential for earnings growth and asset appreciation.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Leasing Equipment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Aviation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in our Aviation Leasing segment, we own and manage 238 aviation assets, including 74 aircraft and 164 commercial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2019, 69 of our commercial aircraft and 108 of our engines were leased to operators or other third parties. Aviation assets currently off lease are either undergoing repair and/or maintenance, being prepared to go on lease or held in short term storage awaiting a future lease. Our aviation equipment was approximately 80% utilized as of December 31, 2019, based on the equity value of our on-hire leasing equipment as a percentage of the total equity value of our aviation leasing equipment. Our aircraft currently have a weighted average remaining lease term of 29 months, and our engines currently on-lease have an average remaining lease term of 10 months. The table below provides additional information on the assets in our Aviation Leasing segment:</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shd w:val="clear" w:color="auto" w:fill="00497F"/>
          </w:tcPr>
          <w:p>
            <w:pPr>
              <w:spacing w:after="0"/>
              <w:rPr>
                <w:sz w:val="18"/>
                <w:szCs w:val="18"/>
                <w:color w:val="auto"/>
              </w:rPr>
            </w:pPr>
          </w:p>
        </w:tc>
        <w:tc>
          <w:tcPr>
            <w:tcW w:w="58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28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46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1340" w:type="dxa"/>
            <w:vAlign w:val="bottom"/>
            <w:shd w:val="clear" w:color="auto" w:fill="00497F"/>
          </w:tcPr>
          <w:p>
            <w:pPr>
              <w:ind w:left="460"/>
              <w:spacing w:after="0"/>
              <w:rPr>
                <w:sz w:val="20"/>
                <w:szCs w:val="20"/>
                <w:color w:val="auto"/>
              </w:rPr>
            </w:pPr>
            <w:r>
              <w:rPr>
                <w:rFonts w:ascii="Arial" w:cs="Arial" w:eastAsia="Arial" w:hAnsi="Arial"/>
                <w:sz w:val="14"/>
                <w:szCs w:val="14"/>
                <w:b w:val="1"/>
                <w:bCs w:val="1"/>
                <w:color w:val="FFFFFF"/>
              </w:rPr>
              <w:t>Narrowbody</w:t>
            </w:r>
          </w:p>
        </w:tc>
        <w:tc>
          <w:tcPr>
            <w:tcW w:w="42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1780" w:type="dxa"/>
            <w:vAlign w:val="bottom"/>
            <w:shd w:val="clear" w:color="auto" w:fill="00497F"/>
          </w:tcPr>
          <w:p>
            <w:pPr>
              <w:jc w:val="right"/>
              <w:ind w:right="648"/>
              <w:spacing w:after="0"/>
              <w:rPr>
                <w:sz w:val="20"/>
                <w:szCs w:val="20"/>
                <w:color w:val="auto"/>
              </w:rPr>
            </w:pPr>
            <w:r>
              <w:rPr>
                <w:rFonts w:ascii="Arial" w:cs="Arial" w:eastAsia="Arial" w:hAnsi="Arial"/>
                <w:sz w:val="14"/>
                <w:szCs w:val="14"/>
                <w:b w:val="1"/>
                <w:bCs w:val="1"/>
                <w:color w:val="FFFFFF"/>
              </w:rPr>
              <w:t>Total</w:t>
            </w:r>
          </w:p>
        </w:tc>
      </w:tr>
      <w:tr>
        <w:trPr>
          <w:trHeight w:val="176"/>
        </w:trPr>
        <w:tc>
          <w:tcPr>
            <w:tcW w:w="20" w:type="dxa"/>
            <w:vAlign w:val="bottom"/>
          </w:tcPr>
          <w:p>
            <w:pPr>
              <w:spacing w:after="0"/>
              <w:rPr>
                <w:sz w:val="15"/>
                <w:szCs w:val="15"/>
                <w:color w:val="auto"/>
              </w:rPr>
            </w:pPr>
          </w:p>
        </w:tc>
        <w:tc>
          <w:tcPr>
            <w:tcW w:w="5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2019</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70</w:t>
            </w:r>
          </w:p>
        </w:tc>
      </w:tr>
      <w:tr>
        <w:trPr>
          <w:trHeight w:val="210"/>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28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31</w:t>
            </w:r>
          </w:p>
        </w:tc>
      </w:tr>
      <w:tr>
        <w:trPr>
          <w:trHeight w:val="222"/>
        </w:trPr>
        <w:tc>
          <w:tcPr>
            <w:tcW w:w="20" w:type="dxa"/>
            <w:vAlign w:val="bottom"/>
            <w:shd w:val="clear" w:color="auto" w:fill="CCEEFF"/>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r>
      <w:tr>
        <w:trPr>
          <w:trHeight w:val="210"/>
        </w:trPr>
        <w:tc>
          <w:tcPr>
            <w:tcW w:w="20" w:type="dxa"/>
            <w:vAlign w:val="bottom"/>
            <w:tcBorders>
              <w:bottom w:val="single" w:sz="8" w:color="CCEEFF"/>
            </w:tcBorders>
          </w:tcPr>
          <w:p>
            <w:pPr>
              <w:spacing w:after="0"/>
              <w:rPr>
                <w:sz w:val="18"/>
                <w:szCs w:val="18"/>
                <w:color w:val="auto"/>
              </w:rPr>
            </w:pPr>
          </w:p>
        </w:tc>
        <w:tc>
          <w:tcPr>
            <w:tcW w:w="58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Transfers</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2019</w:t>
            </w:r>
          </w:p>
        </w:tc>
        <w:tc>
          <w:tcPr>
            <w:tcW w:w="1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74</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w w:val="99"/>
              </w:rPr>
              <w:t>Engines</w:t>
            </w:r>
          </w:p>
        </w:tc>
        <w:tc>
          <w:tcPr>
            <w:tcW w:w="5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2019</w:t>
            </w:r>
          </w:p>
        </w:tc>
        <w:tc>
          <w:tcPr>
            <w:tcW w:w="128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8"/>
                <w:szCs w:val="18"/>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b w:val="1"/>
                <w:bCs w:val="1"/>
                <w:color w:val="auto"/>
              </w:rPr>
              <w:t>142</w:t>
            </w:r>
          </w:p>
        </w:tc>
      </w:tr>
      <w:tr>
        <w:trPr>
          <w:trHeight w:val="222"/>
        </w:trPr>
        <w:tc>
          <w:tcPr>
            <w:tcW w:w="20" w:type="dxa"/>
            <w:vAlign w:val="bottom"/>
            <w:shd w:val="clear" w:color="auto" w:fill="CCEEFF"/>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r>
      <w:tr>
        <w:trPr>
          <w:trHeight w:val="210"/>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4"/>
                <w:szCs w:val="14"/>
                <w:color w:val="auto"/>
              </w:rPr>
              <w:t>Sales</w:t>
            </w:r>
          </w:p>
        </w:tc>
        <w:tc>
          <w:tcPr>
            <w:tcW w:w="128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(58)</w:t>
            </w: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r>
      <w:tr>
        <w:trPr>
          <w:trHeight w:val="210"/>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2019</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164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Jefferson Terminal</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2014, we and certain other Fortress affiliates purchased substantially all of the assets and assumed certain liabilities of Jefferson Terminal (“Jefferson”), a Texas-based group of companies developing crude oil and refined products logistics assets. As of December 31, 2019, Jefferson is wholly owned by us and certain Fortress affiliates.</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Jefferson Terminal is located on approximately 250 acres of land at the Port of Beaumont, Texas (the “Port”). Today, Jefferson leases 185 acres from the Port. As part of the lease, Jefferson was granted the concession to operate as the sole handler of liquid hydrocarbons at the Port. Jefferson does not own any land at Jefferson Terminal, but does own certain equipment and leasehold improvements carried out as part of the Jefferson Terminal build-out.</w:t>
      </w:r>
    </w:p>
    <w:p>
      <w:pPr>
        <w:spacing w:after="0" w:line="9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Jefferson Terminal is developing a large multi-modal crude oil and refined products handling terminal at the Port and also owns several other assets for the transportation and processing of crude oil and related products. Jefferson Terminal has a unique combination of direct rail service from three Class I railroads, barge docks and deep water ship loading capacity, capabilities to handle multiple types of products including refined products and both free-flowing crude oil and bitumen, and a prime location close to Port Arthur and Lake Charles, which are home to refineries with over 2.3 million barrels per day of capacity. Today, Jefferson Terminal has approximately 4.4</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of storage tanks in operation. As we secure new storage/handling contracts, we expect to expand storage capacity and/or develop new assets. The timing of the ultimate development of Jefferson Terminal will be dependent, in part, on the pace at which contracts are executed as well as the amount of volume subject to such contracts.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8" w:name="page9"/>
    <w:bookmarkEnd w:id="8"/>
    <w:p>
      <w:pPr>
        <w:jc w:val="both"/>
        <w:spacing w:after="0" w:line="248" w:lineRule="auto"/>
        <w:rPr>
          <w:sz w:val="20"/>
          <w:szCs w:val="20"/>
          <w:color w:val="auto"/>
        </w:rPr>
      </w:pPr>
      <w:r>
        <w:rPr>
          <w:rFonts w:ascii="Arial" w:cs="Arial" w:eastAsia="Arial" w:hAnsi="Arial"/>
          <w:sz w:val="16"/>
          <w:szCs w:val="16"/>
          <w:color w:val="auto"/>
        </w:rPr>
        <w:t>Jefferson Terminal’s prime location and excellent optionality make it well suited to provide logistics solutions to regional and global refineries, including blending, storage and delivery of crude oil and refined products. Heavy crude oil from Western Canada is in high demand on the Gulf Coast because most refineries in the area are configured to handle heavier crudes (previously sourced predominately from Mexico and Venezuela) than those in other parts of the United States. Canadian conventionally produced heavy crude is well suited for transport by rail rather than pipeline because of its high viscosity. Jefferson Terminal is one of only a few terminals on the Gulf Coast that has heated unloading system capabilities to handle this type of heavy crude. As the production of Western Canadian crude oil grows in excess of existing pipeline capacity, demand for crude-by-rail to the Gulf Coast is expected to increase. Refined products opportunities for storage and logistics are expected to continue to be positively impacted by Mexico deregulating its imports of both gasoline and diesel.</w:t>
      </w:r>
    </w:p>
    <w:p>
      <w:pPr>
        <w:spacing w:after="0" w:line="10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Jefferson Terminal operates an unheated crude oil unloading system, which has the capacity to discharge a unit train of up to 114 cars, and a heated crude oil unloading system which has the capacity to unload a unit train of up to 128 cars of high viscosity crude oil. Jefferson Terminal has storage tanks with capacity to hold approximately 3.7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configured for crude oil in service. Of the 3.7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0.8</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and 1.4</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were brought online in 2019, in April and October, respectively.</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6"/>
          <w:szCs w:val="16"/>
          <w:color w:val="auto"/>
        </w:rPr>
        <w:t>Mexican demand for U.S.-sourced refined products continues to increase, however Mexico lacks the infrastructure required to efficiently import, store and distribute large volumes of gasoline and diesel. This has spurred the rapid build-out of new Mexican transloading rail terminals, as well as storage capacity on both sides of the U.S.-Mexico border. To meet such increased demand, Jefferson operates a refined products system which receives three grades of products by inland tank barge via the barge dock, stores the cargo in six tanks with a combined capacity of approximately 0.7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and operates a 20 spot rail car loading system with the capacity to load approximately 40,000 barrels per day. This system may be further expanded to meet additional market demand.</w:t>
      </w:r>
    </w:p>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Expansion projects currently under various stages of construction include: (1) three pipeline projects with diameters of 10” to 24” being built to move crude and other refined products to and from customers outside the Jefferson Terminal; (2) an electrical substation and a pump station to support pipeline operations; (3) conversion of rail track previously used for ethanol service to crude oil service; and (4) a rail expansion of approximately 24,850 feet of new track to maximize Jefferson Terminal’s Class I rail services. As of early 2020, the rail expansion and ethanol unloading rack conversion projects are substantially complete. The majority of the pipeline expansions are expected to be completed in 2020. Completion of construction is subject to a number of factors, some of which are beyond our control, and there can be no assurance that we will not experience delays.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Jefferson Terminal, Jefferson owns several other energy and transportation-related assets, including 300 tank railcars which are leased to third parties; a gas processing and condensate stabilization plant; pipeline rights-of-way; and a private inland marine terminal property all of which can be developed. These assets can be deployed or developed in the future to meet market demands for transportation and hydrocarbon processing, and if successfully deployed or developed, may represent additional opportunities to generate stable, recurring cash flow. As we secure customer contracts, we expect to invest equity capital to fund working capital needs and future construction, which may be required.</w:t>
      </w:r>
    </w:p>
    <w:p>
      <w:pPr>
        <w:spacing w:after="0" w:line="8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All storage tank capacities refer to shell-tank capacity.</w:t>
      </w:r>
    </w:p>
    <w:p>
      <w:pPr>
        <w:spacing w:after="0" w:line="78"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i w:val="1"/>
          <w:iCs w:val="1"/>
          <w:color w:val="auto"/>
        </w:rPr>
        <w:t>Long Ridge Energy Terminal</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2017, through Ohio River Partners Shareholder LLC (“ORP”), a consolidated subsidiary, we purchased 100% of the interests in the assets of Long Ridge which consisted primarily of land, buildings, railroad track, docks, water rights, site improvements and other rights. In December 2019, ORP contributed its equity interests in Long Ridge into Long Ridge Terminal LLC and sold a 49.9% interest for $150 million in cash, plus an earn out. We no longer have a controlling interest in Long Ridge but still maintain significant influence through our retained interest and, therefore, now account for this investment in accordance with the equity method.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Repauno</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We currently hold an approximately 98% economic interest, which includes the additional 8% economic interest we purchased from non-controlling interest holders in DRP for $4.5 million in April 2019, and a 100% voting interest in DRP. DRP is solely reliant on us to finance its activities and therefore is a variable interest entity (“VIE”). We concluded that we are the primary beneficiary and, accordingly, DRP has been presented on a consolidated basis in the accompanying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Corporate and Other</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to the above investments, our Corporate and Other segment includes (i) offshore energy related assets which consist of vessels and equipment that support offshore oil and gas activities and are typically subject to long-term operating leases, (ii) an investment in an unconsolidated entity engaged in the leasing of shipping containers on both an operating lease and finance lease basis and (iii) railroad assets retained after the December 2019 sale of our railroad business, which consists of equipment that support a railcar cleaning business.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0497F"/>
        </w:rPr>
        <w:t>Asset Management</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Invoices from each of our customers are typically issued and collected on a monthly basis.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these engines and support airlines’ fleet management needs.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Credit Process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periodic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consist of global operators of transportation and infrastructure networks, including airlines,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 Given our limited operating history, a substantial portion of our revenue has historically been derived from a small number of customers. For the year ended December 31, 2019, we earned approximately 19% of our revenue from our largest customer.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 and operators.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0497F"/>
        </w:rPr>
        <w:t>Environmental Regulations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Employees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and as a result, as of December 31, 2019, we have no employees other than 70 individuals employed by Jefferson, three individuals employed by the Offshore Energy segment and ten individuals employed by Repauno. From time to time, certain of our officers may enter into written agreements with us that memorialize the provision of certain services; these agreements do not provide for the payment of any cash compensation to such officers from us. The employees of our Manager are not a party to any collective bargaining agreement. In addition, our Manager expects to utilize third party contractors to perform services and functions related to the operation and leasing of our assets such as aircraft, jet engines and shipping containers. These functions may include billing, collections, recovery and asset monitoring.</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See “Risk Factors-Risks Related to Our Manager-There are conflicts of interest in our relationship with our Manager.”</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Our SEC filings are available to the public from the SEC’s internet site at http://www.sec.gov.</w:t>
      </w:r>
    </w:p>
    <w:p>
      <w:pPr>
        <w:spacing w:after="0" w:line="2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general demand for the type of assets that we purchase;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general macroeconomic conditions, including market prices for commodities that our assets may serve;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geopolitical events, including war, prolonged armed conflict and acts of terrorism;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outbreaks of communicable diseases and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governmental regulation;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interest rates;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availability of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manufacturer production levels and technological innovation;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manufacturers merging or exiting the industry or ceasing to produce certain asset types;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retirement and obsolescence of the assets that we own;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increases in supply levels of assets in the market due to the sale or merging of operating lessors;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reintroduction of previously unused or dormant assets into the industries in which we operate.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7" w:right="239" w:bottom="1440" w:gutter="0" w:footer="0" w:header="0"/>
        </w:sectPr>
      </w:pPr>
    </w:p>
    <w:bookmarkStart w:id="13" w:name="page14"/>
    <w:bookmarkEnd w:id="13"/>
    <w:p>
      <w:pPr>
        <w:jc w:val="both"/>
        <w:spacing w:after="0" w:line="251" w:lineRule="auto"/>
        <w:rPr>
          <w:sz w:val="20"/>
          <w:szCs w:val="20"/>
          <w:color w:val="auto"/>
        </w:rPr>
      </w:pPr>
      <w:r>
        <w:rPr>
          <w:rFonts w:ascii="Arial" w:cs="Arial" w:eastAsia="Arial" w:hAnsi="Arial"/>
          <w:sz w:val="16"/>
          <w:szCs w:val="16"/>
          <w:color w:val="auto"/>
        </w:rPr>
        <w:t>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2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9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competition from market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75" w:lineRule="exact"/>
        <w:rPr>
          <w:rFonts w:ascii="Arial" w:cs="Arial" w:eastAsia="Arial" w:hAnsi="Arial"/>
          <w:sz w:val="18"/>
          <w:szCs w:val="18"/>
          <w:color w:val="auto"/>
        </w:rPr>
      </w:pPr>
    </w:p>
    <w:p>
      <w:pPr>
        <w:ind w:left="6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changes or deficiencies in the design or construction of development projects;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unforeseen engineering, environmental or geological problems;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the availability and cost of skilled labor and equipment;</w:t>
      </w:r>
    </w:p>
    <w:p>
      <w:pPr>
        <w:spacing w:after="0" w:line="75" w:lineRule="exact"/>
        <w:rPr>
          <w:rFonts w:ascii="Arial" w:cs="Arial" w:eastAsia="Arial" w:hAnsi="Arial"/>
          <w:sz w:val="18"/>
          <w:szCs w:val="18"/>
          <w:color w:val="auto"/>
        </w:rPr>
      </w:pPr>
    </w:p>
    <w:p>
      <w:pPr>
        <w:jc w:val="both"/>
        <w:ind w:left="660" w:hanging="328"/>
        <w:spacing w:after="0" w:line="24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potential liability for injury or casualty losses which are not covered by insurance;</w:t>
      </w:r>
    </w:p>
    <w:p>
      <w:pPr>
        <w:spacing w:after="0" w:line="75" w:lineRule="exact"/>
        <w:rPr>
          <w:rFonts w:ascii="Arial" w:cs="Arial" w:eastAsia="Arial" w:hAnsi="Arial"/>
          <w:sz w:val="18"/>
          <w:szCs w:val="18"/>
          <w:color w:val="auto"/>
        </w:rPr>
      </w:pPr>
    </w:p>
    <w:p>
      <w:pPr>
        <w:ind w:left="6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local and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changes in legal requirements;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force majeure events, including catastrophes and adverse weather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5" w:name="page16"/>
    <w:bookmarkEnd w:id="15"/>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7" w:name="page18"/>
    <w:bookmarkEnd w:id="17"/>
    <w:p>
      <w:pPr>
        <w:jc w:val="both"/>
        <w:spacing w:after="0" w:line="248" w:lineRule="auto"/>
        <w:rPr>
          <w:sz w:val="20"/>
          <w:szCs w:val="20"/>
          <w:color w:val="auto"/>
        </w:rPr>
      </w:pPr>
      <w:r>
        <w:rPr>
          <w:rFonts w:ascii="Arial" w:cs="Arial" w:eastAsia="Arial" w:hAnsi="Arial"/>
          <w:sz w:val="16"/>
          <w:szCs w:val="16"/>
          <w:color w:val="auto"/>
        </w:rPr>
        <w:t>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6"/>
          <w:szCs w:val="16"/>
          <w:color w:val="auto"/>
        </w:rPr>
        <w:t>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terrorist acts, armed hostilities, war and civil disturbances;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acts of piracy;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potential cybersecurity attacks;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significant governmental influence over many aspects of local economies;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seizure, nationalization or expropriation of property or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repudiation, nullification, modification or renegotiation of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limitations on insurance coverage, such as war risk coverage, in certain areas;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political unrest;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foreign and U.S. monetary policy and foreign currency fluctuations and devaluations;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the inability to repatriate income or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complications associated with repairing and replacing equipment in remote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import-export quotas, wage and price controls, imposition of trade barriers;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U.S. and foreign sanctions or trade embargoes;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restrictions on the transfer of funds into or out of countries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regulatory or financial requirements to comply with foreign bureaucratic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compliance with applicable anti-corruption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changing taxation policies, including confiscatory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other forms of government regulation and economic conditions that are beyond our control;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governmental corruption.</w:t>
      </w:r>
    </w:p>
    <w:p>
      <w:pPr>
        <w:spacing w:after="0" w:line="11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16"/>
          <w:szCs w:val="16"/>
          <w:color w:val="auto"/>
        </w:rPr>
        <w:t>countries. Liquidity and volatility limitations in these markets may also adversely affect our ability to dispose of our assets at the best price available or in a timely manner.</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merge, consolidate or transfer all, or substantially all, of our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incur additional debt or issue preferred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make certain investments or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create liens on our or our subsidiaries’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sell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make distributions on or repurchase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enter into transactions with affiliates;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create dividend restrictions and other payment restrictions that affect our subsidiaries.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Because we have a limited operating history, our historical financial and operating data may not be representative of our future results.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meet the terms and maturities of our existing and future debt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purchase new assets or refinance existing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fund our working capital needs and maintain adequate liquidity;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finance other growth initiatives.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2019, we had $111.0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2" w:name="page23"/>
    <w:bookmarkEnd w:id="22"/>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Trac Intermodal. Although we have the same Manager, we may compete with entities affiliated with our Manager or Fortress, including Seacastle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uncertainty around the scope and application of the new legislation that may be addressed in future guidance issued by the U.S. Department of Treasury and the IRS. Some of the changes could adversely affect our business and financial condition and the value of our shares.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apply is uncertain and in many respects depends on the promulgation of future regulations or other guidance by the U.S. Treasury Department or the IRS.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a shift in our investor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quarterly or annual earnings, or those of other comparable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actual or anticipated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changes in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announcements by us or our competitors of significant investments, acquisitions or dispositions;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failure of securities analysts to cover our common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changes in earnings estimates by securities analysts or our ability to meet those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operating and share price performance of other comparable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0" w:name="page31"/>
    <w:bookmarkEnd w:id="30"/>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additional issuances of preferred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whether we we declare distributions on our preferred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overall market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general economic conditions;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developments in the markets and market sectors in which we participate.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for the fiscal years ended December 31, 2019 and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2,088,704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December 31, 2019, rights relating to 2,113,704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7" w:right="239" w:bottom="1440" w:gutter="0" w:footer="0" w:header="0"/>
        </w:sectPr>
      </w:pPr>
    </w:p>
    <w:bookmarkStart w:id="31" w:name="page32"/>
    <w:bookmarkEnd w:id="31"/>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Ireland and Dubai. Our Jefferson Terminal operating segment leases approximately 200 acres of property for its terminal facilities and leases approximately 12,300 square feet of office space in Texas and 300 square feet in Canada. We are redeveloping Repauno, located in New Jersey, which includes over 1,600 acres of land, riparian rights, rail tracks and a 186,000 barrel underground storage cavern, to be a multi-purpose, multi-modal deepwater port. Additionally, our aviation leasing business, railcar cleaning business and offshore energy business lease office space in Florida, Maine, and Singapore, respectively. We believe that our office facilities and properties are suitable and adequate for our business as it is contemplated to be conducted.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3" w:name="page34"/>
    <w:bookmarkEnd w:id="33"/>
    <w:p>
      <w:pPr>
        <w:ind w:left="54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common shares began trading on the NYSE under the symbol “FTAI” on May 15, 2015, the date of the IPO. As of February 25, 2020, there were approximately twelve record holders of our common shares. This figure does not reflect the beneficial ownership of shares held in nominee name.</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Although we currently intend to continue to pay regular quarterly dividends to holders of our common shares, we may change our dividend policy at any time and no assurances can be given that any future dividends will be paid or, if paid, as to the amounts or timing.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27, 2020, our Board of Directors declared a cash dividend on our common shares of $0.33 per share for the quarter ended December 31, 2019, payable on March 24, 2020 to the holders of record on March 13, 2020.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2015, in connection with the IPO,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As of December 31, 2019, the Incentive Plan provides for the issuance of up to 29.9 million shares.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Equity Compensation Plan Information</w:t>
            </w:r>
          </w:p>
        </w:tc>
        <w:tc>
          <w:tcPr>
            <w:tcW w:w="2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 issued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Weighted-average exercise price of</w:t>
            </w:r>
          </w:p>
        </w:tc>
        <w:tc>
          <w:tcPr>
            <w:tcW w:w="2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upon exercise of outstanding options,</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outstanding options, warrants, and</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1"/>
                <w:szCs w:val="11"/>
                <w:color w:val="auto"/>
              </w:rPr>
            </w:pPr>
          </w:p>
        </w:tc>
        <w:tc>
          <w:tcPr>
            <w:tcW w:w="2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2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rights</w:t>
            </w:r>
          </w:p>
        </w:tc>
        <w:tc>
          <w:tcPr>
            <w:tcW w:w="10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w:t>
            </w: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holders</w:t>
            </w:r>
          </w:p>
        </w:tc>
        <w:tc>
          <w:tcPr>
            <w:tcW w:w="2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2,113,704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CEEFF"/>
          </w:tcPr>
          <w:p>
            <w:pPr>
              <w:spacing w:after="0"/>
              <w:rPr>
                <w:sz w:val="16"/>
                <w:szCs w:val="16"/>
                <w:color w:val="auto"/>
              </w:rPr>
            </w:pPr>
          </w:p>
        </w:tc>
        <w:tc>
          <w:tcPr>
            <w:tcW w:w="2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29,879,592</w:t>
            </w:r>
          </w:p>
        </w:tc>
        <w:tc>
          <w:tcPr>
            <w:tcW w:w="0" w:type="dxa"/>
            <w:vAlign w:val="bottom"/>
          </w:tcPr>
          <w:p>
            <w:pPr>
              <w:spacing w:after="0"/>
              <w:rPr>
                <w:sz w:val="1"/>
                <w:szCs w:val="1"/>
                <w:color w:val="auto"/>
              </w:rPr>
            </w:pPr>
          </w:p>
        </w:tc>
      </w:tr>
      <w:tr>
        <w:trPr>
          <w:trHeight w:val="194"/>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 approved</w:t>
            </w: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by security holders</w:t>
            </w:r>
          </w:p>
        </w:tc>
        <w:tc>
          <w:tcPr>
            <w:tcW w:w="2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2,113,704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29,879,592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9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Excludes 25,000 stock options and 95,408 common shares issued to directors as compensation.</w:t>
      </w:r>
    </w:p>
    <w:p>
      <w:pPr>
        <w:spacing w:after="0" w:line="200" w:lineRule="exact"/>
        <w:rPr>
          <w:rFonts w:ascii="Arial" w:cs="Arial" w:eastAsia="Arial" w:hAnsi="Arial"/>
          <w:sz w:val="16"/>
          <w:szCs w:val="16"/>
          <w:color w:val="auto"/>
          <w:vertAlign w:val="superscript"/>
        </w:rPr>
      </w:pPr>
    </w:p>
    <w:p>
      <w:pPr>
        <w:spacing w:after="0" w:line="397" w:lineRule="exact"/>
        <w:rPr>
          <w:rFonts w:ascii="Arial" w:cs="Arial" w:eastAsia="Arial" w:hAnsi="Arial"/>
          <w:sz w:val="16"/>
          <w:szCs w:val="16"/>
          <w:color w:val="auto"/>
          <w:vertAlign w:val="superscript"/>
        </w:rPr>
      </w:pPr>
    </w:p>
    <w:p>
      <w:pPr>
        <w:ind w:left="5640"/>
        <w:spacing w:after="0"/>
        <w:rPr>
          <w:rFonts w:ascii="Arial" w:cs="Arial" w:eastAsia="Arial" w:hAnsi="Arial"/>
          <w:sz w:val="16"/>
          <w:szCs w:val="16"/>
          <w:color w:val="auto"/>
          <w:vertAlign w:val="superscript"/>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00497F"/>
        </w:rPr>
        <w:t>Performance Graph</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graph compares the cumulative total return for our common shares (stock price change plus reinvested dividends) with the comparable return of three indices: S&amp;P Mid Cap 400, Dow Jones US Transportation Services, and Alerian MLP. The graph assumes an investment of $100 in our common shares and in each of the indices on May 14, 2015, and that all dividends were reinvested. The past performance of our shares is not an indication of future performance.</w:t>
      </w:r>
    </w:p>
    <w:p>
      <w:pPr>
        <w:spacing w:after="0" w:line="7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ind w:left="4360" w:right="140" w:hanging="3726"/>
        <w:spacing w:after="0" w:line="287" w:lineRule="auto"/>
        <w:rPr>
          <w:sz w:val="20"/>
          <w:szCs w:val="20"/>
          <w:color w:val="auto"/>
        </w:rPr>
      </w:pPr>
      <w:r>
        <w:rPr>
          <w:rFonts w:ascii="Arial" w:cs="Arial" w:eastAsia="Arial" w:hAnsi="Arial"/>
          <w:sz w:val="18"/>
          <w:szCs w:val="18"/>
          <w:b w:val="1"/>
          <w:bCs w:val="1"/>
          <w:color w:val="auto"/>
        </w:rPr>
        <w:t>Among Fortress Transportation &amp; Infrastructure Investors LLC, the S&amp;P Midcap 400 Index, the Dow Jones US Transportation Services Index and Alerian MLP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43180</wp:posOffset>
            </wp:positionV>
            <wp:extent cx="5840095" cy="3258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009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*$100 each invested on 5/14/15 in stock and index, including reinvestment of dividends. Fiscal year ending December 31.</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2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14,</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&amp; Infrastructure</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68.91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91.78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148.90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115.86</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171.32</w:t>
            </w:r>
          </w:p>
        </w:tc>
        <w:tc>
          <w:tcPr>
            <w:tcW w:w="0" w:type="dxa"/>
            <w:vAlign w:val="bottom"/>
          </w:tcPr>
          <w:p>
            <w:pPr>
              <w:spacing w:after="0"/>
              <w:rPr>
                <w:sz w:val="1"/>
                <w:szCs w:val="1"/>
                <w:color w:val="auto"/>
              </w:rPr>
            </w:pPr>
          </w:p>
        </w:tc>
      </w:tr>
      <w:tr>
        <w:trPr>
          <w:trHeight w:val="91"/>
        </w:trPr>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Investors LLC</w:t>
            </w:r>
          </w:p>
        </w:tc>
        <w:tc>
          <w:tcPr>
            <w:tcW w:w="240" w:type="dxa"/>
            <w:vAlign w:val="bottom"/>
            <w:vMerge w:val="continue"/>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9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24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132.34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117.68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148.51</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Dow Jones US Transportation Services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100.79</w:t>
            </w: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Arial" w:cs="Arial" w:eastAsia="Arial" w:hAnsi="Arial"/>
                <w:sz w:val="14"/>
                <w:szCs w:val="14"/>
                <w:color w:val="auto"/>
              </w:rPr>
              <w:t>Alerian MLP</w:t>
            </w:r>
          </w:p>
        </w:tc>
        <w:tc>
          <w:tcPr>
            <w:tcW w:w="2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66.99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79.25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74.08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64.88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497F"/>
        </w:rPr>
        <w:t>Item 6. Selected Financial Data</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selected historical financial information set forth below as of and for the years ended December 31, 2019, 2018, 2017, 2016 and 2015 has been derived from our audited historical consolidated financial statements.</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completed our IPO on May 20, 2015 in which Fortress Worldwide Transportation and Infrastructure Investors LP, Fortress Worldwide Transportation and Infrastructure Offshore LP, and Fortress Worldwide Transportation and Infrastructure Master GP LLP (collectively the “Initial Shareholders”), immediately prior to the consummation of the IPO, received shares in proportion to their respective ownership percentages. As a result, we have retrospectively presented the shares outstanding for all prior periods presented.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below should be read in conjunction with “Management's Discussion and Analysis of Financial Condition and Results of Operations,” included in Item 7 and the consolidated financial statements and notes thereto included in Item 8 in this Annual Report on Form 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As of and for the year ended December 31,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349,322</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253,039</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170,000</w:t>
            </w:r>
          </w:p>
        </w:tc>
        <w:tc>
          <w:tcPr>
            <w:tcW w:w="14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101,949</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92,743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229,452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89,073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15,052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15,934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18,275</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578,774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342,112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185,052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117,883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111,018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626,767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223,898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131,389</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200,125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18,297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(8,765)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(3,497)</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152,132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(20,549)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(23,868)</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17,810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from continuing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134,322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(24,454)</w:t>
            </w:r>
          </w:p>
        </w:tc>
        <w:tc>
          <w:tcPr>
            <w:tcW w:w="0" w:type="dxa"/>
            <w:vAlign w:val="bottom"/>
          </w:tcPr>
          <w:p>
            <w:pPr>
              <w:spacing w:after="0"/>
              <w:rPr>
                <w:sz w:val="1"/>
                <w:szCs w:val="1"/>
                <w:color w:val="auto"/>
              </w:rPr>
            </w:pPr>
          </w:p>
        </w:tc>
      </w:tr>
      <w:tr>
        <w:trPr>
          <w:trHeight w:val="194"/>
        </w:trPr>
        <w:tc>
          <w:tcPr>
            <w:tcW w:w="4120" w:type="dxa"/>
            <w:vAlign w:val="bottom"/>
          </w:tcPr>
          <w:p>
            <w:pPr>
              <w:ind w:left="120"/>
              <w:spacing w:after="0"/>
              <w:rPr>
                <w:sz w:val="20"/>
                <w:szCs w:val="20"/>
                <w:color w:val="auto"/>
              </w:rPr>
            </w:pPr>
            <w:r>
              <w:rPr>
                <w:rFonts w:ascii="Arial" w:cs="Arial" w:eastAsia="Arial" w:hAnsi="Arial"/>
                <w:sz w:val="14"/>
                <w:szCs w:val="14"/>
                <w:color w:val="auto"/>
              </w:rPr>
              <w:t>Net income (loss) from discontinued operations, net of income</w:t>
            </w:r>
          </w:p>
        </w:tc>
        <w:tc>
          <w:tcPr>
            <w:tcW w:w="300" w:type="dxa"/>
            <w:vAlign w:val="bottom"/>
          </w:tcPr>
          <w:p>
            <w:pPr>
              <w:spacing w:after="0"/>
              <w:rPr>
                <w:sz w:val="16"/>
                <w:szCs w:val="16"/>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73,462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4,402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207,784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(23,240)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(28,631)</w:t>
            </w:r>
          </w:p>
        </w:tc>
        <w:tc>
          <w:tcPr>
            <w:tcW w:w="0" w:type="dxa"/>
            <w:vAlign w:val="bottom"/>
          </w:tcPr>
          <w:p>
            <w:pPr>
              <w:spacing w:after="0"/>
              <w:rPr>
                <w:sz w:val="1"/>
                <w:szCs w:val="1"/>
                <w:color w:val="auto"/>
              </w:rPr>
            </w:pPr>
          </w:p>
        </w:tc>
      </w:tr>
      <w:tr>
        <w:trPr>
          <w:trHeight w:val="174"/>
        </w:trPr>
        <w:tc>
          <w:tcPr>
            <w:tcW w:w="412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 in</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(16,684)</w:t>
            </w:r>
          </w:p>
        </w:tc>
        <w:tc>
          <w:tcPr>
            <w:tcW w:w="0" w:type="dxa"/>
            <w:vAlign w:val="bottom"/>
          </w:tcPr>
          <w:p>
            <w:pPr>
              <w:spacing w:after="0"/>
              <w:rPr>
                <w:sz w:val="1"/>
                <w:szCs w:val="1"/>
                <w:color w:val="auto"/>
              </w:rPr>
            </w:pPr>
          </w:p>
        </w:tc>
      </w:tr>
      <w:tr>
        <w:trPr>
          <w:trHeight w:val="210"/>
        </w:trPr>
        <w:tc>
          <w:tcPr>
            <w:tcW w:w="412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223,270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5,882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(20,064)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1.74</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0.85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10"/>
        </w:trPr>
        <w:tc>
          <w:tcPr>
            <w:tcW w:w="412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0.85</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85,992,019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83,654,068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75,766,811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75,738,698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67,039,439</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86,029,363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83,664,833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75,766,811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75,738,698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67,039,439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per share of common stock</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As of and for the year ended December 31,</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3,236,922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2,638,778</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1,955,806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1,547,312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1,644,805</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1,420,928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1,215,108</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680,751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247,357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257,289</w:t>
            </w: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1,898,065</w:t>
            </w:r>
          </w:p>
        </w:tc>
        <w:tc>
          <w:tcPr>
            <w:tcW w:w="40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1,584,996</w:t>
            </w:r>
          </w:p>
        </w:tc>
        <w:tc>
          <w:tcPr>
            <w:tcW w:w="40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920,731</w:t>
            </w:r>
          </w:p>
        </w:tc>
        <w:tc>
          <w:tcPr>
            <w:tcW w:w="4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381,632</w:t>
            </w:r>
          </w:p>
        </w:tc>
        <w:tc>
          <w:tcPr>
            <w:tcW w:w="4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354,119</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1,338,857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1,053,782</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1,035,075</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1,165,680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1,290,686</w:t>
            </w:r>
          </w:p>
        </w:tc>
      </w:tr>
      <w:tr>
        <w:trPr>
          <w:trHeight w:val="216"/>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Net cash provided by (used in):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151,043</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133,697</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68,497</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30,903</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23,528</w:t>
            </w:r>
          </w:p>
        </w:tc>
      </w:tr>
      <w:tr>
        <w:trPr>
          <w:trHeight w:val="210"/>
        </w:trPr>
        <w:tc>
          <w:tcPr>
            <w:tcW w:w="4160" w:type="dxa"/>
            <w:vAlign w:val="bottom"/>
          </w:tcPr>
          <w:p>
            <w:pPr>
              <w:ind w:left="12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(495,236)</w:t>
            </w:r>
          </w:p>
        </w:tc>
        <w:tc>
          <w:tcPr>
            <w:tcW w:w="4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(703,533)</w:t>
            </w:r>
          </w:p>
        </w:tc>
        <w:tc>
          <w:tcPr>
            <w:tcW w:w="40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(472,265)</w:t>
            </w:r>
          </w:p>
        </w:tc>
        <w:tc>
          <w:tcPr>
            <w:tcW w:w="42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(210,749)</w:t>
            </w:r>
          </w:p>
        </w:tc>
        <w:tc>
          <w:tcPr>
            <w:tcW w:w="4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(239,921)</w:t>
            </w:r>
          </w:p>
        </w:tc>
      </w:tr>
      <w:tr>
        <w:trPr>
          <w:trHeight w:val="222"/>
        </w:trPr>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465,873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597,867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363,078</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(89,971)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575,971</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Our MD&amp;A should be read in conjunction with our consolidated financial statements and the accompanying notes, and with Part I, Item 1A, “Risk Factors” and “Forward-Looking Statements” included elsewhere in this Annual Report on Form 10-K.</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 discussion of our results of operations for 2018 compared to 2017 is included in our Annual Report on Form 10-K for the year ended December 31, 2018, under Part II, Item 7, Management's Discussion and Analysis of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the Manager, an affiliate of Fortress, which has a dedicated team of experienced professionals focused on the acquisition of transportation and infrastructure assets since 2002. As of December 31, 2019, we had total consolidated assets of $3.2 billion and total equity of $1.3 billion.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our strategy permits us to acquire a broad array of transportation-related assets, we are currently active in four sectors where we believe there are meaningful opportunities to deploy capital to achieve attractive risk adjusted returns: aviation, energy, intermodal transport and ports and terminals.</w:t>
      </w:r>
    </w:p>
    <w:p>
      <w:pPr>
        <w:spacing w:after="0" w:line="88" w:lineRule="exact"/>
        <w:rPr>
          <w:sz w:val="20"/>
          <w:szCs w:val="20"/>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Commercial air travel and air freight activity have historically been long-term growth sectors and are tied to the underlying demand for passenger and freight movement. We continue to see strong demand for aviation related assets.</w:t>
      </w:r>
    </w:p>
    <w:p>
      <w:pPr>
        <w:spacing w:after="0" w:line="87"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Offshore energy service equipment refers to vessels supporting the extraction, processing and transportation of oil and natural gas from deposits located beneath the sea floor, as well as the ongoing inspection, repair, maintenance and ultimate abandonment of subsea wells and associated infrastructure. The prolonged oil price decline has led to oil and gas companies reducing and deferring spending decisions, creating an oversupply of offshore energy assets, and in turn, lower day-rates, utilization and earnings for offshore service companies. These rates, however, have partially rebounded over the course of 2018 and 2019.</w:t>
      </w:r>
    </w:p>
    <w:p>
      <w:pPr>
        <w:spacing w:after="0" w:line="95"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intermodal transport market includes the efficient movement of goods throughout multiple modes of transportation, making it possible to move cargo from a point of origin to a final destination without repeated unpacking and repacking. Over the last year, new container prices have decreased slightly, but remain above the lows reached in 2015.</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Land-based infrastructure refers to facilities that enable the storage, unloading, loading and movement of crude oil and refined products from producers to end users, such as refineries. Customers of land-based infrastructure typically purchase capacity on a take-or-pay basis, and the economics of these assets directly relate to the volume of throughput.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5"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three reportable segments: (i) Aviation Leasing, which is within the Equipment Leasing Business, and (ii) Jefferson Terminal and (iii)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Ports and Terminals segment consists of Repauno, acquired in 2016, a 1,630 acre deep-water port located along the Delaware River with an underground storage cavern and multiple industrial development opportunities. Additionally, Ports and Terminals includes an equity method investment (“Long Ridge”), which is a 1,660 acre multi-modal port located along the Ohio River with rail, dock, and multiple industrial development opportunities, including a power plant under construction.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long-term operating leases, (ii) an investment in an unconsolidated entity engaged in the leasing of shipping containers on both an operating lease and finance lease basis and (iii) railroad assets retained after the December 2019 sale, which consists of equipment that support a railcar cleaning business.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In addition, with the December 2019 sale of substantially all of our railroad business, the Railroad segment no longer met the requirement as a reportable segment. Accordingly, we have presented these operating segments, along with Corporate results, within Corporate and Other effective in 2019. All prior periods have been restated for historical comparison across segments.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Note 2 to the consolidated financial statements;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CODM utilizes Adjusted EBITDA as the key performance measure. This performance measure provides the CODM with the information necessary to assess operational performance, as well as make resource and allocation decisions.</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57,654</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134,914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89,870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65,651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45,044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24,219</w:t>
            </w: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4,659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2,630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349,322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253,039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170,000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96,283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83,039</w:t>
            </w:r>
          </w:p>
        </w:tc>
      </w:tr>
      <w:tr>
        <w:trPr>
          <w:trHeight w:val="19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42,965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10,108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10,229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32,857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(121)</w:t>
            </w: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Crude marketing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166,134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105,616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60,518</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16,991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13,001</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229,452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89,073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15,052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140,379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74,021</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578,774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342,112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185,052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236,662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157,060</w:t>
            </w:r>
          </w:p>
        </w:tc>
      </w:tr>
      <w:tr>
        <w:trPr>
          <w:trHeight w:val="216"/>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288,036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136,570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74,151</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20,441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17,126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14,570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3,315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2,556</w:t>
            </w: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36,059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15,726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15,732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47,835</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95,585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56,845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37,798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38,740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19,047</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626,767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367,143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223,898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259,624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143,245</w:t>
            </w:r>
          </w:p>
        </w:tc>
      </w:t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593</w:t>
            </w: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(14,682)</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2,456</w:t>
            </w: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531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3,445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200,125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192,751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(10,923)</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152,132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169,789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2,892</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17,810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495</w:t>
            </w: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from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134,322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154,428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2,397</w:t>
            </w:r>
          </w:p>
        </w:tc>
      </w:tr>
      <w:tr>
        <w:trPr>
          <w:trHeight w:val="210"/>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 (loss) from discontinued operations, net of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73,462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69,060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5,139</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223,488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7,536</w:t>
            </w:r>
          </w:p>
        </w:tc>
      </w:tr>
      <w:tr>
        <w:trPr>
          <w:trHeight w:val="174"/>
        </w:trPr>
        <w:tc>
          <w:tcPr>
            <w:tcW w:w="458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 in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8"/>
        </w:trPr>
        <w:tc>
          <w:tcPr>
            <w:tcW w:w="458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2"/>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1,379</w:t>
            </w:r>
          </w:p>
        </w:tc>
      </w:tr>
      <w:tr>
        <w:trPr>
          <w:trHeight w:val="210"/>
        </w:trPr>
        <w:tc>
          <w:tcPr>
            <w:tcW w:w="458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409</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223,270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5,882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217,388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5,748</w:t>
            </w:r>
          </w:p>
        </w:tc>
      </w:tr>
      <w:tr>
        <w:trPr>
          <w:trHeight w:val="21"/>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from continuing operations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16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 from continuing</w:t>
            </w: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150,055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148,236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17,810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15,361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17,623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10,655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4,555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10,078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21,231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199,185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94,380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66,187</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95,585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56,845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37,798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38,740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19,047</w:t>
            </w:r>
          </w:p>
        </w:tc>
        <w:tc>
          <w:tcPr>
            <w:tcW w:w="0" w:type="dxa"/>
            <w:vAlign w:val="bottom"/>
          </w:tcPr>
          <w:p>
            <w:pPr>
              <w:spacing w:after="0"/>
              <w:rPr>
                <w:sz w:val="1"/>
                <w:szCs w:val="1"/>
                <w:color w:val="auto"/>
              </w:rPr>
            </w:pPr>
          </w:p>
        </w:tc>
      </w:tr>
      <w:tr>
        <w:trPr>
          <w:trHeight w:val="155"/>
        </w:trPr>
        <w:tc>
          <w:tcPr>
            <w:tcW w:w="4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22"/>
        </w:trPr>
        <w:tc>
          <w:tcPr>
            <w:tcW w:w="4580" w:type="dxa"/>
            <w:vAlign w:val="bottom"/>
            <w:shd w:val="clear" w:color="auto" w:fill="CCEEFF"/>
          </w:tcPr>
          <w:p>
            <w:pPr>
              <w:ind w:left="20"/>
              <w:spacing w:after="0"/>
              <w:rPr>
                <w:sz w:val="20"/>
                <w:szCs w:val="20"/>
                <w:color w:val="auto"/>
              </w:rPr>
            </w:pPr>
            <w:r>
              <w:rPr>
                <w:rFonts w:ascii="Arial" w:cs="Arial" w:eastAsia="Arial" w:hAnsi="Arial"/>
                <w:sz w:val="9"/>
                <w:szCs w:val="9"/>
                <w:color w:val="auto"/>
              </w:rPr>
              <w:t>(2)</w:t>
            </w:r>
          </w:p>
        </w:tc>
        <w:tc>
          <w:tcPr>
            <w:tcW w:w="2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503,408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215,872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133,623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287,536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82,249</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1" w:lineRule="auto"/>
        <w:tabs>
          <w:tab w:leader="none" w:pos="15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2019, 2018 and 2017: (i) depreciation and amortization expense of $169,023, $133,908 and $86,073, (ii) lease intangible amortization of $7,181, $8,588 and $4,716 and (iii) amortization for lease incentives of $22,981, $18,071 and $3,591, respectively.</w:t>
      </w:r>
    </w:p>
    <w:p>
      <w:pPr>
        <w:ind w:left="180" w:right="20" w:hanging="172"/>
        <w:spacing w:after="0" w:line="204" w:lineRule="auto"/>
        <w:tabs>
          <w:tab w:leader="none" w:pos="172"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2019, 2018 and 2017: (i) net loss of $(2,563), $(1,196) and $(1,786), (ii) interest expense of $131, $477 and $785 and (iii) depreciation and amortization expense of $1,045, $1,078 and $758, respectively.</w:t>
      </w:r>
    </w:p>
    <w:p>
      <w:pPr>
        <w:spacing w:after="0" w:line="1" w:lineRule="exact"/>
        <w:rPr>
          <w:rFonts w:ascii="Arial" w:cs="Arial" w:eastAsia="Arial" w:hAnsi="Arial"/>
          <w:sz w:val="19"/>
          <w:szCs w:val="19"/>
          <w:color w:val="auto"/>
          <w:vertAlign w:val="superscript"/>
        </w:rPr>
      </w:pPr>
    </w:p>
    <w:p>
      <w:pPr>
        <w:jc w:val="both"/>
        <w:ind w:left="180" w:right="20" w:hanging="172"/>
        <w:spacing w:after="0" w:line="220" w:lineRule="auto"/>
        <w:tabs>
          <w:tab w:leader="none" w:pos="179"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2019, 2018 and 2017: (i) equity based compensation of $230, $113 and $125, (ii) provision for income taxes of $60, $57 and $16, (iii) interest expense of $3,400, $4,624 and $4,968, (iv) depreciation and amortization expense of $4,833, $6,049 and $7,022 and (v) changes in fair value of non-hedge derivative instruments of $1,336, $(1,099) and $404, respectively.</w:t>
      </w:r>
    </w:p>
    <w:p>
      <w:pPr>
        <w:spacing w:after="0" w:line="76" w:lineRule="exact"/>
        <w:rPr>
          <w:sz w:val="20"/>
          <w:szCs w:val="20"/>
          <w:color w:val="auto"/>
        </w:rPr>
      </w:pPr>
    </w:p>
    <w:p>
      <w:pPr>
        <w:ind w:right="4680"/>
        <w:spacing w:after="0" w:line="400" w:lineRule="auto"/>
        <w:rPr>
          <w:sz w:val="20"/>
          <w:szCs w:val="20"/>
          <w:color w:val="auto"/>
        </w:rPr>
      </w:pPr>
      <w:r>
        <w:rPr>
          <w:rFonts w:ascii="Arial" w:cs="Arial" w:eastAsia="Arial" w:hAnsi="Arial"/>
          <w:sz w:val="16"/>
          <w:szCs w:val="16"/>
          <w:b w:val="1"/>
          <w:bCs w:val="1"/>
          <w:i w:val="1"/>
          <w:iCs w:val="1"/>
          <w:color w:val="00497F"/>
        </w:rPr>
        <w:t>Comparison of the year ended December 31, 2019 to the year ended December 31, 2018 Revenues</w:t>
      </w:r>
    </w:p>
    <w:p>
      <w:pPr>
        <w:spacing w:after="0" w:line="1" w:lineRule="exact"/>
        <w:rPr>
          <w:sz w:val="20"/>
          <w:szCs w:val="20"/>
          <w:color w:val="auto"/>
        </w:rPr>
      </w:pPr>
    </w:p>
    <w:p>
      <w:pPr>
        <w:ind w:right="540"/>
        <w:spacing w:after="0" w:line="387" w:lineRule="auto"/>
        <w:rPr>
          <w:sz w:val="20"/>
          <w:szCs w:val="20"/>
          <w:color w:val="auto"/>
        </w:rPr>
      </w:pPr>
      <w:r>
        <w:rPr>
          <w:rFonts w:ascii="Arial" w:cs="Arial" w:eastAsia="Arial" w:hAnsi="Arial"/>
          <w:sz w:val="16"/>
          <w:szCs w:val="16"/>
          <w:color w:val="auto"/>
        </w:rPr>
        <w:t>Total revenues increased $236.7 million primarily due to higher revenues in the Aviation Leasing, Jefferson Terminal and Ports and Terminals segments. Equipment Leasing</w:t>
      </w:r>
    </w:p>
    <w:p>
      <w:pPr>
        <w:spacing w:after="0" w:line="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Lease income increased $49.9 million primarily driven by an increase in assets on lease in the Aviation Leasing segment.</w:t>
      </w:r>
    </w:p>
    <w:p>
      <w:pPr>
        <w:spacing w:after="0" w:line="113" w:lineRule="exact"/>
        <w:rPr>
          <w:rFonts w:ascii="Arial" w:cs="Arial" w:eastAsia="Arial" w:hAnsi="Arial"/>
          <w:sz w:val="16"/>
          <w:szCs w:val="16"/>
          <w:color w:val="auto"/>
        </w:rPr>
      </w:pPr>
    </w:p>
    <w:p>
      <w:pPr>
        <w:ind w:left="660" w:hanging="328"/>
        <w:spacing w:after="0" w:line="25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Maintenance revenue increased by $45.0 million as we increased the number of aircraft and engines subject to leases with maintenance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Infrastructure</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Crude marketing revenues increased $105.6 million primarily due to the Jefferson Terminal segment. During the third quarter of 2018, Jefferson initiated a strategy in Canada sourcing crude from producers, arranging logistics to Jefferson Terminal and marketing crude to third parties. Jefferson exited this strategy in the fourth quarter of 2019.</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Terminal services revenue increased $32.9 million which primarily reflects increases of approximately (i) $25.8 million due to increased storage capacity and activity at Jefferson Terminal and (ii) $7.1 million due to increased activity at Long Ridge.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$259.6 million primarily due to increases in (i) operating expenses, (ii) interest expense, (iii) depreciation and amortization and (iv) management fees and incentive allocation to affiliate.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$151.5 million primarily due to increases 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40" w:name="page41"/>
    <w:bookmarkEnd w:id="40"/>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of sales of $125.6 million primarily due to costs associated with crude marketing in the Jefferson Terminal segment;</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facility operations of $16.0 million primarily in the Jefferson Terminal and Ports and Terminals segments due to higher volume associated with crude marketing and increased activity at Jefferson Terminal and an increase in transloading volumes at Long Ridge;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and benefits of $7.6 million primarily due to an increase in headcount in the Jefferson Terminal and Ports and Terminals segments.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$38.7 million primarily due to an increase in our average outstanding debt of approximately $623.9 million, which primarily consists of increases in the (i) senior unsecured notes due 2025 (“2025 Notes”) of $400.0 million, (ii) Long Ridge Generation LLC (“LREG”) Credit Agreement of $73.4 million, (iii) senior unsecured notes due 2022 (“2022 Notes”) of $65.8 million, (iv) Revolving Credit Facility of $48.8 million, (v) our subsidiary's revolving credit facility (“Jefferson Revolver”) of $25.1 million and (vi) our subsidiary’s revolving credit facility (“DRP Revolver”) of $18.9 million.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$35.1 million primarily due to additional assets acquired in the Aviation Leasing segment and assets placed into service in the Jefferson Terminal and Ports and Terminals segments.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increased $20.3 million primarily due to incentive fees paid to the Manager related to gains on sale recognized during the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$192.8 million which primarily reflects (i) a gain on sale of $116.7 million due to the sale of a 49.9% interest in Long Ridge (the “Long Ridge Transaction”), (ii) an increase in gains on sale of $78.0 million due to asset sales in the Aviation Leasing segment, partially offset by (iii) an impairment of $4.7 million at Long Ridge due to the expiration of unused gas leases.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provision for income taxes increased $15.4 million which primarily reflects deferred tax expense in the Ports and Terminals segment due to the gain on sale for the Long Ridge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from continuing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increased $154.4 million primarily due to the changes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from discontinued operations, net of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discontinued operations, net of income taxes increased $69.1 million due to the sale of our railroad business in December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$287.5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in our Aviation Leasing segment, we own and manage 238 aviation assets, including 74 aircraft and 164 commercial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2019, 69 of our commercial aircraft and 108 of our engines were leased to operators or other third parties. Aviation assets currently off lease are either undergoing repair and/or maintenance, being prepared to go on lease or held in short term storage awaiting a future lease. Our aviation equipment was approximately 80% utilized as of December 31, 2019, based on the equity value of our on-hire leasing equipment as a percentage of the total equity value of our aviation leasing equipment. Our aircraft currently have a weighted average remaining lease term of 29 months, and our engines currently on-lease have an average remaining lease term of 10 months. The table below provides additional information on the assets in our Aviation Leasing segment: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0" w:type="dxa"/>
            <w:vAlign w:val="bottom"/>
            <w:gridSpan w:val="4"/>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40" w:type="dxa"/>
            <w:vAlign w:val="bottom"/>
            <w:shd w:val="clear" w:color="auto" w:fill="00497F"/>
          </w:tcPr>
          <w:p>
            <w:pPr>
              <w:ind w:left="760"/>
              <w:spacing w:after="0"/>
              <w:rPr>
                <w:sz w:val="20"/>
                <w:szCs w:val="20"/>
                <w:color w:val="auto"/>
              </w:rPr>
            </w:pPr>
            <w:r>
              <w:rPr>
                <w:rFonts w:ascii="Arial" w:cs="Arial" w:eastAsia="Arial" w:hAnsi="Arial"/>
                <w:sz w:val="14"/>
                <w:szCs w:val="14"/>
                <w:b w:val="1"/>
                <w:bCs w:val="1"/>
                <w:color w:val="FFFFFF"/>
              </w:rPr>
              <w:t>Widebody</w:t>
            </w:r>
          </w:p>
        </w:tc>
        <w:tc>
          <w:tcPr>
            <w:tcW w:w="56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168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52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218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76"/>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2019</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color w:val="auto"/>
              </w:rPr>
              <w:t>Purchases</w:t>
            </w:r>
          </w:p>
        </w:tc>
        <w:tc>
          <w:tcPr>
            <w:tcW w:w="1640" w:type="dxa"/>
            <w:vAlign w:val="bottom"/>
          </w:tcPr>
          <w:p>
            <w:pPr>
              <w:spacing w:after="0"/>
              <w:rPr>
                <w:sz w:val="18"/>
                <w:szCs w:val="18"/>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color w:val="auto"/>
              </w:rPr>
              <w:t>31</w:t>
            </w:r>
          </w:p>
        </w:tc>
      </w:tr>
      <w:tr>
        <w:trPr>
          <w:trHeight w:val="222"/>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46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Transfers</w:t>
            </w:r>
          </w:p>
        </w:tc>
        <w:tc>
          <w:tcPr>
            <w:tcW w:w="1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10"/>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December 31, 2019</w:t>
            </w:r>
          </w:p>
        </w:tc>
        <w:tc>
          <w:tcPr>
            <w:tcW w:w="16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w:t>
            </w:r>
          </w:p>
        </w:tc>
        <w:tc>
          <w:tcPr>
            <w:tcW w:w="10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7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January 1, 2019</w:t>
            </w:r>
          </w:p>
        </w:tc>
        <w:tc>
          <w:tcPr>
            <w:tcW w:w="1640" w:type="dxa"/>
            <w:vAlign w:val="bottom"/>
          </w:tcPr>
          <w:p>
            <w:pPr>
              <w:spacing w:after="0"/>
              <w:rPr>
                <w:sz w:val="18"/>
                <w:szCs w:val="18"/>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8"/>
                <w:szCs w:val="18"/>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color w:val="auto"/>
              </w:rPr>
              <w:t>142</w:t>
            </w:r>
          </w:p>
        </w:tc>
      </w:tr>
      <w:tr>
        <w:trPr>
          <w:trHeight w:val="222"/>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164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1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Transfers</w:t>
            </w:r>
          </w:p>
        </w:tc>
        <w:tc>
          <w:tcPr>
            <w:tcW w:w="16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December 31, 2019</w:t>
            </w:r>
          </w:p>
        </w:tc>
        <w:tc>
          <w:tcPr>
            <w:tcW w:w="1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8"/>
                <w:szCs w:val="18"/>
                <w:color w:val="auto"/>
              </w:rPr>
            </w:pPr>
          </w:p>
        </w:tc>
        <w:tc>
          <w:tcPr>
            <w:tcW w:w="2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164</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197,305</w:t>
            </w: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151,531</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91,103</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45,774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60,428</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134,914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89,870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65,651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24,219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2,648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1,808</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336,675</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244,270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156,793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92,405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87,477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2,902</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128,990</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102,419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61,795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26,571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40,624</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143,640</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111,883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68,483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31,757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43,400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81,954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78,043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80,229</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76,859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273,264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135,757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94,519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137,507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41,238</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2,826</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270,438</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133,477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92,553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136,961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40,924</w:t>
            </w:r>
          </w:p>
        </w:tc>
        <w:tc>
          <w:tcPr>
            <w:tcW w:w="0" w:type="dxa"/>
            <w:vAlign w:val="bottom"/>
          </w:tcPr>
          <w:p>
            <w:pPr>
              <w:spacing w:after="0"/>
              <w:rPr>
                <w:sz w:val="1"/>
                <w:szCs w:val="1"/>
                <w:color w:val="auto"/>
              </w:rPr>
            </w:pPr>
          </w:p>
        </w:tc>
      </w:tr>
      <w:tr>
        <w:trPr>
          <w:trHeight w:val="174"/>
        </w:trPr>
        <w:tc>
          <w:tcPr>
            <w:tcW w:w="458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 in</w:t>
            </w: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270,438</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91,856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136,937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41,645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270,438</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91,856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136,937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41,645</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1,966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159,152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58,976</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22"/>
        </w:trPr>
        <w:tc>
          <w:tcPr>
            <w:tcW w:w="4600" w:type="dxa"/>
            <w:vAlign w:val="bottom"/>
            <w:shd w:val="clear" w:color="auto" w:fill="CCEEFF"/>
          </w:tcPr>
          <w:p>
            <w:pPr>
              <w:ind w:left="20"/>
              <w:spacing w:after="0"/>
              <w:rPr>
                <w:sz w:val="20"/>
                <w:szCs w:val="20"/>
                <w:color w:val="auto"/>
              </w:rPr>
            </w:pPr>
            <w:r>
              <w:rPr>
                <w:rFonts w:ascii="Arial" w:cs="Arial" w:eastAsia="Arial" w:hAnsi="Arial"/>
                <w:sz w:val="9"/>
                <w:szCs w:val="9"/>
                <w:color w:val="auto"/>
              </w:rPr>
              <w:t>(2)</w:t>
            </w:r>
          </w:p>
        </w:tc>
        <w:tc>
          <w:tcPr>
            <w:tcW w:w="2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432,934</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265,002</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163,828</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167,932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101,174</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04" w:lineRule="auto"/>
        <w:tabs>
          <w:tab w:leader="none" w:pos="171"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2019, 2018 and 2017: (i) depreciation expense of $128,990 and $102,419 and $61,795, (ii) lease intangible amortization of $7,181, $8,588 and $4,716 and (iii) amortization for lease incentives of $22,981, $18,071 and $3,591, respectively.</w:t>
      </w:r>
    </w:p>
    <w:p>
      <w:pPr>
        <w:spacing w:after="0" w:line="1" w:lineRule="exact"/>
        <w:rPr>
          <w:rFonts w:ascii="Arial" w:cs="Arial" w:eastAsia="Arial" w:hAnsi="Arial"/>
          <w:sz w:val="19"/>
          <w:szCs w:val="19"/>
          <w:color w:val="auto"/>
          <w:vertAlign w:val="superscript"/>
        </w:rPr>
      </w:pPr>
    </w:p>
    <w:p>
      <w:pPr>
        <w:ind w:left="180" w:hanging="172"/>
        <w:spacing w:after="0"/>
        <w:tabs>
          <w:tab w:leader="none" w:pos="18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the proportionate share of the unconsolidated entities' net income adjusted for the excluded and included items detailed in the table, for which there were no adjustments.</w:t>
      </w:r>
    </w:p>
    <w:p>
      <w:pPr>
        <w:spacing w:after="0" w:line="105"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expense of $0, $172 and $537 for the years ended December 31, 2019, 2018 and 2017, respectively.</w:t>
      </w:r>
    </w:p>
    <w:p>
      <w:pPr>
        <w:spacing w:after="0" w:line="76" w:lineRule="exact"/>
        <w:rPr>
          <w:sz w:val="20"/>
          <w:szCs w:val="20"/>
          <w:color w:val="auto"/>
        </w:rPr>
      </w:pPr>
    </w:p>
    <w:p>
      <w:pPr>
        <w:ind w:right="4680"/>
        <w:spacing w:after="0" w:line="400" w:lineRule="auto"/>
        <w:rPr>
          <w:sz w:val="20"/>
          <w:szCs w:val="20"/>
          <w:color w:val="auto"/>
        </w:rPr>
      </w:pPr>
      <w:r>
        <w:rPr>
          <w:rFonts w:ascii="Arial" w:cs="Arial" w:eastAsia="Arial" w:hAnsi="Arial"/>
          <w:sz w:val="16"/>
          <w:szCs w:val="16"/>
          <w:b w:val="1"/>
          <w:bCs w:val="1"/>
          <w:i w:val="1"/>
          <w:iCs w:val="1"/>
          <w:color w:val="00497F"/>
        </w:rPr>
        <w:t>Comparison of the year ended December 31, 2019 to the year ended December 31, 2018 Revenues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$92.4 million driven by higher lease income and maintenance revenue.</w:t>
      </w:r>
    </w:p>
    <w:p>
      <w:pPr>
        <w:spacing w:after="0" w:line="113" w:lineRule="exact"/>
        <w:rPr>
          <w:sz w:val="20"/>
          <w:szCs w:val="20"/>
          <w:color w:val="auto"/>
        </w:rPr>
      </w:pPr>
    </w:p>
    <w:p>
      <w:pPr>
        <w:jc w:val="both"/>
        <w:ind w:left="660" w:hanging="328"/>
        <w:spacing w:after="0" w:line="258"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Lease income increased $45.8 million mainly due to an increase in (i) aircraft lease income of $35.1 million primarily driven by the addition of 14 aircraft on lease and (ii) engine lease income of $10.7 million primarily driven by an additional 15 revenue generating engines in 2019 compared to 2018.</w:t>
      </w:r>
    </w:p>
    <w:p>
      <w:pPr>
        <w:spacing w:after="0" w:line="27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Maintenance revenue increased $45.0 million due to an increase in (i) the number of aircraft and engines on lease and (ii) end-of-lease maintenance compensation for four aircraft.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$31.8 million primarily due to an increase in depreciation and amortization expense and operating expenses.</w:t>
      </w:r>
    </w:p>
    <w:p>
      <w:pPr>
        <w:spacing w:after="0" w:line="113" w:lineRule="exact"/>
        <w:rPr>
          <w:sz w:val="20"/>
          <w:szCs w:val="20"/>
          <w:color w:val="auto"/>
        </w:rPr>
      </w:pPr>
    </w:p>
    <w:p>
      <w:pPr>
        <w:ind w:left="660" w:hanging="328"/>
        <w:spacing w:after="0" w:line="25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Depreciation and amortization expense increased $26.6 million driven by additional aircraft and engines owned and on lease in 2019 compared to 2018.</w:t>
      </w:r>
    </w:p>
    <w:p>
      <w:pPr>
        <w:spacing w:after="0" w:line="294"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increased $5.0 million primarily as a result of increases in (i) shipping and storage fees of $1.6 million due to the positioning of our assets for lease, (ii) bad debt expense of $1.5 million related to an engine loss receivable deemed uncollectible due to bankruptcy, (iii) repairs and maintenance expenses of $0.6 million, (iv) professional fee expenses of $0.5 million and (v) other operating expenses of $0.8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$76.9 million primarily due to an increase of $78.0 million in gain on the sale of leasing equipment in 2019 partially offset due to a decrease of $1.1 million in Aviation Leasing’s proportionate share of the unconsolidated entities’ net income.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$167.9 million primarily due to the changes in net income attributable to shareholders noted above, and higher depreciation and amortization expense for the additional aircraft and engines owned and on lease.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02"/>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2,306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2,034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35,908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166,134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60,518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105,616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60,518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204,348</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70,985</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10,229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133,363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60,756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231,506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63,409</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22,873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16,189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270,568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129,880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60,974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140,688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68,906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4,636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(61,124)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(55,216)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(48,710)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(6,506)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(61,408)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(55,477)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(6,725)</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(17,356)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(21,801)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4,445</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(44,052)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(33,676)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(10,376)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(44,052)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(33,676)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(10,376)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(5,523)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11,887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22,873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16,189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15,513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13,568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55"/>
        </w:trPr>
        <w:tc>
          <w:tcPr>
            <w:tcW w:w="4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656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22"/>
        </w:trPr>
        <w:tc>
          <w:tcPr>
            <w:tcW w:w="4580" w:type="dxa"/>
            <w:vAlign w:val="bottom"/>
            <w:shd w:val="clear" w:color="auto" w:fill="CCEEFF"/>
          </w:tcPr>
          <w:p>
            <w:pPr>
              <w:ind w:left="20"/>
              <w:spacing w:after="0"/>
              <w:rPr>
                <w:sz w:val="20"/>
                <w:szCs w:val="20"/>
                <w:color w:val="auto"/>
              </w:rPr>
            </w:pPr>
            <w:r>
              <w:rPr>
                <w:rFonts w:ascii="Arial" w:cs="Arial" w:eastAsia="Arial" w:hAnsi="Arial"/>
                <w:sz w:val="9"/>
                <w:szCs w:val="9"/>
                <w:color w:val="auto"/>
              </w:rPr>
              <w:t>(1)</w:t>
            </w: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(11,645)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5,485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1" w:lineRule="auto"/>
        <w:tabs>
          <w:tab w:leader="none" w:pos="15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2019, 2018 and 2017: (i) net loss of $(349), $(574) and $(321) and (ii) depreciation and amortization expense of $1,005, $1,052 and $0, respectively.</w:t>
      </w:r>
    </w:p>
    <w:p>
      <w:pPr>
        <w:jc w:val="both"/>
        <w:ind w:left="180" w:hanging="172"/>
        <w:spacing w:after="0" w:line="220" w:lineRule="auto"/>
        <w:tabs>
          <w:tab w:leader="none" w:pos="179"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2019, 2018 and 2017: (i) equity-based compensation of $221, $106 and $125, (ii) provision for income taxes of $60, $57 and $16, (iii) interest expense of $3,400, $4,465 and $4,886, (iv) changes in fair value of non-hedge derivative instruments of $1,336, $(1,099) and $404 and (v) depreciation and amortization expense of $4,803, $5,847 and $6,320, respectively.</w:t>
      </w:r>
    </w:p>
    <w:p>
      <w:pPr>
        <w:spacing w:after="0" w:line="76" w:lineRule="exact"/>
        <w:rPr>
          <w:sz w:val="20"/>
          <w:szCs w:val="20"/>
          <w:color w:val="auto"/>
        </w:rPr>
      </w:pPr>
    </w:p>
    <w:p>
      <w:pPr>
        <w:ind w:right="4680"/>
        <w:spacing w:after="0" w:line="400" w:lineRule="auto"/>
        <w:rPr>
          <w:sz w:val="20"/>
          <w:szCs w:val="20"/>
          <w:color w:val="auto"/>
        </w:rPr>
      </w:pPr>
      <w:r>
        <w:rPr>
          <w:rFonts w:ascii="Arial" w:cs="Arial" w:eastAsia="Arial" w:hAnsi="Arial"/>
          <w:sz w:val="16"/>
          <w:szCs w:val="16"/>
          <w:b w:val="1"/>
          <w:bCs w:val="1"/>
          <w:i w:val="1"/>
          <w:iCs w:val="1"/>
          <w:color w:val="00497F"/>
        </w:rPr>
        <w:t>Comparison of the year ended December 31, 2019 to the year ended December 31, 2018 Revenues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$133.4 million primarily due to an increase in crude marketing revenue of $105.6 million. During the third quarter of 2018, Jefferson initiated a strategy in Canada sourcing crude from producers, arranging logistics to Jefferson Terminal and marketing crude to third parties. Jefferson exited this strategy in the fourth quarter of 2019. Additionally, terminal services revenue increased $25.8 million primarily due to increased storage capacity and activity.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$140.7 million primarily reflecting higher operating expenses of $136.9 million. The increase in operating expenses reflected higher:</w:t>
      </w:r>
    </w:p>
    <w:p>
      <w:pPr>
        <w:spacing w:after="0" w:line="11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of sales of $125.7 million, resulting from costs associated with crude marketing;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facility operations expense of $9.2 million due to higher volume associated with crude marketing and increased activity at the terminal;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and benefits expense of $4.1 million resulting from an increase in headcount.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increase in expense reflected higher depreciation expense of $3.1 million due to additional assets placed into service.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$1.4 million primarily due to a gain on sale of $4.6 million, partially offset by a decrease in other income of $3.3 million due to lower gains on our derivatives in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$5.5 million primarily due to an increase in the changes in non-hedge derivative instruments offset with the changes in net loss attributable to shareholders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02"/>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1,056</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14,074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12,270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4,743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24,854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6,542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9,195</w:t>
            </w: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9,849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4,710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3,481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41,423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12,237</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116,660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116,660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1,809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113,840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113,840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94,604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101,260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14,700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14,699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79,904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86,561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74"/>
        </w:trPr>
        <w:tc>
          <w:tcPr>
            <w:tcW w:w="462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5"/>
                <w:szCs w:val="15"/>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80,119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86,676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16"/>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80,119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86,676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14,700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14,699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5,008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9,849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1,712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4600" w:type="dxa"/>
            <w:vAlign w:val="bottom"/>
            <w:shd w:val="clear" w:color="auto" w:fill="CCEEFF"/>
          </w:tcPr>
          <w:p>
            <w:pPr>
              <w:ind w:left="20"/>
              <w:spacing w:after="0"/>
              <w:rPr>
                <w:sz w:val="20"/>
                <w:szCs w:val="20"/>
                <w:color w:val="auto"/>
              </w:rPr>
            </w:pPr>
            <w:r>
              <w:rPr>
                <w:rFonts w:ascii="Arial" w:cs="Arial" w:eastAsia="Arial" w:hAnsi="Arial"/>
                <w:sz w:val="9"/>
                <w:szCs w:val="9"/>
                <w:color w:val="auto"/>
              </w:rPr>
              <w:t>(1)</w:t>
            </w: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114,760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(3,515)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115,375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26"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(i) net loss of $(193) and (ii) depreciation expense of $40 for the year ended December 31, 2019.</w:t>
      </w:r>
    </w:p>
    <w:p>
      <w:pPr>
        <w:ind w:left="180" w:right="20" w:hanging="172"/>
        <w:spacing w:after="0" w:line="211" w:lineRule="auto"/>
        <w:tabs>
          <w:tab w:leader="none" w:pos="19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2019 and 2018: (i) equity-based compensation of $9 and $7, (ii) interest expense of $0 and $159 and (iii) depreciation expense of $30 and $30, respectively.</w:t>
      </w:r>
    </w:p>
    <w:p>
      <w:pPr>
        <w:spacing w:after="0" w:line="76" w:lineRule="exact"/>
        <w:rPr>
          <w:sz w:val="20"/>
          <w:szCs w:val="20"/>
          <w:color w:val="auto"/>
        </w:rPr>
      </w:pPr>
    </w:p>
    <w:p>
      <w:pPr>
        <w:ind w:right="4680"/>
        <w:spacing w:after="0" w:line="400" w:lineRule="auto"/>
        <w:rPr>
          <w:sz w:val="20"/>
          <w:szCs w:val="20"/>
          <w:color w:val="auto"/>
        </w:rPr>
      </w:pPr>
      <w:r>
        <w:rPr>
          <w:rFonts w:ascii="Arial" w:cs="Arial" w:eastAsia="Arial" w:hAnsi="Arial"/>
          <w:sz w:val="16"/>
          <w:szCs w:val="16"/>
          <w:b w:val="1"/>
          <w:bCs w:val="1"/>
          <w:i w:val="1"/>
          <w:iCs w:val="1"/>
          <w:color w:val="00497F"/>
        </w:rPr>
        <w:t>Comparison of the year ended December 31, 2019 to the year ended December 31, 2018 Revenues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increased $4.7 million, primarily due to additional trans-loading revenue of $2.5 million and revenue related to oil and gas activities of $1.7 million at Long Ridge. The increase was accompanied by an additional $0.5 million from Repauno relating to butane sales.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expenses increased $17.3 million primarily due to increases in (i) operating expenses of $6.5 million (ii) acquisition and transaction expense of $5.0 million and (iii) depreciation expense of $4.7 million related to property, plant and equipment.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operating expenses was primarily driven by higher:</w:t>
      </w:r>
    </w:p>
    <w:p>
      <w:pPr>
        <w:spacing w:after="0" w:line="11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expenses to operate proved developed natural gas wells of $1.4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compensation and benefits of $1.8 million due to increased headcount;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facility operations of $1.7 million related to an increase in transloading volumes at Long Ridge;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repair and maintenance cost of $0.7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 of sales of $0.6 million related to the sale of butane;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bad debt expense of $0.3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due to transaction costs associated with the Long Ridge Transaction.</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Depreciation expense increased due to a larger asset base as a result of assets placed into service during the year, the depletion of gas reserves and a revision to total proved reserve volumes at Long Ridge.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income increased $113.8 million which primarily reflects (i) a gain on sale of $116.7 million from the Long Ridge Transaction, partially offset by (ii) an impairment of $4.7 million at Long Ridge due to the expiration of unproved gas leases.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increased $14.7 million which primarily reflects deferred tax expense due to the gain on sale for the Long Ridge Transaction.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$115.4 million primarily due to the changes in net income (loss) attributable to shareholders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9,796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5,659</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8,433</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4,137</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2,851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12,647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8,769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19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2,917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15,564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9,413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6,151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17,544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14,487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15,842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12,097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5,444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36,059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7,311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77,684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23,142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37,001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171,136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101,280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82,578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69,856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Other expense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(11,405)</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960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10,053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(9,728)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(154,612)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(32,224)</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Benefit from income taxes</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(154,612)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(59,264)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(63,163)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(32,185)</w:t>
            </w:r>
          </w:p>
        </w:tc>
        <w:tc>
          <w:tcPr>
            <w:tcW w:w="0" w:type="dxa"/>
            <w:vAlign w:val="bottom"/>
          </w:tcPr>
          <w:p>
            <w:pPr>
              <w:spacing w:after="0"/>
              <w:rPr>
                <w:sz w:val="1"/>
                <w:szCs w:val="1"/>
                <w:color w:val="auto"/>
              </w:rPr>
            </w:pPr>
          </w:p>
        </w:tc>
      </w:tr>
      <w:tr>
        <w:trPr>
          <w:trHeight w:val="174"/>
        </w:trPr>
        <w:tc>
          <w:tcPr>
            <w:tcW w:w="458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300" w:type="dxa"/>
            <w:vAlign w:val="bottom"/>
          </w:tcPr>
          <w:p>
            <w:pPr>
              <w:spacing w:after="0"/>
              <w:rPr>
                <w:sz w:val="15"/>
                <w:szCs w:val="15"/>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(156,450)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(91,449)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(58,738)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(65,001)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(32,711)</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'19 vs '18</w:t>
            </w:r>
          </w:p>
        </w:tc>
        <w:tc>
          <w:tcPr>
            <w:tcW w:w="28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(156,450)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(58,738)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(65,001)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(32,711)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12,097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5,444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3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3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21,231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77,684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40,683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23,142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37,001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155"/>
        </w:trPr>
        <w:tc>
          <w:tcPr>
            <w:tcW w:w="4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 entities</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22"/>
        </w:trPr>
        <w:tc>
          <w:tcPr>
            <w:tcW w:w="4580" w:type="dxa"/>
            <w:vAlign w:val="bottom"/>
            <w:shd w:val="clear" w:color="auto" w:fill="CCEEFF"/>
          </w:tcPr>
          <w:p>
            <w:pPr>
              <w:ind w:left="20"/>
              <w:spacing w:after="0"/>
              <w:rPr>
                <w:sz w:val="20"/>
                <w:szCs w:val="20"/>
                <w:color w:val="auto"/>
              </w:rPr>
            </w:pPr>
            <w:r>
              <w:rPr>
                <w:rFonts w:ascii="Arial" w:cs="Arial" w:eastAsia="Arial" w:hAnsi="Arial"/>
                <w:sz w:val="9"/>
                <w:szCs w:val="9"/>
                <w:color w:val="auto"/>
              </w:rPr>
              <w:t>(1)</w:t>
            </w:r>
          </w:p>
        </w:tc>
        <w:tc>
          <w:tcPr>
            <w:tcW w:w="3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(38,126)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(36,870)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(18,277)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(18,593)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04" w:lineRule="auto"/>
        <w:tabs>
          <w:tab w:leader="none" w:pos="1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2019, 2018 and 2017: (i) net (loss) income of $(192), $121 and $(189), (ii) interest expense of $131, $477 and $785 and (iii) depreciation expense of $0, $26 and $758, respectively.</w:t>
      </w:r>
    </w:p>
    <w:p>
      <w:pPr>
        <w:spacing w:after="0" w:line="1"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(i) interest expense of $82 and (ii) depreciation expense of $165 for the year ended December 31, 2017.</w:t>
      </w:r>
    </w:p>
    <w:p>
      <w:pPr>
        <w:spacing w:after="0" w:line="76" w:lineRule="exact"/>
        <w:rPr>
          <w:sz w:val="20"/>
          <w:szCs w:val="20"/>
          <w:color w:val="auto"/>
        </w:rPr>
      </w:pPr>
    </w:p>
    <w:p>
      <w:pPr>
        <w:ind w:right="4680"/>
        <w:spacing w:after="0" w:line="400" w:lineRule="auto"/>
        <w:rPr>
          <w:sz w:val="20"/>
          <w:szCs w:val="20"/>
          <w:color w:val="auto"/>
        </w:rPr>
      </w:pPr>
      <w:r>
        <w:rPr>
          <w:rFonts w:ascii="Arial" w:cs="Arial" w:eastAsia="Arial" w:hAnsi="Arial"/>
          <w:sz w:val="16"/>
          <w:szCs w:val="16"/>
          <w:b w:val="1"/>
          <w:bCs w:val="1"/>
          <w:i w:val="1"/>
          <w:iCs w:val="1"/>
          <w:color w:val="00497F"/>
        </w:rPr>
        <w:t>Comparison of the year ended December 31, 2019 to the year ended December 31, 2018 Revenues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Equipment Leasing</w:t>
      </w:r>
    </w:p>
    <w:p>
      <w:pPr>
        <w:spacing w:after="0" w:line="113" w:lineRule="exact"/>
        <w:rPr>
          <w:sz w:val="20"/>
          <w:szCs w:val="20"/>
          <w:color w:val="auto"/>
        </w:rPr>
      </w:pPr>
    </w:p>
    <w:p>
      <w:pPr>
        <w:jc w:val="both"/>
        <w:ind w:left="660" w:hanging="328"/>
        <w:spacing w:after="0" w:line="251"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Equipment leasing revenues increased $3.9 million due to (i) an increase in lease income of $4.1 million due to our vessels being on-hire for longer in 2019 compared to 2018, (ii) an increase in other revenue of $1.2 million due to higher victualling income as our vessels were on-hire for longer in 2019 compared to 2018, partially offset by (iii) a decrease in finance lease income of $1.5 million as one of our vessels was on nonaccrual status due to a casualty event.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Infrastructure</w:t>
      </w:r>
    </w:p>
    <w:p>
      <w:pPr>
        <w:spacing w:after="0" w:line="11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revenue increased $2.3 million due to the railcar cleaning business being operational for all of 2019 compared to the second half of 2018.</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$69.9 million primarily due to increases in:</w:t>
      </w:r>
    </w:p>
    <w:p>
      <w:pPr>
        <w:spacing w:after="0" w:line="113" w:lineRule="exact"/>
        <w:rPr>
          <w:sz w:val="20"/>
          <w:szCs w:val="20"/>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expense of $37.0 million which reflects an increase in the average outstanding debt of approximately $507.8 million, which primarily consists of the 2025 Notes of $400.0 million, 2022 Notes of $65.8 million and Revolving Credit Facility of $48.8 million;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of $20.3 million due to incentive fees paid to the Manager related to gains on sale recognized during the period;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acquisition and transaction expenses of $5.4 million primarily due to a higher volume of transactions in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$1.3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managed by the Manager, an affiliate of Fortress, pursuant to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16 to our consolidated financial statements included elsewhere in this filing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refer to Note 17 of our consolidated financial statements included in Item 8 in this Annual Report on Form 10-K for a report, by geographic area for each segment, of revenues from our external customers, for the years ended December 31, 2019, 2018 and 2017, as well as a report, by geographic area for each segment, of our total property, plant and equipment and equipment held for lease as of December 31, 2019 and 2018.</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principal uses of liquidity have been and continue to be (i) acquisitions or expansion of transportation infrastructure and equipment, (ii) distributions to our shareholders, (iii) expenses associated with our operating activities and (iv) debt service obligations associated with our investments.</w:t>
      </w:r>
    </w:p>
    <w:p>
      <w:pPr>
        <w:spacing w:after="0" w:line="88" w:lineRule="exact"/>
        <w:rPr>
          <w:sz w:val="20"/>
          <w:szCs w:val="20"/>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$942.5 million, $751.5 million, and $594.6 million during the years ended December 31, 2019, 2018, and 2017,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$115.4 million, $110.6 million and $100.1 million during the years ended December 31, 2019, 2018 and 2017,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$229.7 million, $189.3 million and $96.0 million during the years ended December 31, 2019, 2018, and 2017, respectively.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year ended December 31, 2019, additional borrowings were obtained in connection with (i) the Revolving Credit Facility of $250.0 million,</w:t>
      </w:r>
    </w:p>
    <w:p>
      <w:pPr>
        <w:spacing w:after="0" w:line="5" w:lineRule="exact"/>
        <w:rPr>
          <w:rFonts w:ascii="Arial" w:cs="Arial" w:eastAsia="Arial" w:hAnsi="Arial"/>
          <w:sz w:val="16"/>
          <w:szCs w:val="16"/>
          <w:color w:val="auto"/>
        </w:rPr>
      </w:pPr>
    </w:p>
    <w:p>
      <w:pPr>
        <w:jc w:val="both"/>
        <w:ind w:left="660" w:hanging="4"/>
        <w:spacing w:after="0" w:line="253" w:lineRule="auto"/>
        <w:tabs>
          <w:tab w:leader="none" w:pos="901" w:val="left"/>
        </w:tabs>
        <w:numPr>
          <w:ilvl w:val="1"/>
          <w:numId w:val="30"/>
        </w:numPr>
        <w:rPr>
          <w:rFonts w:ascii="Arial" w:cs="Arial" w:eastAsia="Arial" w:hAnsi="Arial"/>
          <w:sz w:val="16"/>
          <w:szCs w:val="16"/>
          <w:color w:val="auto"/>
        </w:rPr>
      </w:pPr>
      <w:r>
        <w:rPr>
          <w:rFonts w:ascii="Arial" w:cs="Arial" w:eastAsia="Arial" w:hAnsi="Arial"/>
          <w:sz w:val="16"/>
          <w:szCs w:val="16"/>
          <w:color w:val="auto"/>
        </w:rPr>
        <w:t>LREG Credit Agreement of $173.5 million, (iii) the 2025 Notes of $148.7 million, (iv) the 2022 Notes of $147.8 million, (v) the DRP Revolver of $25.0 million, (vi) the Jefferson Revolver of $23.2 million and (vii) CMQR Credit Agreement of $20.9 million. We made principal payments of $405.1 million primarily related to the Revolving Credit Facility, Jefferson Revolver and CMQR Credit Agreement.</w:t>
      </w:r>
    </w:p>
    <w:p>
      <w:pPr>
        <w:spacing w:after="0" w:line="93"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During the year ended December 31, 2018, additional borrowings were obtained in connection with (i) the 2025 Notes of $291.0 million, (ii) the Revolving Credit Facility of $275.0 million, (iii) the 2022 Notes of $100.0 million, (iv) the Jefferson Revolver of $49.5 million and (v) the CMQR Credit Agreement of $35.5 million. We made principal payments of $218.8 million primarily related to the Revolving Credit Facility and the CMQR Credit Agreement.</w:t>
      </w:r>
    </w:p>
    <w:p>
      <w:pPr>
        <w:spacing w:after="0" w:line="9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During the year ended December 31, 2017, additional borrowings were obtained in connection with (i) the Term Loan of $97.2 million, net of deferred financing costs, (ii) the Revolving Credit Facility of $95.0 million, (iii) the CMQR Credit Agreement of $32.0 million and (iv) the Senior Notes of $343.0 million, net of deferred financing costs and repayment of the Term Loan. We made principal repayments of $125.2 million, primarily related to the FTAI Pride Credit Agreement, the Revolving Credit Facility and the CMQR Credit Agreement.</w:t>
      </w:r>
    </w:p>
    <w:p>
      <w:pPr>
        <w:spacing w:after="0" w:line="95" w:lineRule="exact"/>
        <w:rPr>
          <w:sz w:val="20"/>
          <w:szCs w:val="20"/>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Proceeds from the sale of subsidiaries and assets were $432.3 million, $44.1 million and $121.4 million during the years ended December 31, 2019, 2018, and 2017,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Proceeds from the issuance of common shares were $148.3 million, net of issuance costs of $0.8 million, during the year ended December 31, 2018. There were no issuances of common shares in 2019.</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$194.0 million during the year ended December 31, 2019.</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if or when any such transaction will be consummated or the terms of any such transaction.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center"/>
              <w:ind w:right="22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328"/>
              <w:spacing w:after="0"/>
              <w:rPr>
                <w:sz w:val="20"/>
                <w:szCs w:val="20"/>
                <w:color w:val="auto"/>
              </w:rPr>
            </w:pPr>
            <w:r>
              <w:rPr>
                <w:rFonts w:ascii="Arial" w:cs="Arial" w:eastAsia="Arial" w:hAnsi="Arial"/>
                <w:sz w:val="14"/>
                <w:szCs w:val="14"/>
                <w:b w:val="1"/>
                <w:bCs w:val="1"/>
                <w:color w:val="auto"/>
              </w:rPr>
              <w:t>151,043</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288"/>
              <w:spacing w:after="0"/>
              <w:rPr>
                <w:sz w:val="20"/>
                <w:szCs w:val="20"/>
                <w:color w:val="auto"/>
              </w:rPr>
            </w:pPr>
            <w:r>
              <w:rPr>
                <w:rFonts w:ascii="Arial" w:cs="Arial" w:eastAsia="Arial" w:hAnsi="Arial"/>
                <w:sz w:val="14"/>
                <w:szCs w:val="14"/>
                <w:color w:val="auto"/>
              </w:rPr>
              <w:t>133,697</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68,497</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08"/>
              <w:spacing w:after="0"/>
              <w:rPr>
                <w:sz w:val="20"/>
                <w:szCs w:val="20"/>
                <w:color w:val="auto"/>
              </w:rPr>
            </w:pPr>
            <w:r>
              <w:rPr>
                <w:rFonts w:ascii="Arial" w:cs="Arial" w:eastAsia="Arial" w:hAnsi="Arial"/>
                <w:sz w:val="14"/>
                <w:szCs w:val="14"/>
                <w:b w:val="1"/>
                <w:bCs w:val="1"/>
                <w:color w:val="auto"/>
              </w:rPr>
              <w:t>(495,236)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rPr>
              <w:t>(703,533)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(472,265)</w:t>
            </w:r>
          </w:p>
        </w:tc>
      </w:tr>
      <w:tr>
        <w:trPr>
          <w:trHeight w:val="204"/>
        </w:trPr>
        <w:tc>
          <w:tcPr>
            <w:tcW w:w="666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7"/>
                <w:szCs w:val="17"/>
                <w:color w:val="auto"/>
              </w:rPr>
            </w:pPr>
          </w:p>
        </w:tc>
        <w:tc>
          <w:tcPr>
            <w:tcW w:w="1080" w:type="dxa"/>
            <w:vAlign w:val="bottom"/>
          </w:tcPr>
          <w:p>
            <w:pPr>
              <w:jc w:val="center"/>
              <w:ind w:left="328"/>
              <w:spacing w:after="0"/>
              <w:rPr>
                <w:sz w:val="20"/>
                <w:szCs w:val="20"/>
                <w:color w:val="auto"/>
              </w:rPr>
            </w:pPr>
            <w:r>
              <w:rPr>
                <w:rFonts w:ascii="Arial" w:cs="Arial" w:eastAsia="Arial" w:hAnsi="Arial"/>
                <w:sz w:val="14"/>
                <w:szCs w:val="14"/>
                <w:b w:val="1"/>
                <w:bCs w:val="1"/>
                <w:color w:val="auto"/>
              </w:rPr>
              <w:t>465,873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color w:val="auto"/>
              </w:rPr>
              <w:t>597,867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363,078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2019 and 2018</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Net cash provided by operating activities increased $17.3 million primarily due to an increase in net income of $223.5 million and adjustments to reconcile net income which includes (i) an increase in depreciation and amortization of $34.9 million, (ii) a change in current and deferred income taxes of $13.8 million and</w:t>
      </w:r>
    </w:p>
    <w:p>
      <w:pPr>
        <w:spacing w:after="0" w:line="1" w:lineRule="exact"/>
        <w:rPr>
          <w:sz w:val="20"/>
          <w:szCs w:val="20"/>
          <w:color w:val="auto"/>
        </w:rPr>
      </w:pPr>
    </w:p>
    <w:p>
      <w:pPr>
        <w:ind w:right="20" w:firstLine="8"/>
        <w:spacing w:after="0" w:line="260" w:lineRule="auto"/>
        <w:tabs>
          <w:tab w:leader="none" w:pos="2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change in fair value of non-hedge derivatives of $10.1 million. These increases were partially offset by (iv) a change in gain on sale of subsidiaries and assets of $276.8 million.</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decreased $208.3 million primarily due to (i) proceeds from the sale of subsidiaries of $183.8 million and (ii) an increase in proceeds from the sale of leasing equipment of $204.4 million. These increases were partially offset by (iii) an increase in acquisitions of property, plant and equipment of $101.2 million, (iv) an increase in acquisitions of leasing equipment of $70.6 million and (v) the acquisition of the remaining interest in a JV investment of $28.8 million.</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financing activities decreased $132.0 million primarily due to (i) an increase in repayments of debt of $186.3 million, (ii) a decrease in proceeds from the issuance of common shares, net of $147.5 million and (iii) an increase in payment of deferred financing costs of $31.2 million. These decreases were partially offset by (iv) proceeds from the issuance of preferred shares, net of $194.0 million and (v) an increase in proceeds from debt of $37.8 million .</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2018 and 2017</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operating activities increased $65.2 million primarily due to an increase in net income of $7.5 million and adjustments to reconcile net income which include increases in (i) depreciation and amortization of $48.2 million, (ii) amortization of lease intangibles and incentives of $18.4 million and (iii) a change in gain on sale of equipment of $14.4 million. These increases were partially offset by security deposits and maintenance claims included in earnings of $6.3 million and a change in fair value of non-hedge derivatives of $4.5 million. Also contributing to the offset were the changes in accounts receivable, other assets, and other liabilities due to the continued expansion of operations across all business segments.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increased $231.3 million primarily due to (i) the acquisition of property, plant and equipment of $113.9 million, (ii) the acquisition of leasing equipment and lease intangibles of $73.5 million in the Aviation Leasing segment and (iii) lower proceeds from the sale of leasing equipment and available-for-sale securities of $47.1 million and $30.2 million, respectively. Partially offsetting this increase was a change in cash used for investments of $30.4 million.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financing activities increased $234.8 million primarily due to proceeds from borrowings under (i) the 2025 Notes of $291.0 million, (ii) a net increase in the Revolving Credit Facility of $180.0 million and (iii) the Jefferson Revolver of $49.5 million. Additionally, we received proceeds from the issuance of common shares, net of issuance costs of $147.5 million. Partially offsetting these increases were (i) a net decrease in proceeds from borrowings under the 2022 Notes of $340.2 million and (ii) a net increase in repayments of the Revolving Credit Facility and the CMQR Credit Agreement of $80.0 million and $14.2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U.S. generally accepted accounting principles (“GAAP”). The GAAP measure most directly comparable to FAD is net cash provided by operating activities. We believe FAD is a useful metric for investors and analysts for similar purposes.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151,043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68,497</w:t>
            </w:r>
          </w:p>
        </w:tc>
      </w:tr>
      <w:tr>
        <w:trPr>
          <w:trHeight w:val="216"/>
        </w:trPr>
        <w:tc>
          <w:tcPr>
            <w:tcW w:w="670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13,398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473</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432,273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44,085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121,419</w:t>
            </w:r>
          </w:p>
        </w:tc>
      </w:tr>
      <w:tr>
        <w:trPr>
          <w:trHeight w:val="216"/>
        </w:trPr>
        <w:tc>
          <w:tcPr>
            <w:tcW w:w="670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2,085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(8,368)</w:t>
            </w:r>
          </w:p>
        </w:tc>
      </w:tr>
      <w:tr>
        <w:trPr>
          <w:trHeight w:val="216"/>
        </w:trPr>
        <w:tc>
          <w:tcPr>
            <w:tcW w:w="670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(254)</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4,726</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7,610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(4,515)</w:t>
            </w:r>
          </w:p>
        </w:tc>
      </w:tr>
      <w:tr>
        <w:trPr>
          <w:trHeight w:val="21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566,436</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181,665</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177,252</w:t>
            </w:r>
          </w:p>
        </w:tc>
      </w:tr>
      <w:tr>
        <w:trPr>
          <w:trHeight w:val="21"/>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271" w:lineRule="exact"/>
        <w:rPr>
          <w:sz w:val="20"/>
          <w:szCs w:val="20"/>
          <w:color w:val="auto"/>
        </w:rPr>
      </w:pPr>
    </w:p>
    <w:p>
      <w:pPr>
        <w:jc w:val="both"/>
        <w:ind w:left="180" w:hanging="172"/>
        <w:spacing w:after="0" w:line="229" w:lineRule="auto"/>
        <w:tabs>
          <w:tab w:leader="none" w:pos="158"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year ended December 31, 2019 exclude repayments of $350,000 for the Revolving Credit Facility and $18,572 for the CMQR Credit Agreement, and for the year ended December 31, 2018 exclude repayments of $175,000 for the Revolving Credit Facility and $36,026 for the CMQR Credit Agreement, and for the year ended December 31, 2017 exclude repayments of $100,000 for a certain tern loan, $95,000 for the Revolving Credit Facility and $21,855 for the CMQR Credit Agreement, all of which were voluntary refinancings as repayments of these amounts were not required at such time.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5" w:lineRule="exact"/>
        <w:rPr>
          <w:sz w:val="20"/>
          <w:szCs w:val="20"/>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8 to the Consolidated Financial Statements for information related to our debt obligations.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December 31, 2019,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December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Payments Due by Period</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Credit Agreement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4"/>
                <w:szCs w:val="14"/>
                <w:color w:val="auto"/>
              </w:rPr>
              <w:t xml:space="preserve">Jefferson Revolver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28,880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144,200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0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135"/>
        </w:trPr>
        <w:tc>
          <w:tcPr>
            <w:tcW w:w="33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Total principal payments on loans and bonds</w:t>
            </w:r>
          </w:p>
        </w:tc>
        <w:tc>
          <w:tcPr>
            <w:tcW w:w="2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1,444,759</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182,019</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76,960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702,120</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2,295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2,485</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478,880</w:t>
            </w: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payable</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302,915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85,304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80,427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31,559</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obligations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121,848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105,754</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424,763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88,612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83,806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45,208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35,126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34,698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137,313</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1,869,522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270,631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160,766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747,328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37,421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37,183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616,193</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8" w:lineRule="exact"/>
        <w:rPr>
          <w:sz w:val="20"/>
          <w:szCs w:val="20"/>
          <w:color w:val="auto"/>
        </w:rPr>
      </w:pPr>
    </w:p>
    <w:p>
      <w:pPr>
        <w:ind w:left="180" w:right="20" w:hanging="172"/>
        <w:spacing w:after="0" w:line="200" w:lineRule="auto"/>
        <w:tabs>
          <w:tab w:leader="none" w:pos="158"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 February 2020, we refinanced the Series 2012 Bonds and Series 2016 Bonds which extended the earliest maturity date to 2025 and also paid off the Jefferson Revolver. See Note 21 to the consolidated financial statements for additional details.</w:t>
      </w:r>
    </w:p>
    <w:p>
      <w:pPr>
        <w:spacing w:after="0" w:line="5"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Estimated interest payments based on rates as of December 31, 2019.</w:t>
      </w:r>
    </w:p>
    <w:p>
      <w:pPr>
        <w:spacing w:after="0" w:line="3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include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 (inclusive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capitalized acquisition costs, where applicable) and depreciated using the straight-line method, over estimated useful lives, to estimated residual values which are summarized as follows: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Asset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 of Estimated Useful Lives</w:t>
            </w:r>
          </w:p>
        </w:tc>
        <w:tc>
          <w:tcPr>
            <w:tcW w:w="120" w:type="dxa"/>
            <w:vAlign w:val="bottom"/>
            <w:tcBorders>
              <w:bottom w:val="single" w:sz="8" w:color="CCEEFF"/>
            </w:tcBorders>
          </w:tcPr>
          <w:p>
            <w:pPr>
              <w:spacing w:after="0"/>
              <w:rPr>
                <w:sz w:val="17"/>
                <w:szCs w:val="17"/>
                <w:color w:val="auto"/>
              </w:rPr>
            </w:pPr>
          </w:p>
        </w:tc>
        <w:tc>
          <w:tcPr>
            <w:tcW w:w="35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Residual Value Estimates</w:t>
            </w:r>
          </w:p>
        </w:tc>
      </w:tr>
      <w:tr>
        <w:trPr>
          <w:trHeight w:val="19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Aircraft</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Generally not to exceed 15% of manufacturer’s list</w:t>
            </w:r>
          </w:p>
        </w:tc>
      </w:tr>
      <w:tr>
        <w:trPr>
          <w:trHeight w:val="184"/>
        </w:trPr>
        <w:tc>
          <w:tcPr>
            <w:tcW w:w="4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94"/>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60" w:type="dxa"/>
            <w:vAlign w:val="bottom"/>
            <w:gridSpan w:val="3"/>
          </w:tcPr>
          <w:p>
            <w:pPr>
              <w:ind w:left="20"/>
              <w:spacing w:after="0"/>
              <w:rPr>
                <w:sz w:val="20"/>
                <w:szCs w:val="20"/>
                <w:color w:val="auto"/>
              </w:rPr>
            </w:pPr>
            <w:r>
              <w:rPr>
                <w:rFonts w:ascii="Arial" w:cs="Arial" w:eastAsia="Arial" w:hAnsi="Arial"/>
                <w:sz w:val="14"/>
                <w:szCs w:val="14"/>
                <w:color w:val="auto"/>
              </w:rPr>
              <w:t>- 6 years, based on maintenance adjusted service</w:t>
            </w:r>
          </w:p>
        </w:tc>
        <w:tc>
          <w:tcPr>
            <w:tcW w:w="3500" w:type="dxa"/>
            <w:vAlign w:val="bottom"/>
          </w:tcPr>
          <w:p>
            <w:pPr>
              <w:ind w:left="20"/>
              <w:spacing w:after="0"/>
              <w:rPr>
                <w:sz w:val="20"/>
                <w:szCs w:val="20"/>
                <w:color w:val="auto"/>
              </w:rPr>
            </w:pPr>
            <w:r>
              <w:rPr>
                <w:rFonts w:ascii="Arial" w:cs="Arial" w:eastAsia="Arial" w:hAnsi="Arial"/>
                <w:sz w:val="14"/>
                <w:szCs w:val="14"/>
                <w:color w:val="auto"/>
              </w:rPr>
              <w:t>Sum of engine core salvage value plus the estimated</w:t>
            </w:r>
          </w:p>
        </w:tc>
      </w:tr>
      <w:tr>
        <w:trPr>
          <w:trHeight w:val="178"/>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gridSpan w:val="4"/>
          </w:tcPr>
          <w:p>
            <w:pPr>
              <w:ind w:left="20"/>
              <w:spacing w:after="0"/>
              <w:rPr>
                <w:sz w:val="20"/>
                <w:szCs w:val="20"/>
                <w:color w:val="auto"/>
              </w:rPr>
            </w:pPr>
            <w:r>
              <w:rPr>
                <w:rFonts w:ascii="Arial" w:cs="Arial" w:eastAsia="Arial" w:hAnsi="Arial"/>
                <w:sz w:val="14"/>
                <w:szCs w:val="14"/>
                <w:color w:val="auto"/>
              </w:rPr>
              <w:t>life</w:t>
            </w:r>
          </w:p>
        </w:tc>
        <w:tc>
          <w:tcPr>
            <w:tcW w:w="350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Offshore energy vessels</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of new build cost</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Railcars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40</w:t>
            </w:r>
          </w:p>
        </w:tc>
        <w:tc>
          <w:tcPr>
            <w:tcW w:w="338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Buildings and site improvements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20</w:t>
            </w:r>
          </w:p>
        </w:tc>
        <w:tc>
          <w:tcPr>
            <w:tcW w:w="3380" w:type="dxa"/>
            <w:vAlign w:val="bottom"/>
            <w:gridSpan w:val="2"/>
          </w:tcPr>
          <w:p>
            <w:pPr>
              <w:ind w:left="20"/>
              <w:spacing w:after="0"/>
              <w:rPr>
                <w:sz w:val="20"/>
                <w:szCs w:val="20"/>
                <w:color w:val="auto"/>
              </w:rPr>
            </w:pPr>
            <w:r>
              <w:rPr>
                <w:rFonts w:ascii="Arial" w:cs="Arial" w:eastAsia="Arial" w:hAnsi="Arial"/>
                <w:sz w:val="14"/>
                <w:szCs w:val="14"/>
                <w:color w:val="auto"/>
              </w:rPr>
              <w:t>- 30 years</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380" w:type="dxa"/>
            <w:vAlign w:val="bottom"/>
            <w:gridSpan w:val="2"/>
          </w:tcPr>
          <w:p>
            <w:pPr>
              <w:ind w:left="20"/>
              <w:spacing w:after="0"/>
              <w:rPr>
                <w:sz w:val="20"/>
                <w:szCs w:val="20"/>
                <w:color w:val="auto"/>
              </w:rPr>
            </w:pPr>
            <w:r>
              <w:rPr>
                <w:rFonts w:ascii="Arial" w:cs="Arial" w:eastAsia="Arial" w:hAnsi="Arial"/>
                <w:sz w:val="14"/>
                <w:szCs w:val="14"/>
                <w:color w:val="auto"/>
              </w:rPr>
              <w:t>- 25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- 7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60" w:type="dxa"/>
            <w:vAlign w:val="bottom"/>
            <w:gridSpan w:val="3"/>
          </w:tcPr>
          <w:p>
            <w:pPr>
              <w:ind w:left="20"/>
              <w:spacing w:after="0"/>
              <w:rPr>
                <w:sz w:val="20"/>
                <w:szCs w:val="20"/>
                <w:color w:val="auto"/>
              </w:rPr>
            </w:pPr>
            <w:r>
              <w:rPr>
                <w:rFonts w:ascii="Arial" w:cs="Arial" w:eastAsia="Arial" w:hAnsi="Arial"/>
                <w:sz w:val="14"/>
                <w:szCs w:val="14"/>
                <w:color w:val="auto"/>
              </w:rPr>
              <w:t>- 6 years from date of purchase</w:t>
            </w:r>
          </w:p>
        </w:tc>
        <w:tc>
          <w:tcPr>
            <w:tcW w:w="350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 circumstances,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54" w:name="page55"/>
    <w:bookmarkEnd w:id="54"/>
    <w:p>
      <w:pPr>
        <w:jc w:val="both"/>
        <w:spacing w:after="0" w:line="249"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 With respect to our offshore segment, although we expect current market conditions to improve, if such conditions persist for an extended period of time, this could result in the impairment of some of our offshore vessels.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$122.6 million and $116.0 million as of December 31, 2019 and 2018, respectively. The increase relates to our purchase of the remaining 50% interest in JGP Energy Partners LLC. See Note 7 to the consolidated financial statements for additional details.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2019 or 2018.</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2020 subject to obtaining rail capacity for crude, permits for pipeline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year to two to years will affect our forecasted growth and therefore our estimated fair value. We continue to expect the Jefferson Terminal segment to generate positive Adjusted EBITDA during 2020.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strengthening macroeconomic conditions such as increased oil prices and the increasing spread between Western Canadian Crude and Western Texas Intermediate are better than we anticipated, and we remain positive for the outlook of Jefferson Terminal’s earnings potential.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2018, and 2017 there was no impairment of goodwill.</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taxed at prevailing rates.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remainder of our income is allocated directly to our partners and is not subject to a corporate level of taxation. Certain subsidiaries of ours are subject to income tax in the foreign countries in which they conduct business.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2019,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$1.0 million over the next 12 months.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3" w:right="239" w:bottom="1440" w:gutter="0" w:footer="0" w:header="0"/>
        </w:sectPr>
      </w:pPr>
    </w:p>
    <w:bookmarkStart w:id="56" w:name="page57"/>
    <w:bookmarkEnd w:id="56"/>
    <w:p>
      <w:pPr>
        <w:spacing w:after="0"/>
        <w:tabs>
          <w:tab w:leader="none" w:pos="680" w:val="left"/>
        </w:tabs>
        <w:rPr>
          <w:sz w:val="20"/>
          <w:szCs w:val="20"/>
          <w:color w:val="auto"/>
        </w:rPr>
      </w:pPr>
      <w:r>
        <w:rPr>
          <w:rFonts w:ascii="Arial" w:cs="Arial" w:eastAsia="Arial" w:hAnsi="Arial"/>
          <w:sz w:val="16"/>
          <w:szCs w:val="16"/>
          <w:b w:val="1"/>
          <w:bCs w:val="1"/>
          <w:color w:val="00497F"/>
        </w:rPr>
        <w:t>Item 8.</w:t>
        <w:tab/>
        <w:t>Financial Statements and Supplementary Data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40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Fortress Transportation and Infrastructure Investors LLC:</w:t>
            </w:r>
          </w:p>
        </w:tc>
        <w:tc>
          <w:tcPr>
            <w:tcW w:w="1720" w:type="dxa"/>
            <w:vAlign w:val="bottom"/>
          </w:tcPr>
          <w:p>
            <w:pPr>
              <w:spacing w:after="0"/>
              <w:rPr>
                <w:sz w:val="16"/>
                <w:szCs w:val="16"/>
                <w:color w:val="auto"/>
              </w:rPr>
            </w:pPr>
          </w:p>
        </w:tc>
      </w:tr>
      <w:tr>
        <w:trPr>
          <w:trHeight w:val="203"/>
        </w:trPr>
        <w:tc>
          <w:tcPr>
            <w:tcW w:w="9400" w:type="dxa"/>
            <w:vAlign w:val="bottom"/>
          </w:tcPr>
          <w:p>
            <w:pPr>
              <w:ind w:left="460"/>
              <w:spacing w:after="0"/>
              <w:rPr>
                <w:rFonts w:ascii="Arial" w:cs="Arial" w:eastAsia="Arial" w:hAnsi="Arial"/>
                <w:sz w:val="14"/>
                <w:szCs w:val="14"/>
                <w:color w:val="0000FF"/>
              </w:rPr>
            </w:pPr>
            <w:hyperlink w:anchor="page57">
              <w:r>
                <w:rPr>
                  <w:rFonts w:ascii="Arial" w:cs="Arial" w:eastAsia="Arial" w:hAnsi="Arial"/>
                  <w:sz w:val="14"/>
                  <w:szCs w:val="14"/>
                  <w:color w:val="0000FF"/>
                </w:rPr>
                <w:t>Report of Independent Registered Public Accounting Firm</w:t>
              </w:r>
            </w:hyperlink>
          </w:p>
        </w:tc>
        <w:tc>
          <w:tcPr>
            <w:tcW w:w="1720" w:type="dxa"/>
            <w:vAlign w:val="bottom"/>
          </w:tcPr>
          <w:p>
            <w:pPr>
              <w:jc w:val="right"/>
              <w:spacing w:after="0"/>
              <w:rPr>
                <w:rFonts w:ascii="Arial" w:cs="Arial" w:eastAsia="Arial" w:hAnsi="Arial"/>
                <w:sz w:val="14"/>
                <w:szCs w:val="14"/>
                <w:color w:val="0000FF"/>
              </w:rPr>
            </w:pPr>
            <w:hyperlink w:anchor="page57">
              <w:r>
                <w:rPr>
                  <w:rFonts w:ascii="Arial" w:cs="Arial" w:eastAsia="Arial" w:hAnsi="Arial"/>
                  <w:sz w:val="14"/>
                  <w:szCs w:val="14"/>
                  <w:color w:val="0000FF"/>
                </w:rPr>
                <w:t>58</w:t>
              </w:r>
            </w:hyperlink>
          </w:p>
        </w:tc>
      </w:tr>
      <w:tr>
        <w:trPr>
          <w:trHeight w:val="189"/>
        </w:trPr>
        <w:tc>
          <w:tcPr>
            <w:tcW w:w="9400" w:type="dxa"/>
            <w:vAlign w:val="bottom"/>
          </w:tcPr>
          <w:p>
            <w:pPr>
              <w:ind w:left="460"/>
              <w:spacing w:after="0"/>
              <w:rPr>
                <w:rFonts w:ascii="Arial" w:cs="Arial" w:eastAsia="Arial" w:hAnsi="Arial"/>
                <w:sz w:val="14"/>
                <w:szCs w:val="14"/>
                <w:color w:val="0000FF"/>
              </w:rPr>
            </w:pPr>
            <w:hyperlink w:anchor="page59">
              <w:r>
                <w:rPr>
                  <w:rFonts w:ascii="Arial" w:cs="Arial" w:eastAsia="Arial" w:hAnsi="Arial"/>
                  <w:sz w:val="14"/>
                  <w:szCs w:val="14"/>
                  <w:color w:val="0000FF"/>
                </w:rPr>
                <w:t>Consolidated Balance Sheets as of December 31, 2019 and 2018</w:t>
              </w:r>
            </w:hyperlink>
          </w:p>
        </w:tc>
        <w:tc>
          <w:tcPr>
            <w:tcW w:w="1720" w:type="dxa"/>
            <w:vAlign w:val="bottom"/>
          </w:tcPr>
          <w:p>
            <w:pPr>
              <w:jc w:val="right"/>
              <w:spacing w:after="0"/>
              <w:rPr>
                <w:rFonts w:ascii="Arial" w:cs="Arial" w:eastAsia="Arial" w:hAnsi="Arial"/>
                <w:sz w:val="14"/>
                <w:szCs w:val="14"/>
                <w:color w:val="0000FF"/>
              </w:rPr>
            </w:pPr>
            <w:hyperlink w:anchor="page59">
              <w:r>
                <w:rPr>
                  <w:rFonts w:ascii="Arial" w:cs="Arial" w:eastAsia="Arial" w:hAnsi="Arial"/>
                  <w:sz w:val="14"/>
                  <w:szCs w:val="14"/>
                  <w:color w:val="0000FF"/>
                </w:rPr>
                <w:t>60</w:t>
              </w:r>
            </w:hyperlink>
          </w:p>
        </w:tc>
      </w:tr>
      <w:tr>
        <w:trPr>
          <w:trHeight w:val="189"/>
        </w:trPr>
        <w:tc>
          <w:tcPr>
            <w:tcW w:w="9400" w:type="dxa"/>
            <w:vAlign w:val="bottom"/>
          </w:tcPr>
          <w:p>
            <w:pPr>
              <w:ind w:left="460"/>
              <w:spacing w:after="0"/>
              <w:rPr>
                <w:rFonts w:ascii="Arial" w:cs="Arial" w:eastAsia="Arial" w:hAnsi="Arial"/>
                <w:sz w:val="14"/>
                <w:szCs w:val="14"/>
                <w:color w:val="0000FF"/>
              </w:rPr>
            </w:pPr>
            <w:hyperlink w:anchor="page60">
              <w:r>
                <w:rPr>
                  <w:rFonts w:ascii="Arial" w:cs="Arial" w:eastAsia="Arial" w:hAnsi="Arial"/>
                  <w:sz w:val="14"/>
                  <w:szCs w:val="14"/>
                  <w:color w:val="0000FF"/>
                </w:rPr>
                <w:t>Consolidated Statements of Operations for the years ended December 31, 2019, 2018 and 2017</w:t>
              </w:r>
            </w:hyperlink>
          </w:p>
        </w:tc>
        <w:tc>
          <w:tcPr>
            <w:tcW w:w="1720" w:type="dxa"/>
            <w:vAlign w:val="bottom"/>
          </w:tcPr>
          <w:p>
            <w:pPr>
              <w:jc w:val="right"/>
              <w:spacing w:after="0"/>
              <w:rPr>
                <w:rFonts w:ascii="Arial" w:cs="Arial" w:eastAsia="Arial" w:hAnsi="Arial"/>
                <w:sz w:val="14"/>
                <w:szCs w:val="14"/>
                <w:color w:val="0000FF"/>
              </w:rPr>
            </w:pPr>
            <w:hyperlink w:anchor="page60">
              <w:r>
                <w:rPr>
                  <w:rFonts w:ascii="Arial" w:cs="Arial" w:eastAsia="Arial" w:hAnsi="Arial"/>
                  <w:sz w:val="14"/>
                  <w:szCs w:val="14"/>
                  <w:color w:val="0000FF"/>
                </w:rPr>
                <w:t>61</w:t>
              </w:r>
            </w:hyperlink>
          </w:p>
        </w:tc>
      </w:tr>
      <w:tr>
        <w:trPr>
          <w:trHeight w:val="189"/>
        </w:trPr>
        <w:tc>
          <w:tcPr>
            <w:tcW w:w="9400" w:type="dxa"/>
            <w:vAlign w:val="bottom"/>
          </w:tcPr>
          <w:p>
            <w:pPr>
              <w:ind w:left="460"/>
              <w:spacing w:after="0"/>
              <w:rPr>
                <w:rFonts w:ascii="Arial" w:cs="Arial" w:eastAsia="Arial" w:hAnsi="Arial"/>
                <w:sz w:val="14"/>
                <w:szCs w:val="14"/>
                <w:color w:val="0000FF"/>
              </w:rPr>
            </w:pPr>
            <w:hyperlink w:anchor="page61">
              <w:r>
                <w:rPr>
                  <w:rFonts w:ascii="Arial" w:cs="Arial" w:eastAsia="Arial" w:hAnsi="Arial"/>
                  <w:sz w:val="14"/>
                  <w:szCs w:val="14"/>
                  <w:color w:val="0000FF"/>
                </w:rPr>
                <w:t>Consolidated Statements of Comprehensive Income (Loss) for the years ended December 31, 2019, 2018 and 2017</w:t>
              </w:r>
            </w:hyperlink>
          </w:p>
        </w:tc>
        <w:tc>
          <w:tcPr>
            <w:tcW w:w="1720" w:type="dxa"/>
            <w:vAlign w:val="bottom"/>
          </w:tcPr>
          <w:p>
            <w:pPr>
              <w:jc w:val="right"/>
              <w:spacing w:after="0"/>
              <w:rPr>
                <w:rFonts w:ascii="Arial" w:cs="Arial" w:eastAsia="Arial" w:hAnsi="Arial"/>
                <w:sz w:val="14"/>
                <w:szCs w:val="14"/>
                <w:color w:val="0000FF"/>
              </w:rPr>
            </w:pPr>
            <w:hyperlink w:anchor="page61">
              <w:r>
                <w:rPr>
                  <w:rFonts w:ascii="Arial" w:cs="Arial" w:eastAsia="Arial" w:hAnsi="Arial"/>
                  <w:sz w:val="14"/>
                  <w:szCs w:val="14"/>
                  <w:color w:val="0000FF"/>
                </w:rPr>
                <w:t>62</w:t>
              </w:r>
            </w:hyperlink>
          </w:p>
        </w:tc>
      </w:tr>
      <w:tr>
        <w:trPr>
          <w:trHeight w:val="189"/>
        </w:trPr>
        <w:tc>
          <w:tcPr>
            <w:tcW w:w="9400" w:type="dxa"/>
            <w:vAlign w:val="bottom"/>
          </w:tcPr>
          <w:p>
            <w:pPr>
              <w:ind w:left="460"/>
              <w:spacing w:after="0"/>
              <w:rPr>
                <w:rFonts w:ascii="Arial" w:cs="Arial" w:eastAsia="Arial" w:hAnsi="Arial"/>
                <w:sz w:val="14"/>
                <w:szCs w:val="14"/>
                <w:color w:val="0000FF"/>
              </w:rPr>
            </w:pPr>
            <w:hyperlink w:anchor="page62">
              <w:r>
                <w:rPr>
                  <w:rFonts w:ascii="Arial" w:cs="Arial" w:eastAsia="Arial" w:hAnsi="Arial"/>
                  <w:sz w:val="14"/>
                  <w:szCs w:val="14"/>
                  <w:color w:val="0000FF"/>
                </w:rPr>
                <w:t>Consolidated Statement of Changes in Equity for the years ended December 31, 2019, 2018 and 2017</w:t>
              </w:r>
            </w:hyperlink>
          </w:p>
        </w:tc>
        <w:tc>
          <w:tcPr>
            <w:tcW w:w="1720" w:type="dxa"/>
            <w:vAlign w:val="bottom"/>
          </w:tcPr>
          <w:p>
            <w:pPr>
              <w:jc w:val="right"/>
              <w:spacing w:after="0"/>
              <w:rPr>
                <w:rFonts w:ascii="Arial" w:cs="Arial" w:eastAsia="Arial" w:hAnsi="Arial"/>
                <w:sz w:val="14"/>
                <w:szCs w:val="14"/>
                <w:color w:val="0000FF"/>
              </w:rPr>
            </w:pPr>
            <w:hyperlink w:anchor="page62">
              <w:r>
                <w:rPr>
                  <w:rFonts w:ascii="Arial" w:cs="Arial" w:eastAsia="Arial" w:hAnsi="Arial"/>
                  <w:sz w:val="14"/>
                  <w:szCs w:val="14"/>
                  <w:color w:val="0000FF"/>
                </w:rPr>
                <w:t>63</w:t>
              </w:r>
            </w:hyperlink>
          </w:p>
        </w:tc>
      </w:tr>
      <w:tr>
        <w:trPr>
          <w:trHeight w:val="189"/>
        </w:trPr>
        <w:tc>
          <w:tcPr>
            <w:tcW w:w="9400" w:type="dxa"/>
            <w:vAlign w:val="bottom"/>
          </w:tcPr>
          <w:p>
            <w:pPr>
              <w:ind w:left="460"/>
              <w:spacing w:after="0"/>
              <w:rPr>
                <w:rFonts w:ascii="Arial" w:cs="Arial" w:eastAsia="Arial" w:hAnsi="Arial"/>
                <w:sz w:val="14"/>
                <w:szCs w:val="14"/>
                <w:color w:val="0000FF"/>
              </w:rPr>
            </w:pPr>
            <w:hyperlink w:anchor="page64">
              <w:r>
                <w:rPr>
                  <w:rFonts w:ascii="Arial" w:cs="Arial" w:eastAsia="Arial" w:hAnsi="Arial"/>
                  <w:sz w:val="14"/>
                  <w:szCs w:val="14"/>
                  <w:color w:val="0000FF"/>
                </w:rPr>
                <w:t>Consolidated Statements of Cash Flows for the years ended December 31, 2019, 2018 and 2017</w:t>
              </w:r>
            </w:hyperlink>
          </w:p>
        </w:tc>
        <w:tc>
          <w:tcPr>
            <w:tcW w:w="1720" w:type="dxa"/>
            <w:vAlign w:val="bottom"/>
          </w:tcPr>
          <w:p>
            <w:pPr>
              <w:jc w:val="right"/>
              <w:spacing w:after="0"/>
              <w:rPr>
                <w:rFonts w:ascii="Arial" w:cs="Arial" w:eastAsia="Arial" w:hAnsi="Arial"/>
                <w:sz w:val="14"/>
                <w:szCs w:val="14"/>
                <w:color w:val="0000FF"/>
              </w:rPr>
            </w:pPr>
            <w:hyperlink w:anchor="page64">
              <w:r>
                <w:rPr>
                  <w:rFonts w:ascii="Arial" w:cs="Arial" w:eastAsia="Arial" w:hAnsi="Arial"/>
                  <w:sz w:val="14"/>
                  <w:szCs w:val="14"/>
                  <w:color w:val="0000FF"/>
                </w:rPr>
                <w:t>64</w:t>
              </w:r>
            </w:hyperlink>
          </w:p>
        </w:tc>
      </w:tr>
      <w:tr>
        <w:trPr>
          <w:trHeight w:val="189"/>
        </w:trPr>
        <w:tc>
          <w:tcPr>
            <w:tcW w:w="9400" w:type="dxa"/>
            <w:vAlign w:val="bottom"/>
          </w:tcPr>
          <w:p>
            <w:pPr>
              <w:ind w:left="460"/>
              <w:spacing w:after="0"/>
              <w:rPr>
                <w:rFonts w:ascii="Arial" w:cs="Arial" w:eastAsia="Arial" w:hAnsi="Arial"/>
                <w:sz w:val="14"/>
                <w:szCs w:val="14"/>
                <w:color w:val="0000FF"/>
              </w:rPr>
            </w:pPr>
            <w:hyperlink w:anchor="page66">
              <w:r>
                <w:rPr>
                  <w:rFonts w:ascii="Arial" w:cs="Arial" w:eastAsia="Arial" w:hAnsi="Arial"/>
                  <w:sz w:val="14"/>
                  <w:szCs w:val="14"/>
                  <w:color w:val="0000FF"/>
                </w:rPr>
                <w:t>Notes to Consolidated Financial Statements</w:t>
              </w:r>
            </w:hyperlink>
          </w:p>
        </w:tc>
        <w:tc>
          <w:tcPr>
            <w:tcW w:w="1720" w:type="dxa"/>
            <w:vAlign w:val="bottom"/>
          </w:tcPr>
          <w:p>
            <w:pPr>
              <w:jc w:val="right"/>
              <w:spacing w:after="0"/>
              <w:rPr>
                <w:rFonts w:ascii="Arial" w:cs="Arial" w:eastAsia="Arial" w:hAnsi="Arial"/>
                <w:sz w:val="14"/>
                <w:szCs w:val="14"/>
                <w:color w:val="0000FF"/>
              </w:rPr>
            </w:pPr>
            <w:hyperlink w:anchor="page66">
              <w:r>
                <w:rPr>
                  <w:rFonts w:ascii="Arial" w:cs="Arial" w:eastAsia="Arial" w:hAnsi="Arial"/>
                  <w:sz w:val="14"/>
                  <w:szCs w:val="14"/>
                  <w:color w:val="0000FF"/>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932" w:right="51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ind w:right="3760"/>
        <w:spacing w:after="0" w:line="387" w:lineRule="auto"/>
        <w:rPr>
          <w:sz w:val="20"/>
          <w:szCs w:val="20"/>
          <w:color w:val="auto"/>
        </w:rPr>
      </w:pP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the Financial Statements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 have </w:t>
      </w:r>
      <w:r>
        <w:rPr>
          <w:rFonts w:ascii="Arial" w:cs="Arial" w:eastAsia="Arial" w:hAnsi="Arial"/>
          <w:sz w:val="16"/>
          <w:szCs w:val="16"/>
          <w:color w:val="333333"/>
        </w:rPr>
        <w:t>audited the accompanying consolidated balance sheets of</w:t>
      </w:r>
      <w:r>
        <w:rPr>
          <w:rFonts w:ascii="Arial" w:cs="Arial" w:eastAsia="Arial" w:hAnsi="Arial"/>
          <w:sz w:val="16"/>
          <w:szCs w:val="16"/>
          <w:color w:val="auto"/>
        </w:rPr>
        <w:t xml:space="preserve"> Fortress Transportation and Infrastructure Investors LLC </w:t>
      </w:r>
      <w:r>
        <w:rPr>
          <w:rFonts w:ascii="Arial" w:cs="Arial" w:eastAsia="Arial" w:hAnsi="Arial"/>
          <w:sz w:val="16"/>
          <w:szCs w:val="16"/>
          <w:color w:val="333333"/>
        </w:rPr>
        <w:t>(“the Company”) as of December</w:t>
      </w:r>
      <w:r>
        <w:rPr>
          <w:rFonts w:ascii="Arial" w:cs="Arial" w:eastAsia="Arial" w:hAnsi="Arial"/>
          <w:sz w:val="16"/>
          <w:szCs w:val="16"/>
          <w:color w:val="auto"/>
        </w:rPr>
        <w:t xml:space="preserve"> </w:t>
      </w:r>
      <w:r>
        <w:rPr>
          <w:rFonts w:ascii="Arial" w:cs="Arial" w:eastAsia="Arial" w:hAnsi="Arial"/>
          <w:sz w:val="16"/>
          <w:szCs w:val="16"/>
          <w:color w:val="333333"/>
        </w:rPr>
        <w:t>31, 2019 and 2018, the related consolidated statements of operations, comprehensive income (loss), changes in equity and cash flows for each of the three years in the period ended December 31, 2019, and the related notes</w:t>
      </w:r>
      <w:r>
        <w:rPr>
          <w:sz w:val="1"/>
          <w:szCs w:val="1"/>
          <w:color w:val="auto"/>
        </w:rPr>
        <w:drawing>
          <wp:inline distT="0" distB="0" distL="0" distR="0">
            <wp:extent cx="26035" cy="774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77470"/>
                    </a:xfrm>
                    <a:prstGeom prst="rect">
                      <a:avLst/>
                    </a:prstGeom>
                    <a:noFill/>
                    <a:ln>
                      <a:noFill/>
                    </a:ln>
                  </pic:spPr>
                </pic:pic>
              </a:graphicData>
            </a:graphic>
          </wp:inline>
        </w:drawing>
      </w:r>
      <w:r>
        <w:rPr>
          <w:rFonts w:ascii="Arial" w:cs="Arial" w:eastAsia="Arial" w:hAnsi="Arial"/>
          <w:sz w:val="16"/>
          <w:szCs w:val="16"/>
          <w:color w:val="333333"/>
        </w:rPr>
        <w:t>(collectively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 xml:space="preserve">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w:t>
      </w:r>
      <w:r>
        <w:rPr>
          <w:rFonts w:ascii="Arial" w:cs="Arial" w:eastAsia="Arial" w:hAnsi="Arial"/>
          <w:sz w:val="16"/>
          <w:szCs w:val="16"/>
          <w:color w:val="000000"/>
        </w:rPr>
        <w:t>February 28, 2020</w:t>
      </w:r>
      <w:r>
        <w:rPr>
          <w:rFonts w:ascii="Arial" w:cs="Arial" w:eastAsia="Arial" w:hAnsi="Arial"/>
          <w:sz w:val="16"/>
          <w:szCs w:val="16"/>
          <w:color w:val="333333"/>
        </w:rPr>
        <w:t xml:space="preserve"> expressed an unqualified opinion </w:t>
      </w:r>
      <w:r>
        <w:rPr>
          <w:rFonts w:ascii="Arial" w:cs="Arial" w:eastAsia="Arial" w:hAnsi="Arial"/>
          <w:sz w:val="16"/>
          <w:szCs w:val="16"/>
          <w:color w:val="000000"/>
        </w:rPr>
        <w:t>thereon.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These financial </w:t>
      </w:r>
      <w:r>
        <w:rPr>
          <w:rFonts w:ascii="Arial" w:cs="Arial" w:eastAsia="Arial" w:hAnsi="Arial"/>
          <w:sz w:val="16"/>
          <w:szCs w:val="16"/>
          <w:color w:val="333333"/>
        </w:rPr>
        <w:t>statements are the responsibility of the Company's management. Our responsibility is to express an opinion on the Company’s financial</w:t>
      </w:r>
      <w:r>
        <w:rPr>
          <w:rFonts w:ascii="Arial" w:cs="Arial" w:eastAsia="Arial" w:hAnsi="Arial"/>
          <w:sz w:val="16"/>
          <w:szCs w:val="16"/>
          <w:color w:val="auto"/>
        </w:rPr>
        <w:t xml:space="preserve"> </w:t>
      </w:r>
      <w:r>
        <w:rPr>
          <w:rFonts w:ascii="Arial" w:cs="Arial" w:eastAsia="Arial" w:hAnsi="Arial"/>
          <w:sz w:val="16"/>
          <w:szCs w:val="16"/>
          <w:color w:val="333333"/>
        </w:rPr>
        <w:t>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Critical Audit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 xml:space="preserve">The critical </w:t>
      </w:r>
      <w:r>
        <w:rPr>
          <w:rFonts w:ascii="Arial" w:cs="Arial" w:eastAsia="Arial" w:hAnsi="Arial"/>
          <w:sz w:val="16"/>
          <w:szCs w:val="16"/>
          <w:color w:val="000000"/>
        </w:rPr>
        <w:t>audit matters communicated below are matters arising from the current period audit of the financial statements that were communicated or required</w:t>
      </w:r>
      <w:r>
        <w:rPr>
          <w:rFonts w:ascii="Arial" w:cs="Arial" w:eastAsia="Arial" w:hAnsi="Arial"/>
          <w:sz w:val="16"/>
          <w:szCs w:val="16"/>
          <w:color w:val="333333"/>
        </w:rPr>
        <w:t xml:space="preserve"> </w:t>
      </w:r>
      <w:r>
        <w:rPr>
          <w:rFonts w:ascii="Arial" w:cs="Arial" w:eastAsia="Arial" w:hAnsi="Arial"/>
          <w:sz w:val="16"/>
          <w:szCs w:val="16"/>
          <w:color w:val="000000"/>
        </w:rPr>
        <w:t>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8" w:name="page59"/>
    <w:bookmarkEnd w:id="58"/>
    <w:p>
      <w:pPr>
        <w:ind w:left="1300"/>
        <w:spacing w:after="0"/>
        <w:rPr>
          <w:sz w:val="20"/>
          <w:szCs w:val="20"/>
          <w:color w:val="auto"/>
        </w:rPr>
      </w:pPr>
      <w:r>
        <w:rPr>
          <w:rFonts w:ascii="Arial" w:cs="Arial" w:eastAsia="Arial" w:hAnsi="Arial"/>
          <w:sz w:val="16"/>
          <w:szCs w:val="16"/>
          <w:b w:val="1"/>
          <w:bCs w:val="1"/>
          <w:color w:val="auto"/>
        </w:rPr>
        <w:t>Valuation of Goodwill-Jefferson Terminal Reporting Unit</w:t>
      </w:r>
    </w:p>
    <w:p>
      <w:pPr>
        <w:sectPr>
          <w:pgSz w:w="11900" w:h="16838" w:orient="portrait"/>
          <w:cols w:equalWidth="0" w:num="1">
            <w:col w:w="11400"/>
          </w:cols>
          <w:pgMar w:left="240" w:top="1040" w:right="259" w:bottom="1440" w:gutter="0" w:footer="0" w:header="0"/>
        </w:sectPr>
      </w:pPr>
    </w:p>
    <w:p>
      <w:pPr>
        <w:spacing w:after="0" w:line="171" w:lineRule="exact"/>
        <w:rPr>
          <w:sz w:val="20"/>
          <w:szCs w:val="20"/>
          <w:color w:val="auto"/>
        </w:rPr>
      </w:pPr>
    </w:p>
    <w:p>
      <w:pPr>
        <w:ind w:left="20" w:right="180"/>
        <w:spacing w:after="0" w:line="281" w:lineRule="auto"/>
        <w:rPr>
          <w:sz w:val="20"/>
          <w:szCs w:val="20"/>
          <w:color w:val="auto"/>
        </w:rPr>
      </w:pPr>
      <w:r>
        <w:rPr>
          <w:rFonts w:ascii="Arial" w:cs="Arial" w:eastAsia="Arial" w:hAnsi="Arial"/>
          <w:sz w:val="16"/>
          <w:szCs w:val="16"/>
          <w:i w:val="1"/>
          <w:iCs w:val="1"/>
          <w:color w:val="333333"/>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line="264" w:lineRule="auto"/>
        <w:rPr>
          <w:sz w:val="20"/>
          <w:szCs w:val="20"/>
          <w:color w:val="auto"/>
        </w:rPr>
      </w:pPr>
      <w:r>
        <w:rPr>
          <w:rFonts w:ascii="Arial" w:cs="Arial" w:eastAsia="Arial" w:hAnsi="Arial"/>
          <w:sz w:val="16"/>
          <w:szCs w:val="16"/>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December 31, 2019, the Company’s goodwill was $122.6 million for the Jefferson Terminal reporting unit. As discussed in Note 2 of the financial statements, goodwill is tested for impairment at least annually at the reporting unit level.</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Auditing management’s annual goodwill impairment test was complex and highly judgmental due to the significant estimation required in determining the fair value of the Jefferson Terminal reporting unit. In particular, the fair value estimate was sensitive to significant assumptions such as the extent and timing of future cash flows (including forecasted revenue growth rates and EBITDA margins), capital expenditures and discount rates, which are affected by expectations about the Company’s ability to secure additional contracts and increase volumes from existing contracts as well as expectations about the overall industry, market and economic conditions.</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goodwill impairment review process, including management’s review of valuation methodology and significant assumptions described above.</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test the estimated fair value of the Company’s Jefferson Terminal reporting unit for use in the goodwill impairment assessment, we performed audit procedures that included, among others, assessing the valuation methodology used and testing the significant assumptions described above and the completeness and accuracy of the underlying data used by the Company in its analysis. For example, we compared the significant assumptions used by management to current industry, market and economic trends; to the historical results of the reporting unit and other guideline companies within the same industry; and evaluated whether changes to the Company’s business model, customer base or product mix and other relevant factors would affect the significant assumptions. We also assessed the historical accuracy of management’s estimates and performed sensitivity analyses of significant assumptions to evaluate the changes in the fair value of the Jefferson Terminal reporting unit that would result from changes in the assumptions. We also involved our valuation specialists to assist in our evaluation of the Company's valuation methodology and certain significant assumptions.</w:t>
      </w:r>
    </w:p>
    <w:p>
      <w:pPr>
        <w:spacing w:after="0" w:line="200" w:lineRule="exact"/>
        <w:rPr>
          <w:sz w:val="20"/>
          <w:szCs w:val="20"/>
          <w:color w:val="auto"/>
        </w:rPr>
      </w:pPr>
    </w:p>
    <w:p>
      <w:pPr>
        <w:sectPr>
          <w:pgSz w:w="11900" w:h="16838" w:orient="portrait"/>
          <w:cols w:equalWidth="0" w:num="2">
            <w:col w:w="1460" w:space="180"/>
            <w:col w:w="9760"/>
          </w:cols>
          <w:pgMar w:left="240" w:top="1040" w:right="259" w:bottom="1440" w:gutter="0" w:footer="0" w:header="0"/>
          <w:type w:val="continuous"/>
        </w:sectPr>
      </w:pPr>
    </w:p>
    <w:p>
      <w:pPr>
        <w:spacing w:after="0" w:line="9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Recognition of Maintenance Revenue for Aircraft Leases</w:t>
      </w:r>
    </w:p>
    <w:p>
      <w:pPr>
        <w:sectPr>
          <w:pgSz w:w="11900" w:h="16838" w:orient="portrait"/>
          <w:cols w:equalWidth="0" w:num="1">
            <w:col w:w="11400"/>
          </w:cols>
          <w:pgMar w:left="240" w:top="1040" w:right="259" w:bottom="1440" w:gutter="0" w:footer="0" w:header="0"/>
          <w:type w:val="continuous"/>
        </w:sectPr>
      </w:pPr>
    </w:p>
    <w:p>
      <w:pPr>
        <w:spacing w:after="0" w:line="171" w:lineRule="exact"/>
        <w:rPr>
          <w:sz w:val="20"/>
          <w:szCs w:val="20"/>
          <w:color w:val="auto"/>
        </w:rPr>
      </w:pPr>
    </w:p>
    <w:p>
      <w:pPr>
        <w:ind w:left="20" w:right="180"/>
        <w:spacing w:after="0" w:line="281" w:lineRule="auto"/>
        <w:rPr>
          <w:sz w:val="20"/>
          <w:szCs w:val="20"/>
          <w:color w:val="auto"/>
        </w:rPr>
      </w:pPr>
      <w:r>
        <w:rPr>
          <w:rFonts w:ascii="Arial" w:cs="Arial" w:eastAsia="Arial" w:hAnsi="Arial"/>
          <w:sz w:val="16"/>
          <w:szCs w:val="16"/>
          <w:i w:val="1"/>
          <w:iCs w:val="1"/>
          <w:color w:val="333333"/>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line="264" w:lineRule="auto"/>
        <w:rPr>
          <w:sz w:val="20"/>
          <w:szCs w:val="20"/>
          <w:color w:val="auto"/>
        </w:rPr>
      </w:pPr>
      <w:r>
        <w:rPr>
          <w:rFonts w:ascii="Arial" w:cs="Arial" w:eastAsia="Arial" w:hAnsi="Arial"/>
          <w:sz w:val="16"/>
          <w:szCs w:val="16"/>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described in Note 2 to the financial statements, the Company recognizes maintenance revenue for aircraft leases related to the portion of maintenance payments received from lessees that are not expected to be reimbursed for maintenance events. Revenue related to maintenance on leased aircraft is recorded as a component of Maintenance revenue and, as disclosed in Note 12, totaled $134.9 million for the year ended December 31, 2019.</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Auditing maintenance revenue related to aircraft leases was complex and highly judgmental due to the significant estimation involved in projecting the timing and cost of future major maintenance events. In particular, such estimates are sensitive to significant assumptions such as the mean time between removal (MTBR), the projected cost for the engine maintenance and forecasted utilization of the aircraft which are affected by historical usage patterns and overall industry, market and economic conditions. Changes to these significant assumptions could have a material effect on the amount of revenue recognized in the period.</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maintenance revenue recognition process, including controls over management’s review of the significant assumptions used in the determining the estimated timing and projected costs of major maintenance events described above.</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test maintenance revenue for aircraft leases, we performed audit procedures that included, among others, assessing the Company’s revenue recognition methodology and testing the significant assumptions described above and the completeness and accuracy of the underlying data used by the Company in its analysis. For example, we compared the significant assumptions used by management to the underlying customer lease agreements, historical utilization and third party estimates for MTBR and cost for engine maintenance, when available. We tested management’s retrospective review of timing and cost of estimated maintenance events to actual results to assess the historical accuracy of significant assumptions and contrary evidence, if any. We also performed a sensitivity analysis on utilization of the aircraft to evaluate the changes in the timing of the maintenance event from changes in utilization assumptions and the impact, if any, on maintenance revenue recognized in the period.</w:t>
      </w:r>
    </w:p>
    <w:p>
      <w:pPr>
        <w:spacing w:after="0" w:line="200" w:lineRule="exact"/>
        <w:rPr>
          <w:sz w:val="20"/>
          <w:szCs w:val="20"/>
          <w:color w:val="auto"/>
        </w:rPr>
      </w:pPr>
    </w:p>
    <w:p>
      <w:pPr>
        <w:sectPr>
          <w:pgSz w:w="11900" w:h="16838" w:orient="portrait"/>
          <w:cols w:equalWidth="0" w:num="2">
            <w:col w:w="1460" w:space="180"/>
            <w:col w:w="9760"/>
          </w:cols>
          <w:pgMar w:left="240" w:top="1040" w:right="25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8"/>
                <w:szCs w:val="18"/>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226,512</w:t>
            </w:r>
          </w:p>
        </w:tc>
        <w:tc>
          <w:tcPr>
            <w:tcW w:w="12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99,601</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16,005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21,236</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49,470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46,414</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1,707,059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1,432,210</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37,466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8,315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18,623</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732,109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662,019</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180,550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40,560</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27,692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38,498</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122,639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115,990</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129,105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106,883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discontinued operations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56,744</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3,236,922</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144,855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100,668</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Debt, net</w:t>
            </w:r>
          </w:p>
        </w:tc>
        <w:tc>
          <w:tcPr>
            <w:tcW w:w="72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1,420,928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1,215,108</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208,944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158,163</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45,252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38,539</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36,968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41,118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37,055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of discontinued operations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35,463</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1,898,065</w:t>
            </w: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1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shares ($0.01 par value per share; 2,000,000,000 shares authorized; 84,917,448 and 84,050,889</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849</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and outstanding as of December 31, 2019 and 2018, respectively)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0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8,050,000 and 0 shares issued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81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Arial" w:cs="Arial" w:eastAsia="Arial" w:hAnsi="Arial"/>
                <w:sz w:val="14"/>
                <w:szCs w:val="14"/>
                <w:color w:val="auto"/>
              </w:rPr>
              <w:t>and outstanding as of December 31, 2019 and 2018, respectively)</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1,110,122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1,029,376</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Retained earnings (accumulated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190,453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(32,817)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1,301,877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997,399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36,980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1,338,857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3,236,922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0" w:name="page61"/>
    <w:bookmarkEnd w:id="60"/>
    <w:p>
      <w:pPr>
        <w:ind w:right="504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5700" w:type="dxa"/>
            <w:vAlign w:val="bottom"/>
          </w:tcPr>
          <w:p>
            <w:pPr>
              <w:spacing w:after="0"/>
              <w:rPr>
                <w:sz w:val="18"/>
                <w:szCs w:val="18"/>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Notes</w:t>
            </w: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02"/>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349,322</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253,039</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170,000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229,452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89,073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15,052</w:t>
            </w:r>
          </w:p>
        </w:tc>
      </w:tr>
      <w:tr>
        <w:trPr>
          <w:trHeight w:val="21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578,774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342,112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185,052</w:t>
            </w:r>
          </w:p>
        </w:tc>
      </w:tr>
      <w:tr>
        <w:trPr>
          <w:trHeight w:val="216"/>
        </w:trPr>
        <w:tc>
          <w:tcPr>
            <w:tcW w:w="5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288,036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136,570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62,419</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20,441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17,126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14,570</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17,623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7,306</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4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36,059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15,726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15,732</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4, 6, 8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169,023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133,908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86,073</w:t>
            </w:r>
          </w:p>
        </w:tc>
      </w:tr>
      <w:tr>
        <w:trPr>
          <w:trHeight w:val="21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95,585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56,845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37,798</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626,767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367,143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223,898</w:t>
            </w:r>
          </w:p>
        </w:tc>
      </w:tr>
      <w:tr>
        <w:trPr>
          <w:trHeight w:val="216"/>
        </w:trPr>
        <w:tc>
          <w:tcPr>
            <w:tcW w:w="5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4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(2,375)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(1,601)</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203,250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18,593</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(2,456)</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(4,726)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531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688</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3,445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3,983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r>
      <w:tr>
        <w:trPr>
          <w:trHeight w:val="21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200,125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7,374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18,297</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152,132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(20,549)</w:t>
            </w:r>
          </w:p>
        </w:tc>
      </w:tr>
      <w:tr>
        <w:trPr>
          <w:trHeight w:val="21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17,810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2,449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1,954</w:t>
            </w: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from continuing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134,322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(22,503)</w:t>
            </w:r>
          </w:p>
        </w:tc>
      </w:tr>
      <w:tr>
        <w:trPr>
          <w:trHeight w:val="210"/>
        </w:trPr>
        <w:tc>
          <w:tcPr>
            <w:tcW w:w="5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 (loss) from discontinued operations, net of income taxes</w:t>
            </w: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73,462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(15,704)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(23,240)</w:t>
            </w:r>
          </w:p>
        </w:tc>
      </w:tr>
      <w:tr>
        <w:trPr>
          <w:trHeight w:val="174"/>
        </w:trPr>
        <w:tc>
          <w:tcPr>
            <w:tcW w:w="570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 in consolidated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8"/>
        </w:trPr>
        <w:tc>
          <w:tcPr>
            <w:tcW w:w="57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2"/>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(23,304)</w:t>
            </w:r>
          </w:p>
        </w:tc>
      </w:tr>
      <w:tr>
        <w:trPr>
          <w:trHeight w:val="210"/>
        </w:trPr>
        <w:tc>
          <w:tcPr>
            <w:tcW w:w="570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247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1,838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223,270</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5,882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134</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9"/>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70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1.74</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0.01</w:t>
            </w:r>
          </w:p>
        </w:tc>
      </w:tr>
      <w:tr>
        <w:trPr>
          <w:trHeight w:val="222"/>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0.85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4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r>
      <w:tr>
        <w:trPr>
          <w:trHeight w:val="210"/>
        </w:trPr>
        <w:tc>
          <w:tcPr>
            <w:tcW w:w="570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0.85</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Basic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85,992,019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83,654,068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75,766,811</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86,029,363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83,664,833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75,766,811</w:t>
            </w:r>
          </w:p>
        </w:tc>
      </w:tr>
    </w:tbl>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1" w:name="page62"/>
    <w:bookmarkEnd w:id="61"/>
    <w:p>
      <w:pPr>
        <w:ind w:right="50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INCOME (LOSS)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(23,240)</w:t>
            </w: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Other comprehensive income related to equity method investees, net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gain in available-for-sale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4,276</w:t>
            </w:r>
          </w:p>
        </w:tc>
      </w:tr>
      <w:tr>
        <w:trPr>
          <w:trHeight w:val="210"/>
        </w:trPr>
        <w:tc>
          <w:tcPr>
            <w:tcW w:w="6400" w:type="dxa"/>
            <w:vAlign w:val="bottom"/>
          </w:tcPr>
          <w:p>
            <w:pPr>
              <w:ind w:left="120"/>
              <w:spacing w:after="0"/>
              <w:rPr>
                <w:sz w:val="20"/>
                <w:szCs w:val="20"/>
                <w:color w:val="auto"/>
              </w:rPr>
            </w:pPr>
            <w:r>
              <w:rPr>
                <w:rFonts w:ascii="Arial" w:cs="Arial" w:eastAsia="Arial" w:hAnsi="Arial"/>
                <w:sz w:val="14"/>
                <w:szCs w:val="14"/>
                <w:color w:val="auto"/>
              </w:rPr>
              <w:t>Reclassification of gains included in net income</w:t>
            </w: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(11,406)</w:t>
            </w:r>
          </w:p>
        </w:tc>
      </w:tr>
      <w:tr>
        <w:trPr>
          <w:trHeight w:val="21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208,156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(15,704)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(30,370)</w:t>
            </w: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(23,304)</w:t>
            </w:r>
          </w:p>
        </w:tc>
      </w:tr>
      <w:tr>
        <w:trPr>
          <w:trHeight w:val="210"/>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Discontinued operations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r>
      <w:tr>
        <w:trPr>
          <w:trHeight w:val="23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225,480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60"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Net of deferred tax expense of $99 for the year ended December 31, 2019.</w:t>
      </w:r>
    </w:p>
    <w:p>
      <w:pPr>
        <w:sectPr>
          <w:pgSz w:w="11900" w:h="16838" w:orient="portrait"/>
          <w:cols w:equalWidth="0" w:num="1">
            <w:col w:w="11400"/>
          </w:cols>
          <w:pgMar w:left="240" w:top="118" w:right="259" w:bottom="2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40" w:top="118" w:right="259" w:bottom="201" w:gutter="0" w:footer="0" w:header="0"/>
          <w:type w:val="continuous"/>
        </w:sectPr>
      </w:pPr>
    </w:p>
    <w:bookmarkStart w:id="62" w:name="page63"/>
    <w:bookmarkEnd w:id="62"/>
    <w:p>
      <w:pPr>
        <w:jc w:val="center"/>
        <w:ind w:right="-2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53340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63" w:name="page64"/>
    <w:bookmarkEnd w:id="63"/>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 in Equity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Preferred</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Additional Paid</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 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Consolidated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1,084,757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(38,833)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111,868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1,165,680</w:t>
            </w: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(23,374)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(23,240)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(7,130)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(23,374)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(30,370)</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Capital distributions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non-controlling interest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Dividends declared - common</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(100,058)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(100,058)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Equity - December 31, 2017</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758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985,009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(38,699)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88,007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1,035,075</w:t>
            </w: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(15,704)</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comprehensive income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(15,704)</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147,717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147,799</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Dividends declared - common</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(110,584)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(110,584)</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Equity - December 31, 2018</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840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1,029,376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(32,817)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56,383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1,053,782</w:t>
            </w: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225,108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372</w:t>
            </w: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225,108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208,156</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Settlement of equity based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(10,483)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(10,483)</w:t>
            </w: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393</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common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(113,541)</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193,911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193,992</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(1,838)</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8,404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8,404</w:t>
            </w:r>
          </w:p>
        </w:tc>
        <w:tc>
          <w:tcPr>
            <w:tcW w:w="0" w:type="dxa"/>
            <w:vAlign w:val="bottom"/>
          </w:tcPr>
          <w:p>
            <w:pPr>
              <w:spacing w:after="0"/>
              <w:rPr>
                <w:sz w:val="1"/>
                <w:szCs w:val="1"/>
                <w:color w:val="auto"/>
              </w:rPr>
            </w:pPr>
          </w:p>
        </w:tc>
      </w:tr>
      <w:tr>
        <w:trPr>
          <w:trHeight w:val="241"/>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1,110,122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190,453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36,980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1,338,857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ind w:right="50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(15,704)</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(23,240)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2,375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1,601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(198,764)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(81,954)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(18,281)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2,456</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1,343</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171,225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136,354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88,110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settlement of liabilities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4,726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current and 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4,555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8,306</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8,333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4,202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701</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827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732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30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(22,622)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(12,001)</w:t>
            </w:r>
          </w:p>
        </w:tc>
      </w:tr>
      <w:tr>
        <w:trPr>
          <w:trHeight w:val="222"/>
        </w:trPr>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6,475</w:t>
            </w:r>
          </w:p>
        </w:tc>
      </w:tr>
      <w:tr>
        <w:trPr>
          <w:trHeight w:val="210"/>
        </w:trPr>
        <w:tc>
          <w:tcPr>
            <w:tcW w:w="7300" w:type="dxa"/>
            <w:vAlign w:val="bottom"/>
          </w:tcPr>
          <w:p>
            <w:pPr>
              <w:ind w:left="14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31,543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30,471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10,266</w:t>
            </w:r>
          </w:p>
        </w:tc>
      </w:tr>
      <w:tr>
        <w:trPr>
          <w:trHeight w:val="222"/>
        </w:trPr>
        <w:tc>
          <w:tcPr>
            <w:tcW w:w="7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fees payable to affiliate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899</w:t>
            </w:r>
          </w:p>
        </w:tc>
      </w:tr>
      <w:tr>
        <w:trPr>
          <w:trHeight w:val="210"/>
        </w:trPr>
        <w:tc>
          <w:tcPr>
            <w:tcW w:w="7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(14,837)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151,043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133,697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68,497</w:t>
            </w:r>
          </w:p>
        </w:tc>
      </w:tr>
      <w:tr>
        <w:trPr>
          <w:trHeight w:val="202"/>
        </w:trPr>
        <w:tc>
          <w:tcPr>
            <w:tcW w:w="7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Investment in notes receivable</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(30,309)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13,398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473</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(568,569)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(425,769)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(331,171)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(229,963)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(116,031)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Acquisition of remaining interest in JV investment</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(28,828)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 for aircraft and aircraft engines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(12,299)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sale of subsidiaries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183,819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248,454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91,130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sale of available-for-sale securities</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30,238</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deposit on sale of leasing equipment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deposit on sale of leasing equipment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Return of capital distributions from unconsolidated entities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1,555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(495,236)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(703,533)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(472,265)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65" w:name="page66"/>
    <w:bookmarkEnd w:id="65"/>
    <w:p>
      <w:pPr>
        <w:ind w:right="50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788,829</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750,980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567,191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(125,223)</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(34,218)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(3,377)</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7,887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(3,231)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27,049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(26,940)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(25,582)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(6,270)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Common shares issuance costs</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distributions to non-controlling interests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(8,078)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 shares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Cash dividends - common shares</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(113,541)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(100,058)</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465,873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597,867</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363,078</w:t>
            </w:r>
          </w:p>
        </w:tc>
      </w:tr>
      <w:tr>
        <w:trPr>
          <w:trHeight w:val="202"/>
        </w:trPr>
        <w:tc>
          <w:tcPr>
            <w:tcW w:w="7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121,680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(40,690)</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120,837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92,806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133,496</w:t>
            </w:r>
          </w:p>
        </w:tc>
      </w:tr>
      <w:tr>
        <w:trPr>
          <w:trHeight w:val="21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242,517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120,837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92,806</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83,164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25,068</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1,072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1,726</w:t>
            </w:r>
          </w:p>
        </w:tc>
      </w:tr>
      <w:tr>
        <w:trPr>
          <w:trHeight w:val="222"/>
        </w:trPr>
        <w:tc>
          <w:tcPr>
            <w:tcW w:w="7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borrowings of debt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108,339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Repayment and settlement of debt</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(24,250)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(102,352)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(35,332)</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(47,520)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(37,281)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Long Ridge JV</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155,589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3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3,312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 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15,117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37,292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financing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(8,802)</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Non-cash contribution of non-controlling interest</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1,261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to non-controlling interest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1,343</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non-controlling interest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w:t>
            </w:r>
          </w:p>
        </w:tc>
      </w:tr>
      <w:tr>
        <w:trPr>
          <w:trHeight w:val="204"/>
        </w:trPr>
        <w:tc>
          <w:tcPr>
            <w:tcW w:w="73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66" w:name="page67"/>
    <w:bookmarkEnd w:id="66"/>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and (iii) an equity method investment in a multi-modal terminal located along the Ohio River with multiple industrial development opportunities, including a power plant under construction (“Long Ridge”). Additionally, we own and lease offshore energy equipment and shipping containers. We have three reportable segments, (i) Aviation Leasing, (ii) Jefferson Terminal and (iii) Ports and Terminals, which operate in two primary businesses, Equipment Leasing and Infrastructure (see Note 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both our accounts and those of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interest and in which we have control over significant operating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decisions, as 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0000"/>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our services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Through our subsidiaries, we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terminal services revenue and the majority of freight rail revenue are denominated in U.S. dollars.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River Partners LLC</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We currently hold an approximately 98% economic interest, which includes the additional 8% economic interest we purchased from non-controlling interest holders in DRP for $4.5 million in April 2019, and a 100% voting interest in DRP. DRP is solely reliant on us to finance its activities and therefore is a VIE. We concluded that we are the primary beneficiary and, accordingly, DRP has been presented on a consolidated basis in the accompanying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 equivalents.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consists of prepaid interest and principal pursuant to the requirements of certain of our debt agreements (see Note 9)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other qualifying constructions projects at Jefferson Terminal.</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0000"/>
        </w:rPr>
        <w:t>—We consider listed equity securities as available-for-sale securities recorded at fair value with unrealized gains (losses)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recorded in other comprehensive income (loss) and realized gains (losses) recorded in earnings. Our basis on which the cost of the security sold or the amount reclassified out of other comprehensive income into earnings is determined using specific identification. We realized a gain of $11.4 million on the sale of available-for-sale securities during the year ended December 31, 2017, recorded in Gain on sale of assets, net in our Consolidated Statements of Operations. We did not hold any available-for-sale securities as of December 31, 2019 or 2018.</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—Commodities inventory is carried at the lower of cost or net realizable value on our balance sheet. Commodities are removed from inventory based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on the average cost at the time of sale. We had commodities inventory of $5.6 million and $10.4 million as of December 31, 2019 and 2018, respectively. We record our inventory as a component of Other assets in the Consolidated Balance Sheets.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 (inclusive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capitalized acquisition costs, where applicable) and depreciated using the straight-line method, over estimated useful lives, to estimated residual values which are summarized as follows:</w:t>
      </w:r>
    </w:p>
    <w:p>
      <w:pPr>
        <w:sectPr>
          <w:pgSz w:w="11900" w:h="16838" w:orient="portrait"/>
          <w:cols w:equalWidth="0" w:num="1">
            <w:col w:w="11420"/>
          </w:cols>
          <w:pgMar w:left="240" w:top="118" w:right="239" w:bottom="1440" w:gutter="0" w:footer="0" w:header="0"/>
        </w:sectPr>
      </w:pPr>
    </w:p>
    <w:p>
      <w:pPr>
        <w:spacing w:after="0" w:line="311" w:lineRule="exact"/>
        <w:rPr>
          <w:sz w:val="20"/>
          <w:szCs w:val="20"/>
          <w:color w:val="auto"/>
        </w:rPr>
      </w:pPr>
    </w:p>
    <w:p>
      <w:pPr>
        <w:jc w:val="center"/>
        <w:ind w:left="580"/>
        <w:spacing w:after="0"/>
        <w:rPr>
          <w:sz w:val="20"/>
          <w:szCs w:val="20"/>
          <w:color w:val="auto"/>
        </w:rPr>
      </w:pPr>
      <w:r>
        <w:rPr>
          <w:rFonts w:ascii="Arial" w:cs="Arial" w:eastAsia="Arial" w:hAnsi="Arial"/>
          <w:sz w:val="13"/>
          <w:szCs w:val="13"/>
          <w:b w:val="1"/>
          <w:bCs w:val="1"/>
          <w:color w:val="auto"/>
        </w:rPr>
        <w:t>Asset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Aircraft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Aircraft engines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Offshore energy vessels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Railcars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Track and track related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Buildings and site improvements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Railroad equipment</w:t>
      </w:r>
    </w:p>
    <w:p>
      <w:pPr>
        <w:spacing w:after="0" w:line="55" w:lineRule="exact"/>
        <w:rPr>
          <w:sz w:val="20"/>
          <w:szCs w:val="20"/>
          <w:color w:val="auto"/>
        </w:rPr>
      </w:pPr>
    </w:p>
    <w:p>
      <w:pPr>
        <w:ind w:left="20" w:right="1340"/>
        <w:spacing w:after="0" w:line="322" w:lineRule="auto"/>
        <w:rPr>
          <w:sz w:val="20"/>
          <w:szCs w:val="20"/>
          <w:color w:val="auto"/>
        </w:rPr>
      </w:pPr>
      <w:r>
        <w:rPr>
          <w:rFonts w:ascii="Arial" w:cs="Arial" w:eastAsia="Arial" w:hAnsi="Arial"/>
          <w:sz w:val="14"/>
          <w:szCs w:val="14"/>
          <w:color w:val="auto"/>
        </w:rPr>
        <w:t>Terminal machinery and equipment Vehicles</w:t>
      </w:r>
    </w:p>
    <w:p>
      <w:pPr>
        <w:ind w:left="20"/>
        <w:spacing w:after="0"/>
        <w:rPr>
          <w:sz w:val="20"/>
          <w:szCs w:val="20"/>
          <w:color w:val="auto"/>
        </w:rPr>
      </w:pPr>
      <w:r>
        <w:rPr>
          <w:rFonts w:ascii="Arial" w:cs="Arial" w:eastAsia="Arial" w:hAnsi="Arial"/>
          <w:sz w:val="14"/>
          <w:szCs w:val="14"/>
          <w:color w:val="auto"/>
        </w:rPr>
        <w:t>Furniture and fixtures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Computer hardware and software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right="480" w:firstLine="595"/>
        <w:spacing w:after="0" w:line="365" w:lineRule="auto"/>
        <w:rPr>
          <w:sz w:val="20"/>
          <w:szCs w:val="20"/>
          <w:color w:val="auto"/>
        </w:rPr>
      </w:pPr>
      <w:r>
        <w:rPr>
          <w:rFonts w:ascii="Arial" w:cs="Arial" w:eastAsia="Arial" w:hAnsi="Arial"/>
          <w:sz w:val="14"/>
          <w:szCs w:val="14"/>
          <w:b w:val="1"/>
          <w:bCs w:val="1"/>
          <w:color w:val="auto"/>
        </w:rPr>
        <w:t xml:space="preserve">Range of Estimated Useful Lives </w:t>
      </w:r>
      <w:r>
        <w:rPr>
          <w:rFonts w:ascii="Arial" w:cs="Arial" w:eastAsia="Arial" w:hAnsi="Arial"/>
          <w:sz w:val="14"/>
          <w:szCs w:val="14"/>
          <w:color w:val="auto"/>
        </w:rPr>
        <w:t>25 years from date of manufacture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-181610</wp:posOffset>
            </wp:positionV>
            <wp:extent cx="7229475" cy="248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spacing w:after="0" w:line="10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2 - 6 years, based on maintenance adjusted service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33655</wp:posOffset>
            </wp:positionV>
            <wp:extent cx="722947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25 years from date of manufacture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40 - 50 years from date of manufacture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23495</wp:posOffset>
            </wp:positionV>
            <wp:extent cx="72294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15 - 50 years from date of manufacture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20 - 30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23495</wp:posOffset>
            </wp:positionV>
            <wp:extent cx="722947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3 - 15 years from date of manufacture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15 - 25 years from date of manufacture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23495</wp:posOffset>
            </wp:positionV>
            <wp:extent cx="72294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5 - 7 years from date of manufacture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3 - 6 years from date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23495</wp:posOffset>
            </wp:positionV>
            <wp:extent cx="72294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3 - 5 years from date of purchase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Residual Value Estimates</w:t>
      </w:r>
    </w:p>
    <w:p>
      <w:pPr>
        <w:spacing w:after="0" w:line="87"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Generally not to exceed 15% of manufacturer’s list price when new</w:t>
      </w:r>
    </w:p>
    <w:p>
      <w:pPr>
        <w:spacing w:after="0" w:line="32"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Sum of engine core salvage value plus the estimated fair value of life limited parts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10% of new build cost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Scrap value at end of useful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Scrap value at end of useful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Scrap value at end of useful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Scrap value at end of useful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Scrap value at end of useful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Scrap value at end of useful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ectPr>
          <w:pgSz w:w="11900" w:h="16838" w:orient="portrait"/>
          <w:cols w:equalWidth="0" w:num="3">
            <w:col w:w="3600" w:space="720"/>
            <w:col w:w="3300" w:space="300"/>
            <w:col w:w="3500"/>
          </w:cols>
          <w:pgMar w:left="240" w:top="118" w:right="239" w:bottom="1440" w:gutter="0" w:footer="0" w:header="0"/>
          <w:type w:val="continuous"/>
        </w:sectPr>
      </w:pP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offshore energy vessels are required to be drydocked periodically for recertifications or major repairs and maintenance that cannot be performed while the vessels are operating. Normal repairs and maintenance are expensed as incurred. We capitalize the costs associated with the drydockings and amortize them on a straight-line basis over the period between drydockings, usually between 30 and 60 months.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8" w:name="page69"/>
    <w:bookmarkEnd w:id="68"/>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 working interest in various natural gas reserves located in southeastern Ohio. Our interest in this natural gas joint venture is consolidated on a proportionate basis in accordance with Accounting Standards Codification (“ASC”) Topic 932 Extractive Activities – Oil and Gas. We follow the successful efforts method of accounting for costs incurred in oil and gas producing activities. Capitalized costs are amortized using the unit-of-production method based on total proved reserves.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construction projects and tax exempt bonds is capitalized and included in the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project. Interest capitalization ceases once a project is substantially complete or no longer undergoing construction activities to prepare it for its intended use. We capitalized interest of $11.9 million, $10.7 million and $2.6 million during the years ended December 31, 2019, 2018 and 2017, respectively.</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 maintenance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expense was $5.0 million, $8.3 million and $4.7 million during the years ended December 31, 2019, 2018 and 2017, respectively, and are included in Operating expenses in the Consolidated Statements of Operations.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 circumstances,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$122.6 million and $116.0 million as of December 31, 2019 and 2018, respectively. The increase relates to our purchase of the remaining 50% interest in JGP Energy Partners LLC (“JGP”). See Note 7 for additional details.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2019 or 2018.</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2020 subject to obtaining rail capacity for crude, permits for pipeline and movements in future oil spreads. Jefferson Terminal was designed to reach a storage capacity of 21.7 million barrels, and 4.4 million of storage, or approximately 20.3% of capacity, is currently operational. If our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year to two years will affect our forecasted growth and therefore our estimated fair value. We continue to expect the Jefferson Terminal segment to generate positive Adjusted EBITDA during 2020.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due to strengthening macroeconomic conditions such as increased oil prices and projected increasing spreads between Western Canadian Crude and Western Texas Intermediate, we remain positive for the outlook of Jefferson Terminal’s earnings potential.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2019, 2018, and 2017.</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 and existing customer relationships acquired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connection with the acquisition of Jefferson Terminal.</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rental income over the remaining term of the lease. Acquired lease intangibles are amortized on a straight-line basis over the remaining lease terms, which collectively had a weighted-average remaining amortization period of approximately 24 months as of December 31, 2019, and are recorded as a component of equipment leasing revenues in the accompanying Consolidated Statements of Operations.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10 years, no estimated residual value, and amortization is recorded as a component of Depreciation and amortization in the Consolidated Statements of Operations. The weighted-average remaining amortization period was approximately 56 months as of December 31,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underlying loans. Unamortized deferred financing costs of $18.1 million and $14.5 million as of December 31, 2019 and 2018, respectively, are included in Debt, net in the Consolidated Balance Sheets.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$1.7 million and $1.5 million as of December 31, 2019 and 2018, respectively, which are included in Other assets in the Consolidated Balance Sheets.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Amortization expense was $8.1 million, $5.1 million and $3.9 million for the years ended December 31, 2019, 2018 and 2017, respectively, and is included in Interest expense in the Consolidated Statements of Operations.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Discontinued Operations</w:t>
      </w:r>
      <w:r>
        <w:rPr>
          <w:rFonts w:ascii="Arial" w:cs="Arial" w:eastAsia="Arial" w:hAnsi="Arial"/>
          <w:sz w:val="16"/>
          <w:szCs w:val="16"/>
          <w:i w:val="1"/>
          <w:iCs w:val="1"/>
          <w:color w:val="000000"/>
        </w:rPr>
        <w:t>—</w:t>
      </w:r>
      <w:r>
        <w:rPr>
          <w:rFonts w:ascii="Arial" w:cs="Arial" w:eastAsia="Arial" w:hAnsi="Arial"/>
          <w:sz w:val="16"/>
          <w:szCs w:val="16"/>
          <w:color w:val="000000"/>
        </w:rPr>
        <w:t>A disposal of an entity or component of an entity is reported in discontinued operations if the disposal represents a strategic shift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that has or will have a material impact on our operations and financial results. See Note 3 for additional information related to our discontinued operations.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include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relevant lease agreement.</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 of marketing revenue related to Canadian crude oil. The revenues are recognized over time,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0000"/>
        </w:rPr>
        <w:t>—At contract inception, we evaluate whether an arrangement is or contains a lease for which we are the lessee (that is, arrangements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We earned approximately 19% and 16% of our revenue from one customer in the Jefferson Terminal segment during the years ended December 31, 2019 and 2018, respectively. There were no customers that accounted for 10% of our revenue during the year ended December 31, 2017.</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Accounts receivable from one customer in the Jefferson Terminal segment represented 16% of total accounts receivable, net as of December 31, 2019. Accounts receivable from two customers in the Jefferson Terminal segment each represented 17% and 15% of total accounts receivable, net as of December 31, 2018.</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0000"/>
        </w:rPr>
        <w:t>—We determine the provision for doubtful accounts based on our assessment of the collectability of our receivables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customer-by-customer basis. The provision for doubtful accounts was $1.3 million and $1.1 million as of December 31, 2019 and 2018, respectively. Bad debt expense was $3.8 million, $1.6 million and $0.6 million for the years ended December 31, 2019, 2018 and 2017,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 Recognition</w:t>
      </w:r>
      <w:r>
        <w:rPr>
          <w:rFonts w:ascii="Arial" w:cs="Arial" w:eastAsia="Arial" w:hAnsi="Arial"/>
          <w:sz w:val="16"/>
          <w:szCs w:val="16"/>
          <w:color w:val="000000"/>
        </w:rPr>
        <w:t>—Expenses are recognized on an accrual basis as incurred.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Acquisition and Transaction expenses</w:t>
      </w:r>
      <w:r>
        <w:rPr>
          <w:rFonts w:ascii="Arial" w:cs="Arial" w:eastAsia="Arial" w:hAnsi="Arial"/>
          <w:sz w:val="16"/>
          <w:szCs w:val="16"/>
          <w:color w:val="000000"/>
        </w:rPr>
        <w:t>—Acquisition and transaction expense is comprised of costs related to completed business combinations, dispositions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terminated deal costs related to abandoned pursuits, including advisory, legal, accounting, valuation and other professional or consulting fees.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0000"/>
        </w:rPr>
        <w:t>—Comprehensive income (loss) is defined as the change in equity of a business enterprise during a period from transactions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events and circumstances, excluding those resulting from investments by and distributions to owners. Our comprehensive income (loss) represents net income (loss), as presented in the Consolidated Statements of Operations, adjusted for fair value changes related to the available-for-sale securities and other comprehensive income related to our equity method investees.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designated and qualify as cash flow hedges. The derivative's gain or loss is reported as Other comprehensive income related to equity method investees in our Consolidated Statements of Comprehensive Income (Loss) and recorded in Accumulated other comprehensive income in our Consolidated Balance Sheets. The gain or loss is subsequently reclassified into the income statement line item that is impacted by the forecasted transaction when the forecasted transaction affects net earnings in our equity method investment.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Other income (expense) in the Consolidated Statements of Operations. The cash flow impact of derivative contracts that are not designated as hedging instruments is recognized in Change in fair value of non-hedge derivatives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11 for additional details.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our outstanding derivatives are not used for speculative purposes. We record all derivative assets and liabilities on a gross basis at fair value and are included in Other assets and Other liabilities, respectively, in our Consolidated Balance Sheets.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Foreign Currency</w:t>
      </w:r>
      <w:r>
        <w:rPr>
          <w:rFonts w:ascii="Arial" w:cs="Arial" w:eastAsia="Arial" w:hAnsi="Arial"/>
          <w:sz w:val="16"/>
          <w:szCs w:val="16"/>
          <w:color w:val="000000"/>
        </w:rPr>
        <w:t>—Our functional and reporting currency is the U.S. dollar. Purchases and sales of assets and income and expense items denominated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taxed at prevailing rates.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remainder of our income is allocated directly to our partners and is not subject to a corporate level of taxation. Certain subsidiaries of ours are subject to income tax in the foreign countries in which they conduct business.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file income tax returns in the U.S. federal jurisdiction, various state jurisdictions and in certain foreign jurisdictions. The income tax returns filed by us and our subsidiaries are subject to examination by the U.S. federal, state and foreign tax authorities. We recognize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commodities inventory of $5.6 million and $10.4 million, purchase deposits for acquisitions of $1.2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$10.2 million, lease incentives of $45.3 million and $51.0 million, prepaid expenses of $4.1 million and $8.2 million, derivative assets of $0.2 million and $7.5 million, maintenance right assets of $24.5 million and $1.2 million and spare parts of $9.6 million and $7.0 million as of December 31, 2019 and 2018, respectively.</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In both the fourth quarters ended December 31, 2019 and 2018,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a cash dividend of $0.33 per common share, for a total of $1.32 per common share for each of the years ended December 31, 2019 and 2018.</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fourth quarter ended December 31, 2019, the Board of Directors declared a cash dividend on the Series A Preferred Shares of $0.53 per share.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February 2016, the FASB issued Accounting Standards Update (“ASU”) 2016-02, Leases (and subsequently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issued ASU 2018-01, ASU 2018-10, ASU 2018-11, ASU 2018-20 and ASU 2019-01, collectively, “ASU 2016-02”). ASU 2016-02 amends the existing accounting standards for lease accounting, including requiring lessees to recognize most leases on their balance sheets and making targeted changes to lessor accounting.</w:t>
      </w:r>
    </w:p>
    <w:p>
      <w:pPr>
        <w:spacing w:after="0" w:line="28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January 1, 2019, we adopted ASU 2016-02 using the modified retrospective approach. We utilized the effective date transition method and accordingly are not required to adjust our comparative period financial information for effects of ASU 2016-02. We adopted the package of practical expedients which permits us not to reassess under the new standard our prior conclusions about lease identification (including land easements), lease classification and initial direct costs.</w:t>
      </w:r>
    </w:p>
    <w:p>
      <w:pPr>
        <w:spacing w:after="0" w:line="28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adoption of ASU 2016-02 resulted in the recognition of ROU assets and lease liabilities of approximately $46 million in our Consolidated Balance Sheets as of January 1, 2019.</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2017, the FASB issued ASU 2017-12, Derivatives and Hedging: Targeted Improvements to Accounting for Hedging Activities, which improves the financial reporting of hedging relationships to better represent the economic results of an entity’s risk management activities in its financial statements and make certain improvements to simplify the application of the hedge accounting guidance. The amendments will make more financial and nonfinancial hedging strategies eligible for hedge accounting, amend the presentation and disclosure requirements and change how entities assess effectiveness. Entities are required to apply the amendments as a cumulative-effect adjustment to retained earnings as of the beginning of the first reporting period after adoption. On January 1, 2019, we adopted this standard and it did not have an impact on our consolidated financial statements as we did not have any hedging relationships prior to adoption.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June 2018, the FASB, issued ASU 2018-07, Improvements to Nonemployee Share-Based Payment Accounting to simplify the accounting for share-based payments to nonemployees by aligning it with the accounting for share-based payments to employees, with certain exceptions. The new guidance expands the scope of ASC 718 to include share-based payments granted to nonemployees in exchange for goods or services used or consumed in an entity’s own operations and supersedes the guidance in ASC 505-50. On January 1, 2019, we adopted this standard and it did not have an impact on our consolidated financial statements.</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June 2016, the FASB issued ASU 2016-13,</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Financial Instruments—Credit Losses (Topic 326): Measurement</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of Credit Losses on Financial Instruments </w:t>
      </w:r>
      <w:r>
        <w:rPr>
          <w:rFonts w:ascii="Arial" w:cs="Arial" w:eastAsia="Arial" w:hAnsi="Arial"/>
          <w:sz w:val="16"/>
          <w:szCs w:val="16"/>
          <w:color w:val="000000"/>
        </w:rPr>
        <w:t>(“ASU 2016-13”)</w:t>
      </w:r>
      <w:r>
        <w:rPr>
          <w:rFonts w:ascii="Arial" w:cs="Arial" w:eastAsia="Arial" w:hAnsi="Arial"/>
          <w:sz w:val="16"/>
          <w:szCs w:val="16"/>
          <w:i w:val="1"/>
          <w:iCs w:val="1"/>
          <w:color w:val="000000"/>
        </w:rPr>
        <w:t xml:space="preserve">. </w:t>
      </w:r>
      <w:r>
        <w:rPr>
          <w:rFonts w:ascii="Arial" w:cs="Arial" w:eastAsia="Arial" w:hAnsi="Arial"/>
          <w:sz w:val="16"/>
          <w:szCs w:val="16"/>
          <w:color w:val="000000"/>
        </w:rPr>
        <w:t>For assets held at amortized cost basis, ASU 2016-13 eliminates the probable initial recognition</w:t>
      </w:r>
      <w:r>
        <w:rPr>
          <w:rFonts w:ascii="Arial" w:cs="Arial" w:eastAsia="Arial" w:hAnsi="Arial"/>
          <w:sz w:val="16"/>
          <w:szCs w:val="16"/>
          <w:i w:val="1"/>
          <w:iCs w:val="1"/>
          <w:color w:val="000000"/>
        </w:rPr>
        <w:t xml:space="preserve"> </w:t>
      </w:r>
      <w:r>
        <w:rPr>
          <w:rFonts w:ascii="Arial" w:cs="Arial" w:eastAsia="Arial" w:hAnsi="Arial"/>
          <w:sz w:val="16"/>
          <w:szCs w:val="16"/>
          <w:color w:val="000000"/>
        </w:rPr>
        <w:t>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We do not expect adoption to have a material impact on our consolidated financial statements.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addresses concerns over the cost and complexity of the two-step goodwill impairment test by removing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do not expect adoption to have an impact on our consolidated financial statements.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The guidance is effective for all entities in fiscal years beginning after December 15, 2019, and interim periods within those fiscal years, and early adoption is permitted. We do not expect adoption to have a material impact on our consolidated financial statements or disclosures.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are currently assessing the impact this guidance will have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assets, liabilities and results of operations of CMQR have been reported as discontinued operations for all periods presented. We sold CMQR for $130 million and recognized a gain on sale of approximately $77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value of significant classes of assets and liabilities of discontinued operations as of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94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7,375</w:t>
            </w:r>
          </w:p>
        </w:tc>
      </w:tr>
      <w:tr>
        <w:trPr>
          <w:trHeight w:val="222"/>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46,834</w:t>
            </w:r>
          </w:p>
        </w:tc>
      </w:tr>
      <w:tr>
        <w:trPr>
          <w:trHeight w:val="210"/>
        </w:trPr>
        <w:tc>
          <w:tcPr>
            <w:tcW w:w="94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22"/>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w:t>
            </w:r>
          </w:p>
        </w:tc>
      </w:tr>
      <w:tr>
        <w:trPr>
          <w:trHeight w:val="21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1,926</w:t>
            </w:r>
          </w:p>
        </w:tc>
      </w:tr>
      <w:tr>
        <w:trPr>
          <w:trHeight w:val="241"/>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56,744</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9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942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11,520</w:t>
            </w:r>
          </w:p>
        </w:tc>
      </w:tr>
      <w:tr>
        <w:trPr>
          <w:trHeight w:val="222"/>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22,239</w:t>
            </w:r>
          </w:p>
        </w:tc>
      </w:tr>
      <w:tr>
        <w:trPr>
          <w:trHeight w:val="21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1,704</w:t>
            </w:r>
          </w:p>
        </w:tc>
      </w:tr>
      <w:tr>
        <w:trPr>
          <w:trHeight w:val="241"/>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35,463</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income (loss)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39,071</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37,766</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32,607</w:t>
            </w:r>
          </w:p>
        </w:tc>
      </w:tr>
      <w:tr>
        <w:trPr>
          <w:trHeight w:val="202"/>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0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32,815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30,944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29,966</w:t>
            </w:r>
          </w:p>
        </w:tc>
      </w:tr>
      <w:tr>
        <w:trPr>
          <w:trHeight w:val="22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2,037</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1,029</w:t>
            </w: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34,399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33,032</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 net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77,468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77,468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20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2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74,538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3,325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(737)</w:t>
            </w:r>
          </w:p>
        </w:tc>
      </w:tr>
      <w:tr>
        <w:trPr>
          <w:trHeight w:val="22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73,462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 in consolidated subsidiaries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216"/>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73,215</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4,063</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(667)</w:t>
            </w:r>
          </w:p>
        </w:tc>
      </w:tr>
      <w:tr>
        <w:trPr>
          <w:trHeight w:val="21"/>
        </w:trPr>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capital expenditures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r>
      <w:tr>
        <w:trPr>
          <w:trHeight w:val="202"/>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2,202</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2,037</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w:t>
            </w:r>
          </w:p>
        </w:tc>
      </w:tr>
      <w:tr>
        <w:trPr>
          <w:trHeight w:val="210"/>
        </w:trPr>
        <w:tc>
          <w:tcPr>
            <w:tcW w:w="626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3,114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730</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4"/>
        </w:trPr>
        <w:tc>
          <w:tcPr>
            <w:tcW w:w="626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(6,949)</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(8,461)</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2,019,773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1,672,156</w:t>
            </w:r>
          </w:p>
        </w:tc>
      </w:tr>
      <w:tr>
        <w:trPr>
          <w:trHeight w:val="21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(312,714)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(239,946)</w:t>
            </w:r>
          </w:p>
        </w:tc>
      </w:tr>
      <w:tr>
        <w:trPr>
          <w:trHeight w:val="24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1,707,059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1,432,210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6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0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0"/>
        </w:trPr>
        <w:tc>
          <w:tcPr>
            <w:tcW w:w="6220" w:type="dxa"/>
            <w:vAlign w:val="bottom"/>
          </w:tcPr>
          <w:p>
            <w:pPr>
              <w:ind w:left="120"/>
              <w:spacing w:after="0"/>
              <w:rPr>
                <w:sz w:val="20"/>
                <w:szCs w:val="20"/>
                <w:color w:val="auto"/>
              </w:rPr>
            </w:pPr>
            <w:r>
              <w:rPr>
                <w:rFonts w:ascii="Arial" w:cs="Arial" w:eastAsia="Arial" w:hAnsi="Arial"/>
                <w:sz w:val="14"/>
                <w:szCs w:val="14"/>
                <w:color w:val="auto"/>
              </w:rPr>
              <w:t>Aircraft</w:t>
            </w:r>
          </w:p>
        </w:tc>
        <w:tc>
          <w:tcPr>
            <w:tcW w:w="104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22"/>
        </w:trPr>
        <w:tc>
          <w:tcPr>
            <w:tcW w:w="6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Engines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r>
      <w:tr>
        <w:trPr>
          <w:trHeight w:val="210"/>
        </w:trPr>
        <w:tc>
          <w:tcPr>
            <w:tcW w:w="62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6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Aircraft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r>
      <w:tr>
        <w:trPr>
          <w:trHeight w:val="210"/>
        </w:trPr>
        <w:tc>
          <w:tcPr>
            <w:tcW w:w="6220" w:type="dxa"/>
            <w:vAlign w:val="bottom"/>
          </w:tcPr>
          <w:p>
            <w:pPr>
              <w:ind w:left="120"/>
              <w:spacing w:after="0"/>
              <w:rPr>
                <w:sz w:val="20"/>
                <w:szCs w:val="20"/>
                <w:color w:val="auto"/>
              </w:rPr>
            </w:pPr>
            <w:r>
              <w:rPr>
                <w:rFonts w:ascii="Arial" w:cs="Arial" w:eastAsia="Arial" w:hAnsi="Arial"/>
                <w:sz w:val="14"/>
                <w:szCs w:val="14"/>
                <w:color w:val="auto"/>
              </w:rPr>
              <w:t>Engines</w:t>
            </w:r>
          </w:p>
        </w:tc>
        <w:tc>
          <w:tcPr>
            <w:tcW w:w="104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2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leasing equipment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81,954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7,188</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6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137,004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110,012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69,331</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FINANCE LEASES,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12,388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28,476</w:t>
            </w:r>
          </w:p>
        </w:tc>
      </w:tr>
      <w:tr>
        <w:trPr>
          <w:trHeight w:val="21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(4,073)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(9,853)</w:t>
            </w:r>
          </w:p>
        </w:tc>
      </w:tr>
      <w:tr>
        <w:trPr>
          <w:trHeight w:val="24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8,315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18,623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2019, sales-type leases expired for three of our airframes. Additionally, we received insurance proceeds for one of our vessels which was on nonaccrual status due to a casualty event. The insurance proceeds were in excess of the book value of the finance lease, which was written down to zero, and we recognized a gain of approximately $1.0 million which is included in Other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ind w:right="5100"/>
        <w:spacing w:after="0" w:line="269"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PROPERTY, PLANT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51,901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69,352</w:t>
            </w:r>
          </w:p>
        </w:tc>
      </w:tr>
      <w:tr>
        <w:trPr>
          <w:trHeight w:val="216"/>
        </w:trPr>
        <w:tc>
          <w:tcPr>
            <w:tcW w:w="7940" w:type="dxa"/>
            <w:vAlign w:val="bottom"/>
          </w:tcPr>
          <w:p>
            <w:pPr>
              <w:ind w:left="20"/>
              <w:spacing w:after="0"/>
              <w:rPr>
                <w:sz w:val="20"/>
                <w:szCs w:val="20"/>
                <w:color w:val="auto"/>
              </w:rPr>
            </w:pPr>
            <w:r>
              <w:rPr>
                <w:rFonts w:ascii="Arial" w:cs="Arial" w:eastAsia="Arial" w:hAnsi="Arial"/>
                <w:sz w:val="14"/>
                <w:szCs w:val="14"/>
                <w:color w:val="auto"/>
              </w:rPr>
              <w:t xml:space="preserve">Construction in progress </w:t>
            </w:r>
            <w:r>
              <w:rPr>
                <w:rFonts w:ascii="Arial" w:cs="Arial" w:eastAsia="Arial" w:hAnsi="Arial"/>
                <w:sz w:val="18"/>
                <w:szCs w:val="18"/>
                <w:color w:val="auto"/>
                <w:vertAlign w:val="superscript"/>
              </w:rPr>
              <w:t>(1)</w:t>
            </w:r>
          </w:p>
        </w:tc>
        <w:tc>
          <w:tcPr>
            <w:tcW w:w="40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211,110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253,176</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3,783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9,209</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40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519,603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349,227</w:t>
            </w:r>
          </w:p>
        </w:tc>
      </w:tr>
      <w:tr>
        <w:trPr>
          <w:trHeight w:val="22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Proved oil and gas properties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20,099</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40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2,208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5,214</w:t>
            </w:r>
          </w:p>
        </w:tc>
      </w:tr>
      <w:tr>
        <w:trPr>
          <w:trHeight w:val="22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4,111</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40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4,325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3,639</w:t>
            </w:r>
          </w:p>
        </w:tc>
      </w:tr>
      <w:tr>
        <w:trPr>
          <w:trHeight w:val="22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2,322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456</w:t>
            </w:r>
          </w:p>
        </w:tc>
      </w:tr>
      <w:tr>
        <w:trPr>
          <w:trHeight w:val="21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450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649</w:t>
            </w:r>
          </w:p>
        </w:tc>
      </w:tr>
      <w:tr>
        <w:trPr>
          <w:trHeight w:val="216"/>
        </w:trPr>
        <w:tc>
          <w:tcPr>
            <w:tcW w:w="7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800,525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715,132</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(69,935)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(54,632)</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1,519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1,519</w:t>
            </w:r>
          </w:p>
        </w:tc>
      </w:tr>
      <w:tr>
        <w:trPr>
          <w:trHeight w:val="21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732,109</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662,019</w:t>
            </w:r>
          </w:p>
        </w:tc>
      </w:tr>
      <w:tr>
        <w:trPr>
          <w:trHeight w:val="21"/>
        </w:trPr>
        <w:tc>
          <w:tcPr>
            <w:tcW w:w="7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Includes unproved oil and gas properties of $0 (net of the Long Ridge Transaction, as defined in Note 7) and $59,930 as of December 31, 2019 and 2018, respectively.</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added property, plant and equipment of $85.4 million (net of the Long Ridge Transaction, as defined in Note 7) and $232.9 million during the years ended December 31, 2019 and 2018, respectively, which primarily consists of terminal machinery and equipment placed in service or under development at Jefferson Terminal and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52"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26035</wp:posOffset>
            </wp:positionV>
            <wp:extent cx="30613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28,466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20,343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13,189</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2,401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1,992</w:t>
            </w:r>
          </w:p>
        </w:tc>
      </w:tr>
      <w:tr>
        <w:trPr>
          <w:trHeight w:val="216"/>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30,653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22,744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15,181</w:t>
            </w:r>
          </w:p>
        </w:tc>
      </w:tr>
      <w:tr>
        <w:trPr>
          <w:trHeight w:val="21"/>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ectPr>
          <w:pgSz w:w="11900" w:h="16838" w:orient="portrait"/>
          <w:cols w:equalWidth="0" w:num="1">
            <w:col w:w="11420"/>
          </w:cols>
          <w:pgMar w:left="240" w:top="115" w:right="239" w:bottom="1440" w:gutter="0" w:footer="0" w:header="0"/>
        </w:sect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2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Investment</w:t>
            </w:r>
          </w:p>
        </w:tc>
      </w:tr>
      <w:tr>
        <w:trPr>
          <w:trHeight w:val="204"/>
        </w:trPr>
        <w:tc>
          <w:tcPr>
            <w:tcW w:w="2700" w:type="dxa"/>
            <w:vAlign w:val="bottom"/>
          </w:tcPr>
          <w:p>
            <w:pPr>
              <w:spacing w:after="0"/>
              <w:rPr>
                <w:sz w:val="20"/>
                <w:szCs w:val="20"/>
                <w:color w:val="auto"/>
              </w:rPr>
            </w:pPr>
            <w:r>
              <w:rPr>
                <w:rFonts w:ascii="Arial" w:cs="Arial" w:eastAsia="Arial" w:hAnsi="Arial"/>
                <w:sz w:val="14"/>
                <w:szCs w:val="14"/>
                <w:color w:val="auto"/>
              </w:rPr>
              <w:t>Advanced Engine Repair JV</w:t>
            </w:r>
          </w:p>
        </w:tc>
        <w:tc>
          <w:tcPr>
            <w:tcW w:w="2200" w:type="dxa"/>
            <w:vAlign w:val="bottom"/>
          </w:tcPr>
          <w:p>
            <w:pPr>
              <w:jc w:val="center"/>
              <w:ind w:right="48"/>
              <w:spacing w:after="0"/>
              <w:rPr>
                <w:sz w:val="20"/>
                <w:szCs w:val="20"/>
                <w:color w:val="auto"/>
              </w:rPr>
            </w:pPr>
            <w:r>
              <w:rPr>
                <w:rFonts w:ascii="Arial" w:cs="Arial" w:eastAsia="Arial" w:hAnsi="Arial"/>
                <w:sz w:val="14"/>
                <w:szCs w:val="14"/>
                <w:color w:val="auto"/>
              </w:rPr>
              <w:t>Equity method</w:t>
            </w:r>
          </w:p>
        </w:tc>
      </w:tr>
      <w:tr>
        <w:trPr>
          <w:trHeight w:val="206"/>
        </w:trPr>
        <w:tc>
          <w:tcPr>
            <w:tcW w:w="2700" w:type="dxa"/>
            <w:vAlign w:val="bottom"/>
          </w:tcPr>
          <w:p>
            <w:pPr>
              <w:spacing w:after="0"/>
              <w:rPr>
                <w:sz w:val="17"/>
                <w:szCs w:val="17"/>
                <w:color w:val="auto"/>
              </w:rPr>
            </w:pPr>
          </w:p>
        </w:tc>
        <w:tc>
          <w:tcPr>
            <w:tcW w:w="2200" w:type="dxa"/>
            <w:vAlign w:val="bottom"/>
          </w:tcPr>
          <w:p>
            <w:pPr>
              <w:jc w:val="center"/>
              <w:ind w:right="28"/>
              <w:spacing w:after="0"/>
              <w:rPr>
                <w:sz w:val="20"/>
                <w:szCs w:val="20"/>
                <w:color w:val="auto"/>
              </w:rPr>
            </w:pPr>
            <w:r>
              <w:rPr>
                <w:rFonts w:ascii="Arial" w:cs="Arial" w:eastAsia="Arial" w:hAnsi="Arial"/>
                <w:sz w:val="14"/>
                <w:szCs w:val="14"/>
                <w:color w:val="auto"/>
              </w:rPr>
              <w:t>Equity method at December 31,</w:t>
            </w: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JGP Energy Partners LLC</w:t>
            </w:r>
          </w:p>
        </w:tc>
        <w:tc>
          <w:tcPr>
            <w:tcW w:w="2200" w:type="dxa"/>
            <w:vAlign w:val="bottom"/>
          </w:tcPr>
          <w:p>
            <w:pPr>
              <w:jc w:val="center"/>
              <w:ind w:right="48"/>
              <w:spacing w:after="0"/>
              <w:rPr>
                <w:sz w:val="20"/>
                <w:szCs w:val="20"/>
                <w:color w:val="auto"/>
              </w:rPr>
            </w:pPr>
            <w:r>
              <w:rPr>
                <w:rFonts w:ascii="Arial" w:cs="Arial" w:eastAsia="Arial" w:hAnsi="Arial"/>
                <w:sz w:val="14"/>
                <w:szCs w:val="14"/>
                <w:color w:val="auto"/>
              </w:rPr>
              <w:t>2018</w:t>
            </w: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Intermodal Finance I, Ltd.</w:t>
            </w:r>
          </w:p>
        </w:tc>
        <w:tc>
          <w:tcPr>
            <w:tcW w:w="2200" w:type="dxa"/>
            <w:vAlign w:val="bottom"/>
          </w:tcPr>
          <w:p>
            <w:pPr>
              <w:jc w:val="center"/>
              <w:ind w:right="48"/>
              <w:spacing w:after="0"/>
              <w:rPr>
                <w:sz w:val="20"/>
                <w:szCs w:val="20"/>
                <w:color w:val="auto"/>
              </w:rPr>
            </w:pPr>
            <w:r>
              <w:rPr>
                <w:rFonts w:ascii="Arial" w:cs="Arial" w:eastAsia="Arial" w:hAnsi="Arial"/>
                <w:sz w:val="14"/>
                <w:szCs w:val="14"/>
                <w:color w:val="auto"/>
              </w:rPr>
              <w:t>Equity method</w:t>
            </w: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Long Ridge Terminal LLC</w:t>
            </w:r>
          </w:p>
        </w:tc>
        <w:tc>
          <w:tcPr>
            <w:tcW w:w="2200" w:type="dxa"/>
            <w:vAlign w:val="bottom"/>
          </w:tcPr>
          <w:p>
            <w:pPr>
              <w:jc w:val="center"/>
              <w:ind w:right="48"/>
              <w:spacing w:after="0"/>
              <w:rPr>
                <w:sz w:val="20"/>
                <w:szCs w:val="20"/>
                <w:color w:val="auto"/>
              </w:rPr>
            </w:pPr>
            <w:r>
              <w:rPr>
                <w:rFonts w:ascii="Arial" w:cs="Arial" w:eastAsia="Arial" w:hAnsi="Arial"/>
                <w:sz w:val="14"/>
                <w:szCs w:val="14"/>
                <w:color w:val="auto"/>
              </w:rPr>
              <w:t>Equity method</w:t>
            </w:r>
          </w:p>
        </w:tc>
      </w:tr>
    </w:tbl>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146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210"/>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Ownership Percentage</w:t>
            </w: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8"/>
                <w:szCs w:val="18"/>
                <w:color w:val="auto"/>
              </w:rPr>
            </w:pPr>
          </w:p>
        </w:tc>
        <w:tc>
          <w:tcPr>
            <w:tcW w:w="178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4"/>
        </w:trPr>
        <w:tc>
          <w:tcPr>
            <w:tcW w:w="218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24,652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12,981</w:t>
            </w:r>
          </w:p>
        </w:tc>
        <w:tc>
          <w:tcPr>
            <w:tcW w:w="0" w:type="dxa"/>
            <w:vAlign w:val="bottom"/>
          </w:tcPr>
          <w:p>
            <w:pPr>
              <w:spacing w:after="0"/>
              <w:rPr>
                <w:sz w:val="1"/>
                <w:szCs w:val="1"/>
                <w:color w:val="auto"/>
              </w:rPr>
            </w:pPr>
          </w:p>
        </w:tc>
      </w:tr>
      <w:tr>
        <w:trPr>
          <w:trHeight w:val="219"/>
        </w:trPr>
        <w:tc>
          <w:tcPr>
            <w:tcW w:w="2300" w:type="dxa"/>
            <w:vAlign w:val="bottom"/>
            <w:gridSpan w:val="2"/>
          </w:tcPr>
          <w:p>
            <w:pPr>
              <w:jc w:val="center"/>
              <w:ind w:right="120"/>
              <w:spacing w:after="0"/>
              <w:rPr>
                <w:sz w:val="20"/>
                <w:szCs w:val="20"/>
                <w:color w:val="auto"/>
              </w:rPr>
            </w:pPr>
            <w:r>
              <w:rPr>
                <w:rFonts w:ascii="Arial" w:cs="Arial" w:eastAsia="Arial" w:hAnsi="Arial"/>
                <w:sz w:val="14"/>
                <w:szCs w:val="14"/>
                <w:color w:val="auto"/>
              </w:rPr>
              <w:t>100% and 50% as of December</w:t>
            </w:r>
          </w:p>
        </w:tc>
        <w:tc>
          <w:tcPr>
            <w:tcW w:w="220" w:type="dxa"/>
            <w:vAlign w:val="bottom"/>
          </w:tcPr>
          <w:p>
            <w:pPr>
              <w:spacing w:after="0"/>
              <w:rPr>
                <w:sz w:val="19"/>
                <w:szCs w:val="19"/>
                <w:color w:val="auto"/>
              </w:rPr>
            </w:pPr>
          </w:p>
        </w:tc>
        <w:tc>
          <w:tcPr>
            <w:tcW w:w="1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780" w:type="dxa"/>
            <w:vAlign w:val="bottom"/>
            <w:vMerge w:val="restart"/>
          </w:tcPr>
          <w:p>
            <w:pPr>
              <w:jc w:val="right"/>
              <w:ind w:right="68"/>
              <w:spacing w:after="0"/>
              <w:rPr>
                <w:sz w:val="20"/>
                <w:szCs w:val="20"/>
                <w:color w:val="auto"/>
              </w:rPr>
            </w:pPr>
            <w:r>
              <w:rPr>
                <w:rFonts w:ascii="Arial" w:cs="Arial" w:eastAsia="Arial" w:hAnsi="Arial"/>
                <w:sz w:val="14"/>
                <w:szCs w:val="14"/>
                <w:color w:val="auto"/>
              </w:rPr>
              <w:t>25,461</w:t>
            </w:r>
          </w:p>
        </w:tc>
        <w:tc>
          <w:tcPr>
            <w:tcW w:w="0" w:type="dxa"/>
            <w:vAlign w:val="bottom"/>
          </w:tcPr>
          <w:p>
            <w:pPr>
              <w:spacing w:after="0"/>
              <w:rPr>
                <w:sz w:val="1"/>
                <w:szCs w:val="1"/>
                <w:color w:val="auto"/>
              </w:rPr>
            </w:pPr>
          </w:p>
        </w:tc>
      </w:tr>
      <w:tr>
        <w:trPr>
          <w:trHeight w:val="172"/>
        </w:trPr>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rPr>
              <w:t>31, 2019 and 2018, respectively</w:t>
            </w:r>
          </w:p>
        </w:tc>
        <w:tc>
          <w:tcPr>
            <w:tcW w:w="2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80" w:type="dxa"/>
            <w:vAlign w:val="bottom"/>
          </w:tcPr>
          <w:p>
            <w:pPr>
              <w:jc w:val="right"/>
              <w:ind w:right="9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b w:val="1"/>
                <w:bCs w:val="1"/>
                <w:color w:val="auto"/>
              </w:rPr>
              <w:t>501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22"/>
        </w:trPr>
        <w:tc>
          <w:tcPr>
            <w:tcW w:w="2180" w:type="dxa"/>
            <w:vAlign w:val="bottom"/>
          </w:tcPr>
          <w:p>
            <w:pPr>
              <w:jc w:val="right"/>
              <w:ind w:right="9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155,397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180,550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40,560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-840105</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-454025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-179705</wp:posOffset>
            </wp:positionV>
            <wp:extent cx="72466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00"/>
            <w:col w:w="6400"/>
          </w:cols>
          <w:pgMar w:left="240" w:top="115" w:right="23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77" w:name="page78"/>
    <w:bookmarkEnd w:id="77"/>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earnings (losses):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6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r>
      <w:tr>
        <w:trPr>
          <w:trHeight w:val="210"/>
        </w:trPr>
        <w:tc>
          <w:tcPr>
            <w:tcW w:w="622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2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 Ridge Terminal LLC</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(2,375)</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Long Ridge Terminal LLC</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Advanced Engine Repair JV</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2016, we invested $15.0 million for a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JGP Energy Partners LLC</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was governed by a designated operating committee selected by the members in proportion to their equity interests. JGP was solely reliant on its members to finance its activities and therefore was a VIE. Initially, we concluded that we were not the primary beneficiary of JGP as the members shared equally in the risks and rewards and decision making authority of the entity and, therefore, we did not consolidate JGP and instead accounted for this investment in accordance with the equity method.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2019, we purchased the remaining 50% interest in JGP from the JV partner for a purchase price of approximately $30 million, consolidated JGP and no longer account for this as an equity method investment.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Intermodal Finance I, Ltd.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and,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Intermodal owns a portfolio of approximately 3,000 shipping containers subject to multiple operating leases.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summarized financial information for our equity method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Sheet</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0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16,812</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7,981</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30,917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12,219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1,044</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3,483</w:t>
            </w: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Finance leases, net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1,479</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390,416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50,402</w:t>
            </w: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123,638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45,000</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89,294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6,667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487</w:t>
            </w:r>
          </w:p>
        </w:tc>
      </w:tr>
      <w:tr>
        <w:trPr>
          <w:trHeight w:val="23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672,509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109,922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6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37,437</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2,529</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186,953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14,364</w:t>
            </w: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530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224,920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16,934</w:t>
            </w:r>
          </w:p>
        </w:tc>
      </w:tr>
      <w:tr>
        <w:trPr>
          <w:trHeight w:val="203"/>
        </w:trPr>
        <w:tc>
          <w:tcPr>
            <w:tcW w:w="6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465,461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102,959</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(17,872)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(9,971)</w:t>
            </w: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447,589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92,988</w:t>
            </w:r>
          </w:p>
        </w:tc>
      </w:tr>
      <w:tr>
        <w:trPr>
          <w:trHeight w:val="23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672,509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109,922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70"/>
        </w:trPr>
        <w:tc>
          <w:tcPr>
            <w:tcW w:w="6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8,887</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4,569</w:t>
            </w: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8,887</w:t>
            </w: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9,435</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4,569</w:t>
            </w:r>
          </w:p>
        </w:tc>
      </w:tr>
      <w:tr>
        <w:trPr>
          <w:trHeight w:val="20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Research and development cost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6,323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2,134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4,073</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7,669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4,371</w:t>
            </w: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1,550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1,588</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w:t>
            </w: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2,351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2,099</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285</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1,261</w:t>
            </w: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18,320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15,501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14,414</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734</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2,070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3,667</w:t>
            </w:r>
          </w:p>
        </w:tc>
      </w:tr>
      <w:tr>
        <w:trPr>
          <w:trHeight w:val="210"/>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(8,699)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(6,178)</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(8,699)</w:t>
            </w:r>
          </w:p>
        </w:tc>
        <w:tc>
          <w:tcPr>
            <w:tcW w:w="5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(3,996)</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(6,178)</w:t>
            </w:r>
          </w:p>
        </w:tc>
      </w:tr>
      <w:tr>
        <w:trPr>
          <w:trHeight w:val="21"/>
        </w:trPr>
        <w:tc>
          <w:tcPr>
            <w:tcW w:w="6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10"/>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30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0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49,762</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49,762</w:t>
            </w: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(38,652)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(38,652)</w:t>
            </w:r>
          </w:p>
        </w:tc>
      </w:tr>
      <w:tr>
        <w:trPr>
          <w:trHeight w:val="210"/>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11,110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11,110</w:t>
            </w: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35,513</w:t>
            </w:r>
          </w:p>
        </w:tc>
      </w:tr>
      <w:tr>
        <w:trPr>
          <w:trHeight w:val="21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(18,931)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(18,931)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16,582</w:t>
            </w:r>
          </w:p>
        </w:tc>
      </w:tr>
      <w:tr>
        <w:trPr>
          <w:trHeight w:val="216"/>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11,110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16,582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27,692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5,170</w:t>
            </w:r>
          </w:p>
        </w:tc>
      </w:tr>
      <w:tr>
        <w:trPr>
          <w:trHeight w:val="21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(3,014)</w:t>
            </w: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2,156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2,156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70"/>
        </w:trPr>
        <w:tc>
          <w:tcPr>
            <w:tcW w:w="7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30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0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48,143</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48,143</w:t>
            </w: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(29,780)</w:t>
            </w:r>
          </w:p>
        </w:tc>
      </w:tr>
      <w:tr>
        <w:trPr>
          <w:trHeight w:val="204"/>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18,363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18,363</w:t>
            </w: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35,513</w:t>
            </w:r>
          </w:p>
        </w:tc>
      </w:tr>
      <w:tr>
        <w:trPr>
          <w:trHeight w:val="21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(15,378)</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20,135</w:t>
            </w:r>
          </w:p>
        </w:tc>
      </w:tr>
      <w:tr>
        <w:trPr>
          <w:trHeight w:val="216"/>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18,363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20,135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38,498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3,736</w:t>
            </w:r>
          </w:p>
        </w:tc>
      </w:tr>
      <w:tr>
        <w:trPr>
          <w:trHeight w:val="21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w:t>
            </w: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3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Classification in Consolidated Statements of</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7,181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4,716</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3,553</w:t>
            </w:r>
          </w:p>
        </w:tc>
      </w:tr>
      <w:tr>
        <w:trPr>
          <w:trHeight w:val="210"/>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Discontinued operations</w:t>
            </w:r>
          </w:p>
        </w:tc>
        <w:tc>
          <w:tcPr>
            <w:tcW w:w="3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10,749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12,186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8,314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7,982</w:t>
            </w:r>
          </w:p>
        </w:tc>
      </w:tr>
      <w:tr>
        <w:trPr>
          <w:trHeight w:val="210"/>
        </w:trPr>
        <w:tc>
          <w:tcPr>
            <w:tcW w:w="9560" w:type="dxa"/>
            <w:vAlign w:val="bottom"/>
          </w:tcPr>
          <w:p>
            <w:pPr>
              <w:ind w:left="20"/>
              <w:spacing w:after="0"/>
              <w:rPr>
                <w:sz w:val="20"/>
                <w:szCs w:val="20"/>
                <w:color w:val="auto"/>
              </w:rPr>
            </w:pPr>
            <w:r>
              <w:rPr>
                <w:rFonts w:ascii="Arial" w:cs="Arial" w:eastAsia="Arial" w:hAnsi="Arial"/>
                <w:sz w:val="14"/>
                <w:szCs w:val="14"/>
                <w:color w:val="auto"/>
              </w:rPr>
              <w:t>2021</w:t>
            </w:r>
          </w:p>
        </w:tc>
        <w:tc>
          <w:tcPr>
            <w:tcW w:w="68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6,611</w:t>
            </w:r>
          </w:p>
        </w:tc>
      </w:tr>
      <w:tr>
        <w:trPr>
          <w:trHeight w:val="22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4,833</w:t>
            </w:r>
          </w:p>
        </w:tc>
      </w:tr>
      <w:tr>
        <w:trPr>
          <w:trHeight w:val="210"/>
        </w:trPr>
        <w:tc>
          <w:tcPr>
            <w:tcW w:w="956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3,733</w:t>
            </w:r>
          </w:p>
        </w:tc>
      </w:tr>
      <w:tr>
        <w:trPr>
          <w:trHeight w:val="22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2,377</w:t>
            </w:r>
          </w:p>
        </w:tc>
      </w:tr>
      <w:tr>
        <w:trPr>
          <w:trHeight w:val="21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1"/>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25,536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December 31, 2019</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8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7"/>
                <w:szCs w:val="17"/>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202"/>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20"/>
              <w:spacing w:after="0" w:line="159" w:lineRule="exact"/>
              <w:rPr>
                <w:sz w:val="20"/>
                <w:szCs w:val="20"/>
                <w:color w:val="auto"/>
              </w:rPr>
            </w:pPr>
            <w:r>
              <w:rPr>
                <w:rFonts w:ascii="Arial" w:cs="Arial" w:eastAsia="Arial" w:hAnsi="Arial"/>
                <w:sz w:val="14"/>
                <w:szCs w:val="14"/>
                <w:color w:val="auto"/>
              </w:rPr>
              <w:t>FTAI Pride Credit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36,009</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9/16/2020</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68"/>
              <w:spacing w:after="0"/>
              <w:rPr>
                <w:sz w:val="20"/>
                <w:szCs w:val="20"/>
                <w:color w:val="auto"/>
              </w:rPr>
            </w:pPr>
            <w:r>
              <w:rPr>
                <w:rFonts w:ascii="Arial" w:cs="Arial" w:eastAsia="Arial" w:hAnsi="Arial"/>
                <w:sz w:val="14"/>
                <w:szCs w:val="14"/>
                <w:color w:val="auto"/>
              </w:rPr>
              <w:t>47,743</w:t>
            </w:r>
          </w:p>
        </w:tc>
        <w:tc>
          <w:tcPr>
            <w:tcW w:w="0" w:type="dxa"/>
            <w:vAlign w:val="bottom"/>
          </w:tcPr>
          <w:p>
            <w:pPr>
              <w:spacing w:after="0"/>
              <w:rPr>
                <w:sz w:val="1"/>
                <w:szCs w:val="1"/>
                <w:color w:val="auto"/>
              </w:rPr>
            </w:pPr>
          </w:p>
        </w:tc>
      </w:tr>
      <w:tr>
        <w:trPr>
          <w:trHeight w:val="179"/>
        </w:trPr>
        <w:tc>
          <w:tcPr>
            <w:tcW w:w="2440" w:type="dxa"/>
            <w:vAlign w:val="bottom"/>
          </w:tcPr>
          <w:p>
            <w:pPr>
              <w:ind w:left="20"/>
              <w:spacing w:after="0" w:line="179" w:lineRule="exact"/>
              <w:rPr>
                <w:sz w:val="20"/>
                <w:szCs w:val="20"/>
                <w:color w:val="auto"/>
              </w:rPr>
            </w:pPr>
            <w:r>
              <w:rPr>
                <w:rFonts w:ascii="Arial" w:cs="Arial" w:eastAsia="Arial" w:hAnsi="Arial"/>
                <w:sz w:val="14"/>
                <w:szCs w:val="14"/>
                <w:color w:val="auto"/>
              </w:rPr>
              <w:t xml:space="preserve">Agreement </w:t>
            </w:r>
            <w:r>
              <w:rPr>
                <w:rFonts w:ascii="Arial" w:cs="Arial" w:eastAsia="Arial" w:hAnsi="Arial"/>
                <w:sz w:val="18"/>
                <w:szCs w:val="18"/>
                <w:color w:val="auto"/>
                <w:vertAlign w:val="superscript"/>
              </w:rPr>
              <w:t>(1)</w:t>
            </w:r>
          </w:p>
        </w:tc>
        <w:tc>
          <w:tcPr>
            <w:tcW w:w="2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4"/>
                <w:szCs w:val="14"/>
                <w:color w:val="auto"/>
              </w:rPr>
              <w:t>LIBOR + 4.50%</w:t>
            </w: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Jefferson Revolver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50,000</w:t>
            </w:r>
          </w:p>
        </w:tc>
        <w:tc>
          <w:tcPr>
            <w:tcW w:w="100" w:type="dxa"/>
            <w:vAlign w:val="bottom"/>
            <w:shd w:val="clear" w:color="auto" w:fill="CCEEFF"/>
          </w:tcPr>
          <w:p>
            <w:pPr>
              <w:spacing w:after="0"/>
              <w:rPr>
                <w:sz w:val="13"/>
                <w:szCs w:val="13"/>
                <w:color w:val="auto"/>
              </w:rPr>
            </w:pPr>
          </w:p>
        </w:tc>
        <w:tc>
          <w:tcPr>
            <w:tcW w:w="438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Base Rate + 1.50%; or</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3/7/2021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71"/>
        </w:trPr>
        <w:tc>
          <w:tcPr>
            <w:tcW w:w="24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(3)</w:t>
            </w:r>
          </w:p>
        </w:tc>
        <w:tc>
          <w:tcPr>
            <w:tcW w:w="220" w:type="dxa"/>
            <w:vAlign w:val="bottom"/>
          </w:tcPr>
          <w:p>
            <w:pPr>
              <w:spacing w:after="0"/>
              <w:rPr>
                <w:sz w:val="13"/>
                <w:szCs w:val="13"/>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3"/>
                <w:szCs w:val="13"/>
                <w:color w:val="auto"/>
              </w:rPr>
            </w:pPr>
          </w:p>
        </w:tc>
        <w:tc>
          <w:tcPr>
            <w:tcW w:w="438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(i) Base Rate + 1.50%; or</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11/5/2021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 Base Rate + 2.00%; or</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1/31/2022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2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111,009</w:t>
            </w:r>
          </w:p>
        </w:tc>
        <w:tc>
          <w:tcPr>
            <w:tcW w:w="1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197,548</w:t>
            </w:r>
          </w:p>
        </w:tc>
        <w:tc>
          <w:tcPr>
            <w:tcW w:w="0" w:type="dxa"/>
            <w:vAlign w:val="bottom"/>
          </w:tcPr>
          <w:p>
            <w:pPr>
              <w:spacing w:after="0"/>
              <w:rPr>
                <w:sz w:val="1"/>
                <w:szCs w:val="1"/>
                <w:color w:val="auto"/>
              </w:rPr>
            </w:pPr>
          </w:p>
        </w:tc>
      </w:tr>
      <w:tr>
        <w:trPr>
          <w:trHeight w:val="22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(4)</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41,059</w:t>
            </w:r>
          </w:p>
        </w:tc>
        <w:tc>
          <w:tcPr>
            <w:tcW w:w="4380" w:type="dxa"/>
            <w:vAlign w:val="bottom"/>
            <w:gridSpan w:val="2"/>
          </w:tcPr>
          <w:p>
            <w:pPr>
              <w:jc w:val="right"/>
              <w:ind w:right="192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7/1/2032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42,797</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144,200</w:t>
            </w:r>
          </w:p>
        </w:tc>
        <w:tc>
          <w:tcPr>
            <w:tcW w:w="4380" w:type="dxa"/>
            <w:vAlign w:val="bottom"/>
            <w:gridSpan w:val="2"/>
            <w:shd w:val="clear" w:color="auto" w:fill="CCEEFF"/>
          </w:tcPr>
          <w:p>
            <w:pPr>
              <w:jc w:val="right"/>
              <w:ind w:right="192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2/1/2036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Arial" w:cs="Arial" w:eastAsia="Arial" w:hAnsi="Arial"/>
                <w:sz w:val="14"/>
                <w:szCs w:val="14"/>
                <w:color w:val="auto"/>
              </w:rPr>
              <w:t xml:space="preserve">Senior Notes due 2022 </w:t>
            </w:r>
            <w:r>
              <w:rPr>
                <w:rFonts w:ascii="Arial" w:cs="Arial" w:eastAsia="Arial" w:hAnsi="Arial"/>
                <w:sz w:val="18"/>
                <w:szCs w:val="18"/>
                <w:color w:val="auto"/>
                <w:vertAlign w:val="superscript"/>
              </w:rPr>
              <w:t>(6)</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697,814</w:t>
            </w:r>
          </w:p>
        </w:tc>
        <w:tc>
          <w:tcPr>
            <w:tcW w:w="4380" w:type="dxa"/>
            <w:vAlign w:val="bottom"/>
            <w:gridSpan w:val="2"/>
          </w:tcPr>
          <w:p>
            <w:pPr>
              <w:jc w:val="right"/>
              <w:ind w:right="19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3/15/2022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549,405</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18"/>
                <w:szCs w:val="18"/>
                <w:color w:val="auto"/>
                <w:vertAlign w:val="superscript"/>
              </w:rPr>
              <w:t>(7)</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444,957</w:t>
            </w:r>
          </w:p>
        </w:tc>
        <w:tc>
          <w:tcPr>
            <w:tcW w:w="4380" w:type="dxa"/>
            <w:vAlign w:val="bottom"/>
            <w:gridSpan w:val="2"/>
            <w:shd w:val="clear" w:color="auto" w:fill="CCEEFF"/>
          </w:tcPr>
          <w:p>
            <w:pPr>
              <w:jc w:val="right"/>
              <w:ind w:right="192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10/1/2025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295,642</w:t>
            </w:r>
          </w:p>
        </w:tc>
        <w:tc>
          <w:tcPr>
            <w:tcW w:w="0" w:type="dxa"/>
            <w:vAlign w:val="bottom"/>
          </w:tcPr>
          <w:p>
            <w:pPr>
              <w:spacing w:after="0"/>
              <w:rPr>
                <w:sz w:val="1"/>
                <w:szCs w:val="1"/>
                <w:color w:val="auto"/>
              </w:rPr>
            </w:pPr>
          </w:p>
        </w:tc>
      </w:tr>
      <w:tr>
        <w:trPr>
          <w:trHeight w:val="204"/>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bonds payable</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1,328,030</w:t>
            </w:r>
          </w:p>
        </w:tc>
        <w:tc>
          <w:tcPr>
            <w:tcW w:w="10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1,032,044</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1,439,039</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1,229,592</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(18,111)</w:t>
            </w:r>
          </w:p>
        </w:tc>
        <w:tc>
          <w:tcPr>
            <w:tcW w:w="10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(14,484)</w:t>
            </w: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1,420,928</w:t>
            </w:r>
          </w:p>
        </w:tc>
        <w:tc>
          <w:tcPr>
            <w:tcW w:w="10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1,215,108</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182,019</w:t>
            </w:r>
          </w:p>
        </w:tc>
        <w:tc>
          <w:tcPr>
            <w:tcW w:w="10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49,413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22" w:lineRule="auto"/>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Secured on a first priority basis by the offshore vessel.</w:t>
      </w:r>
    </w:p>
    <w:p>
      <w:pPr>
        <w:ind w:left="140" w:hanging="132"/>
        <w:spacing w:after="0" w:line="211" w:lineRule="auto"/>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0.50% on the average daily unused portion, as well as customary letter of credit fees and agency fees.</w:t>
      </w:r>
    </w:p>
    <w:p>
      <w:pPr>
        <w:ind w:left="140" w:hanging="132"/>
        <w:spacing w:after="0" w:line="211" w:lineRule="auto"/>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0.875% on the average daily unused portion, as well as customary letter of credit fees and agency fees.</w:t>
      </w:r>
    </w:p>
    <w:p>
      <w:pPr>
        <w:ind w:left="140" w:hanging="132"/>
        <w:spacing w:after="0" w:line="211" w:lineRule="auto"/>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Includes unamortized premium of $1,509 and $1,577 as of December 31, 2019 and 2018, respectively.</w:t>
      </w:r>
    </w:p>
    <w:p>
      <w:pPr>
        <w:ind w:left="180" w:right="20" w:hanging="172"/>
        <w:spacing w:after="0" w:line="204" w:lineRule="auto"/>
        <w:tabs>
          <w:tab w:leader="none" w:pos="176"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These bonds have a stated maturity of February 1, 2036 but are subject to mandatory tender for purchase at par, by our subsidiary, on February 13, 2020 if they have not been repurchased from proceeds of a remarketing of the bonds or redeemed prior to such date.</w:t>
      </w:r>
    </w:p>
    <w:p>
      <w:pPr>
        <w:spacing w:after="0" w:line="1" w:lineRule="exact"/>
        <w:rPr>
          <w:rFonts w:ascii="Arial" w:cs="Arial" w:eastAsia="Arial" w:hAnsi="Arial"/>
          <w:sz w:val="19"/>
          <w:szCs w:val="19"/>
          <w:color w:val="auto"/>
          <w:vertAlign w:val="superscript"/>
        </w:rPr>
      </w:pPr>
    </w:p>
    <w:p>
      <w:pPr>
        <w:ind w:left="140" w:hanging="132"/>
        <w:spacing w:after="0" w:line="211" w:lineRule="auto"/>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$5,429 and $5,154, respectively, and an unamortized premium of $3,243 and $4,559, respectively, as of December 31, 2019 and 2018.</w:t>
      </w:r>
    </w:p>
    <w:p>
      <w:pPr>
        <w:ind w:left="140" w:hanging="132"/>
        <w:spacing w:after="0" w:line="224" w:lineRule="auto"/>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$5,043 and $4,358 as of December 31, 2019 and 2018, respectively.</w:t>
      </w:r>
    </w:p>
    <w:p>
      <w:pPr>
        <w:spacing w:after="0" w:line="3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DRP Revolver</w:t>
      </w:r>
      <w:r>
        <w:rPr>
          <w:rFonts w:ascii="Arial" w:cs="Arial" w:eastAsia="Arial" w:hAnsi="Arial"/>
          <w:sz w:val="16"/>
          <w:szCs w:val="16"/>
          <w:color w:val="000000"/>
        </w:rPr>
        <w:t>—On November 5, 2018, our subsidiary entered into a revolving credit facility (the “DRP Revolver”) that provides for revolving loans 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aggregate amount of $25 million. The DRP Revolver is secured by the capital stock of certain of our direct subsidiaries as defined in the related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event of a credit agreement default by our subsidiary, including bankruptcy or insolvency, financial covenant default, or the failure to make a capital call under the relevant agreement, we have agreed to contribute capital to satisfy up to 120% of the aggregate outstanding obligations.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Jefferson Revolver</w:t>
      </w:r>
      <w:r>
        <w:rPr>
          <w:rFonts w:ascii="Arial" w:cs="Arial" w:eastAsia="Arial" w:hAnsi="Arial"/>
          <w:sz w:val="16"/>
          <w:szCs w:val="16"/>
          <w:color w:val="000000"/>
        </w:rPr>
        <w:t>—On December 20, 2018, our subsidiary entered into an amendment to the Jefferson Revolver which temporarily increased the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commitments by $25 million from $50 million to $75 million. In July 2019, we repaid $23 million, and the aggregate revolving commitment reverted back to $50 million on August 1, 2019.</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event of a credit agreement default by our subsidiary, including bankruptcy or insolvency, financial covenant default, or the failure to make a capital call under the relevant agreement, we have agreed to contribute capital to satisfy up to 120% of the aggregate outstanding obligations.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color w:val="00497F"/>
        </w:rPr>
        <w:t>—</w:t>
      </w:r>
      <w:r>
        <w:rPr>
          <w:rFonts w:ascii="Arial" w:cs="Arial" w:eastAsia="Arial" w:hAnsi="Arial"/>
          <w:sz w:val="16"/>
          <w:szCs w:val="16"/>
          <w:color w:val="000000"/>
        </w:rPr>
        <w:t>On February 8, 2019, we issued an additional $150 million of Senior Notes (“2022 Notes”) at an offering price of 98.5%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September 15, 2018.</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0000"/>
        </w:rPr>
        <w:t>—On February 8, 2019, we entered into an amendment to the Revolving Credit Facility which, among other things, (i) increased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aggregate revolving commitments by $125 million from $125 million to $250 million, (ii) extended the maturity date of the revolving loans and commitments to January 31, 2022 and (iii) made certain modifications to the financial covenants, including an increase in the maximum ratio of debt to total equity from 1.65:1.00 to 2.00:1.00.</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6, 2019, we entered into another amendment to the Revolving Credit Facility which, among other things, makes certain modifications to the financial covenants, including an increase in the maximum ratio of debt to total equity from 2.00:1.00 to 3.00:1.00.</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LREG Credit Agreement</w:t>
      </w:r>
      <w:r>
        <w:rPr>
          <w:rFonts w:ascii="Arial" w:cs="Arial" w:eastAsia="Arial" w:hAnsi="Arial"/>
          <w:sz w:val="16"/>
          <w:szCs w:val="16"/>
          <w:color w:val="00497F"/>
        </w:rPr>
        <w:t>—</w:t>
      </w:r>
      <w:r>
        <w:rPr>
          <w:rFonts w:ascii="Arial" w:cs="Arial" w:eastAsia="Arial" w:hAnsi="Arial"/>
          <w:sz w:val="16"/>
          <w:szCs w:val="16"/>
          <w:color w:val="000000"/>
        </w:rPr>
        <w:t>On February 15, 2019, Long Ridge Energy Generation LLC and two other subsidiaries (collectively, “Co-Borrowers”) entered into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certain credit agreements establishing (i) a $445 million construction loan and term loan, (ii) a $154 million letter of credit facility and (iii) a $143 million construction loan and term loan, all of which will be used for the purposes of funding the development, construction and completion of the power plant at Long Ridge. The borrowings under these agreements are secured by the assets of the Co-Borrowers, are not guaranteed by the Company and are non-recourse to the Company. This debt was deconsolidated as a result of the Long Ridge Transaction. See Note 7 for additional detail.</w:t>
      </w:r>
    </w:p>
    <w:p>
      <w:pPr>
        <w:spacing w:after="0" w:line="7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May 21, 2019, we issued an additional $150 million of Senior Notes (“2025 Notes”) at an offering price of 99.125%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April 1, 2019.</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30, 2019, our subsidiary entered into an amendment to the FTAI Pride Credit Agreement which extended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maturity date to September 16, 2020.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fully extinguished certain debt of $100.0 million and recognized a loss on extinguishment of debt of $2.5 million during the year ended December 31, 2017.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did not fully extinguish any debt in 2019 or 2018.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scheduled principal repayments under our debt agreements for the next five years and thereafter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Credit Agreement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36,009</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Jefferson Revolver</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2012 Bonds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39,550</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Series 2016 Bonds</w:t>
            </w:r>
          </w:p>
        </w:tc>
        <w:tc>
          <w:tcPr>
            <w:tcW w:w="2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144,200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principal payments on loans and</w:t>
            </w: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182,019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76,960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702,120</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2,295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2,485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478,880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1,444,759</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8"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tables set forth our financial assets measured at fair value on a recurring basis by level within the fair value hierarchy. Assets measured at fair value are classified in their entirety based on the lowest level of input that is significant to their fair value measurement.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 as of</w:t>
            </w:r>
          </w:p>
        </w:tc>
        <w:tc>
          <w:tcPr>
            <w:tcW w:w="360" w:type="dxa"/>
            <w:vAlign w:val="bottom"/>
          </w:tcPr>
          <w:p>
            <w:pPr>
              <w:spacing w:after="0"/>
              <w:rPr>
                <w:sz w:val="16"/>
                <w:szCs w:val="16"/>
                <w:color w:val="auto"/>
              </w:rPr>
            </w:pPr>
          </w:p>
        </w:tc>
        <w:tc>
          <w:tcPr>
            <w:tcW w:w="4500" w:type="dxa"/>
            <w:vAlign w:val="bottom"/>
            <w:gridSpan w:val="6"/>
          </w:tcPr>
          <w:p>
            <w:pPr>
              <w:jc w:val="center"/>
              <w:ind w:left="1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2"/>
        </w:trPr>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2019</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2"/>
        </w:trPr>
        <w:tc>
          <w:tcPr>
            <w:tcW w:w="2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r>
      <w:tr>
        <w:trPr>
          <w:trHeight w:val="19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7"/>
                <w:szCs w:val="17"/>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r>
      <w:tr>
        <w:trPr>
          <w:trHeight w:val="202"/>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68"/>
              <w:spacing w:after="0"/>
              <w:rPr>
                <w:sz w:val="20"/>
                <w:szCs w:val="20"/>
                <w:color w:val="auto"/>
              </w:rPr>
            </w:pPr>
            <w:r>
              <w:rPr>
                <w:rFonts w:ascii="Arial" w:cs="Arial" w:eastAsia="Arial" w:hAnsi="Arial"/>
                <w:sz w:val="14"/>
                <w:szCs w:val="14"/>
                <w:b w:val="1"/>
                <w:bCs w:val="1"/>
                <w:color w:val="auto"/>
              </w:rPr>
              <w:t>226,512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226,512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ind w:left="13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22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16,005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21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0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242,698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242,517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3"/>
        </w:trPr>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 as of</w:t>
            </w:r>
          </w:p>
        </w:tc>
        <w:tc>
          <w:tcPr>
            <w:tcW w:w="360" w:type="dxa"/>
            <w:vAlign w:val="bottom"/>
          </w:tcPr>
          <w:p>
            <w:pPr>
              <w:spacing w:after="0"/>
              <w:rPr>
                <w:sz w:val="24"/>
                <w:szCs w:val="24"/>
                <w:color w:val="auto"/>
              </w:rPr>
            </w:pPr>
          </w:p>
        </w:tc>
        <w:tc>
          <w:tcPr>
            <w:tcW w:w="4500" w:type="dxa"/>
            <w:vAlign w:val="bottom"/>
            <w:gridSpan w:val="6"/>
          </w:tcPr>
          <w:p>
            <w:pPr>
              <w:jc w:val="center"/>
              <w:ind w:left="1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2"/>
        </w:trPr>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2018</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2"/>
        </w:trPr>
        <w:tc>
          <w:tcPr>
            <w:tcW w:w="2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r>
      <w:tr>
        <w:trPr>
          <w:trHeight w:val="19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7"/>
                <w:szCs w:val="17"/>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r>
      <w:tr>
        <w:trPr>
          <w:trHeight w:val="202"/>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99,601</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99,601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2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1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7,470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3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128,307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120,837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3"/>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4"/>
        </w:trPr>
        <w:tc>
          <w:tcPr>
            <w:tcW w:w="25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Income</w:t>
            </w:r>
          </w:p>
        </w:tc>
      </w:tr>
    </w:tbl>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discussed below, our financial instruments other than cash and cash equivalents,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(1)</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41,450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42,633</w:t>
            </w:r>
          </w:p>
        </w:tc>
      </w:tr>
      <w:tr>
        <w:trPr>
          <w:trHeight w:val="216"/>
        </w:trPr>
        <w:tc>
          <w:tcPr>
            <w:tcW w:w="7980" w:type="dxa"/>
            <w:vAlign w:val="bottom"/>
          </w:tcPr>
          <w:p>
            <w:pPr>
              <w:ind w:left="2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(1)</w:t>
            </w:r>
          </w:p>
        </w:tc>
        <w:tc>
          <w:tcPr>
            <w:tcW w:w="100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145,143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149,582</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8"/>
              </w:rPr>
              <w:t>731,451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551,144</w:t>
            </w:r>
          </w:p>
        </w:tc>
      </w:tr>
      <w:tr>
        <w:trPr>
          <w:trHeight w:val="204"/>
        </w:trPr>
        <w:tc>
          <w:tcPr>
            <w:tcW w:w="798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10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475,884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283,965</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35"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Fair value is based upon market prices for similar municipal securities.</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These crude oil forward purchase and sales contracts are not designated in hedging relationships.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outstanding derivative contracts: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Notional Amount</w:t>
            </w: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of Assets</w:t>
            </w:r>
          </w:p>
        </w:tc>
        <w:tc>
          <w:tcPr>
            <w:tcW w:w="180" w:type="dxa"/>
            <w:vAlign w:val="bottom"/>
          </w:tcPr>
          <w:p>
            <w:pPr>
              <w:jc w:val="right"/>
              <w:spacing w:after="0"/>
              <w:rPr>
                <w:sz w:val="20"/>
                <w:szCs w:val="20"/>
                <w:color w:val="auto"/>
              </w:rPr>
            </w:pPr>
            <w:r>
              <w:rPr>
                <w:rFonts w:ascii="Arial" w:cs="Arial" w:eastAsia="Arial" w:hAnsi="Arial"/>
                <w:sz w:val="9"/>
                <w:szCs w:val="9"/>
                <w:b w:val="1"/>
                <w:bCs w:val="1"/>
                <w:color w:val="auto"/>
              </w:rPr>
              <w:t>(1)</w:t>
            </w:r>
          </w:p>
        </w:tc>
        <w:tc>
          <w:tcPr>
            <w:tcW w:w="10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Liabilities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jc w:val="right"/>
              <w:ind w:right="696"/>
              <w:spacing w:after="0"/>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December 31, 2019</w:t>
            </w: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Crude oil forwards (BBL)</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13"/>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 to 2 months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Crude oil forwards (BBL)</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13"/>
              <w:spacing w:after="0"/>
              <w:rPr>
                <w:sz w:val="20"/>
                <w:szCs w:val="20"/>
                <w:color w:val="auto"/>
              </w:rPr>
            </w:pPr>
            <w:r>
              <w:rPr>
                <w:rFonts w:ascii="Arial" w:cs="Arial" w:eastAsia="Arial" w:hAnsi="Arial"/>
                <w:sz w:val="14"/>
                <w:szCs w:val="14"/>
                <w:color w:val="auto"/>
              </w:rPr>
              <w:t>7,470</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6"/>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 to 12 months</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35" w:lineRule="auto"/>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Included in Other assets and Other liabilities, respectively, in our Consolidated Balance Sheets.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260" w:type="dxa"/>
            <w:vAlign w:val="bottom"/>
          </w:tcPr>
          <w:p>
            <w:pPr>
              <w:ind w:left="20"/>
              <w:spacing w:after="0"/>
              <w:rPr>
                <w:sz w:val="20"/>
                <w:szCs w:val="20"/>
                <w:color w:val="auto"/>
              </w:rPr>
            </w:pPr>
            <w:r>
              <w:rPr>
                <w:rFonts w:ascii="Arial" w:cs="Arial" w:eastAsia="Arial" w:hAnsi="Arial"/>
                <w:sz w:val="14"/>
                <w:szCs w:val="14"/>
                <w:color w:val="auto"/>
              </w:rPr>
              <w:t>Net unrealized gains (losses) recognized in earnings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1,022</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1,011</w:t>
            </w:r>
          </w:p>
        </w:tc>
      </w:tr>
      <w:tr>
        <w:trPr>
          <w:trHeight w:val="210"/>
        </w:trPr>
        <w:tc>
          <w:tcPr>
            <w:tcW w:w="7260" w:type="dxa"/>
            <w:vAlign w:val="bottom"/>
          </w:tcPr>
          <w:p>
            <w:pPr>
              <w:ind w:left="20"/>
              <w:spacing w:after="0"/>
              <w:rPr>
                <w:sz w:val="20"/>
                <w:szCs w:val="20"/>
                <w:color w:val="auto"/>
              </w:rPr>
            </w:pPr>
            <w:r>
              <w:rPr>
                <w:rFonts w:ascii="Arial" w:cs="Arial" w:eastAsia="Arial" w:hAnsi="Arial"/>
                <w:sz w:val="14"/>
                <w:szCs w:val="14"/>
                <w:color w:val="auto"/>
              </w:rPr>
              <w:t>Sales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r>
      <w:tr>
        <w:trPr>
          <w:trHeight w:val="216"/>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Ending Balance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1,022</w:t>
            </w:r>
          </w:p>
        </w:tc>
      </w:tr>
      <w:tr>
        <w:trPr>
          <w:trHeight w:val="21"/>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REVENUES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prior to January 1, 2019 and ASC 842 after January 1, 2019,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8"/>
          </w:tcPr>
          <w:p>
            <w:pPr>
              <w:jc w:val="right"/>
              <w:ind w:right="28"/>
              <w:spacing w:after="0"/>
              <w:rPr>
                <w:sz w:val="20"/>
                <w:szCs w:val="20"/>
                <w:color w:val="auto"/>
              </w:rPr>
            </w:pPr>
            <w:r>
              <w:rPr>
                <w:rFonts w:ascii="Arial" w:cs="Arial" w:eastAsia="Arial" w:hAnsi="Arial"/>
                <w:sz w:val="14"/>
                <w:szCs w:val="14"/>
                <w:b w:val="1"/>
                <w:bCs w:val="1"/>
                <w:color w:val="auto"/>
              </w:rPr>
              <w:t>Year Ended December 31, 2019</w:t>
            </w: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2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1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8"/>
                <w:szCs w:val="18"/>
                <w:color w:val="auto"/>
              </w:rPr>
            </w:pPr>
          </w:p>
        </w:tc>
        <w:tc>
          <w:tcPr>
            <w:tcW w:w="128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75"/>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68"/>
              <w:spacing w:after="0"/>
              <w:rPr>
                <w:sz w:val="20"/>
                <w:szCs w:val="20"/>
                <w:color w:val="auto"/>
              </w:rPr>
            </w:pPr>
            <w:r>
              <w:rPr>
                <w:rFonts w:ascii="Arial" w:cs="Arial" w:eastAsia="Arial" w:hAnsi="Arial"/>
                <w:sz w:val="14"/>
                <w:szCs w:val="14"/>
                <w:b w:val="1"/>
                <w:bCs w:val="1"/>
                <w:color w:val="auto"/>
              </w:rPr>
              <w:t>197,305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9,796</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207,101</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134,914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134,914</w:t>
            </w: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b w:val="1"/>
                <w:bCs w:val="1"/>
                <w:color w:val="auto"/>
              </w:rPr>
              <w:t>2,648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2,648</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4,659</w:t>
            </w: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b w:val="1"/>
                <w:bCs w:val="1"/>
                <w:color w:val="auto"/>
              </w:rPr>
              <w:t>336,675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12,647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349,322</w:t>
            </w:r>
          </w:p>
        </w:tc>
      </w:tr>
      <w:tr>
        <w:trPr>
          <w:trHeight w:val="169"/>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2,306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b w:val="1"/>
                <w:bCs w:val="1"/>
                <w:color w:val="auto"/>
              </w:rPr>
              <w:t>1,056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3,362</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35,908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42,965</w:t>
            </w: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166,134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166,134</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14,074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16,991</w:t>
            </w: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204,348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b w:val="1"/>
                <w:bCs w:val="1"/>
                <w:color w:val="auto"/>
              </w:rPr>
              <w:t>22,187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2,917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229,452</w:t>
            </w: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336,675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204,348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578,774</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670"/>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8"/>
              <w:spacing w:after="0"/>
              <w:rPr>
                <w:sz w:val="20"/>
                <w:szCs w:val="20"/>
                <w:color w:val="auto"/>
              </w:rPr>
            </w:pPr>
            <w:r>
              <w:rPr>
                <w:rFonts w:ascii="Arial" w:cs="Arial" w:eastAsia="Arial" w:hAnsi="Arial"/>
                <w:sz w:val="14"/>
                <w:szCs w:val="14"/>
                <w:b w:val="1"/>
                <w:bCs w:val="1"/>
                <w:color w:val="auto"/>
              </w:rPr>
              <w:t>Year Ended December 31, 2018</w:t>
            </w: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0"/>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1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8"/>
                <w:szCs w:val="18"/>
                <w:color w:val="auto"/>
              </w:rPr>
            </w:pPr>
          </w:p>
        </w:tc>
        <w:tc>
          <w:tcPr>
            <w:tcW w:w="128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20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151,531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5,659</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157,190</w:t>
            </w: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89,870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89,870</w:t>
            </w: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1,895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1,454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3,349</w:t>
            </w: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2,630</w:t>
            </w:r>
          </w:p>
        </w:tc>
      </w:tr>
      <w:tr>
        <w:trPr>
          <w:trHeight w:val="204"/>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244,270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8,769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253,039</w:t>
            </w:r>
          </w:p>
        </w:tc>
      </w:tr>
      <w:tr>
        <w:trPr>
          <w:trHeight w:val="20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1,462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1,734</w:t>
            </w: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10,108</w:t>
            </w: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60,518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60,518</w:t>
            </w: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16,713</w:t>
            </w:r>
          </w:p>
        </w:tc>
      </w:tr>
      <w:tr>
        <w:trPr>
          <w:trHeight w:val="20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70,985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17,444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89,073</w:t>
            </w:r>
          </w:p>
        </w:tc>
      </w:tr>
      <w:tr>
        <w:trPr>
          <w:trHeight w:val="23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244,270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70,985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342,112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 2017</w:t>
            </w: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2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 Terminal</w:t>
            </w: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8"/>
                <w:szCs w:val="18"/>
                <w:color w:val="auto"/>
              </w:rPr>
            </w:pPr>
          </w:p>
        </w:tc>
        <w:tc>
          <w:tcPr>
            <w:tcW w:w="128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20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91,103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8,433</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99,536</w:t>
            </w: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65,651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65,651</w:t>
            </w: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1,536</w:t>
            </w: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3,277</w:t>
            </w:r>
          </w:p>
        </w:tc>
      </w:tr>
      <w:tr>
        <w:trPr>
          <w:trHeight w:val="204"/>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80" w:type="dxa"/>
            <w:vAlign w:val="bottom"/>
          </w:tcPr>
          <w:p>
            <w:pPr>
              <w:spacing w:after="0"/>
              <w:rPr>
                <w:sz w:val="17"/>
                <w:szCs w:val="17"/>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156,793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13,207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170,000</w:t>
            </w:r>
          </w:p>
        </w:tc>
      </w:tr>
      <w:tr>
        <w:trPr>
          <w:trHeight w:val="20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1,111</w:t>
            </w: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10,229</w:t>
            </w:r>
          </w:p>
        </w:tc>
      </w:tr>
      <w:tr>
        <w:trPr>
          <w:trHeight w:val="21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3,712</w:t>
            </w: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15,052</w:t>
            </w:r>
          </w:p>
        </w:tc>
      </w:tr>
      <w:tr>
        <w:trPr>
          <w:trHeight w:val="216"/>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156,793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10,229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13,207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185,052</w:t>
            </w:r>
          </w:p>
        </w:tc>
      </w:tr>
      <w:tr>
        <w:trPr>
          <w:trHeight w:val="21"/>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7"/>
                <w:szCs w:val="17"/>
                <w:color w:val="auto"/>
              </w:rPr>
            </w:pPr>
          </w:p>
        </w:tc>
        <w:tc>
          <w:tcPr>
            <w:tcW w:w="1640" w:type="dxa"/>
            <w:vAlign w:val="bottom"/>
          </w:tcPr>
          <w:p>
            <w:pPr>
              <w:jc w:val="right"/>
              <w:ind w:right="428"/>
              <w:spacing w:after="0"/>
              <w:rPr>
                <w:sz w:val="20"/>
                <w:szCs w:val="20"/>
                <w:color w:val="auto"/>
              </w:rPr>
            </w:pPr>
            <w:r>
              <w:rPr>
                <w:rFonts w:ascii="Arial" w:cs="Arial" w:eastAsia="Arial" w:hAnsi="Arial"/>
                <w:sz w:val="14"/>
                <w:szCs w:val="14"/>
                <w:b w:val="1"/>
                <w:bCs w:val="1"/>
                <w:color w:val="auto"/>
              </w:rPr>
              <w:t>Finance leases</w:t>
            </w:r>
          </w:p>
        </w:tc>
      </w:tr>
      <w:tr>
        <w:trPr>
          <w:trHeight w:val="21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183,004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1,611</w:t>
            </w:r>
          </w:p>
        </w:tc>
      </w:tr>
      <w:tr>
        <w:trPr>
          <w:trHeight w:val="210"/>
        </w:trPr>
        <w:tc>
          <w:tcPr>
            <w:tcW w:w="7580" w:type="dxa"/>
            <w:vAlign w:val="bottom"/>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121,447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1,291</w:t>
            </w: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897</w:t>
            </w:r>
          </w:p>
        </w:tc>
      </w:tr>
      <w:tr>
        <w:trPr>
          <w:trHeight w:val="210"/>
        </w:trPr>
        <w:tc>
          <w:tcPr>
            <w:tcW w:w="7580" w:type="dxa"/>
            <w:vAlign w:val="bottom"/>
          </w:tcPr>
          <w:p>
            <w:pPr>
              <w:ind w:left="20"/>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48,705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274</w:t>
            </w: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480,131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4,073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LEASES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agreements primarily for real estate, equipment and vehicles. Our leases have remaining lease terms ranging from approximately 2 years to 46 years.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 for the year ended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5,857</w:t>
            </w:r>
          </w:p>
        </w:tc>
      </w:tr>
      <w:tr>
        <w:trPr>
          <w:trHeight w:val="210"/>
        </w:trPr>
        <w:tc>
          <w:tcPr>
            <w:tcW w:w="964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6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3,605</w:t>
            </w:r>
          </w:p>
        </w:tc>
      </w:tr>
      <w:tr>
        <w:trPr>
          <w:trHeight w:val="222"/>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3,263</w:t>
            </w:r>
          </w:p>
        </w:tc>
      </w:tr>
      <w:tr>
        <w:trPr>
          <w:trHeight w:val="21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w:t>
            </w: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continuing operations</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11,693</w:t>
            </w:r>
          </w:p>
        </w:tc>
      </w:tr>
      <w:tr>
        <w:trPr>
          <w:trHeight w:val="257"/>
        </w:trPr>
        <w:tc>
          <w:tcPr>
            <w:tcW w:w="9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expense</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304</w:t>
            </w:r>
          </w:p>
        </w:tc>
      </w:tr>
      <w:tr>
        <w:trPr>
          <w:trHeight w:val="21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expense</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3,705</w:t>
            </w: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discontinued operations</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4,009</w:t>
            </w:r>
          </w:p>
        </w:tc>
      </w:tr>
      <w:tr>
        <w:trPr>
          <w:trHeight w:val="257"/>
        </w:trPr>
        <w:tc>
          <w:tcPr>
            <w:tcW w:w="96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35"/>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15,702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ind w:right="5100"/>
        <w:spacing w:after="0" w:line="262" w:lineRule="auto"/>
        <w:rPr>
          <w:sz w:val="20"/>
          <w:szCs w:val="20"/>
          <w:color w:val="auto"/>
        </w:rPr>
      </w:pPr>
      <w:r>
        <w:rPr>
          <w:rFonts w:ascii="Arial" w:cs="Arial" w:eastAsia="Arial" w:hAnsi="Arial"/>
          <w:sz w:val="18"/>
          <w:szCs w:val="18"/>
          <w:b w:val="1"/>
          <w:bCs w:val="1"/>
          <w:color w:val="00497F"/>
        </w:rPr>
        <w:t>FORTRESS TRANSPORTATION AND INFRASTRUCTURE INVESTORS LLC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year ended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28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37,466</w:t>
            </w:r>
          </w:p>
        </w:tc>
        <w:tc>
          <w:tcPr>
            <w:tcW w:w="180" w:type="dxa"/>
            <w:vAlign w:val="bottom"/>
            <w:shd w:val="clear" w:color="auto" w:fill="CCEEFF"/>
          </w:tcPr>
          <w:p>
            <w:pPr>
              <w:spacing w:after="0"/>
              <w:rPr>
                <w:sz w:val="18"/>
                <w:szCs w:val="18"/>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8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36,968</w:t>
            </w:r>
          </w:p>
        </w:tc>
        <w:tc>
          <w:tcPr>
            <w:tcW w:w="180" w:type="dxa"/>
            <w:vAlign w:val="bottom"/>
          </w:tcPr>
          <w:p>
            <w:pPr>
              <w:spacing w:after="0"/>
              <w:rPr>
                <w:sz w:val="18"/>
                <w:szCs w:val="18"/>
                <w:color w:val="auto"/>
              </w:rPr>
            </w:pPr>
          </w:p>
        </w:tc>
      </w:tr>
      <w:tr>
        <w:trPr>
          <w:trHeight w:val="263"/>
        </w:trPr>
        <w:tc>
          <w:tcPr>
            <w:tcW w:w="736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spacing w:after="0"/>
              <w:rPr>
                <w:sz w:val="22"/>
                <w:szCs w:val="22"/>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8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41.9 years</w:t>
            </w:r>
          </w:p>
        </w:tc>
      </w:tr>
      <w:tr>
        <w:trPr>
          <w:trHeight w:val="222"/>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736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8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4,882</w:t>
            </w:r>
          </w:p>
        </w:tc>
        <w:tc>
          <w:tcPr>
            <w:tcW w:w="180" w:type="dxa"/>
            <w:vAlign w:val="bottom"/>
          </w:tcPr>
          <w:p>
            <w:pPr>
              <w:spacing w:after="0"/>
              <w:rPr>
                <w:sz w:val="18"/>
                <w:szCs w:val="18"/>
                <w:color w:val="auto"/>
              </w:rPr>
            </w:pPr>
          </w:p>
        </w:tc>
      </w:tr>
      <w:tr>
        <w:trPr>
          <w:trHeight w:val="222"/>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8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w:t>
            </w:r>
          </w:p>
        </w:tc>
        <w:tc>
          <w:tcPr>
            <w:tcW w:w="1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3,308</w:t>
            </w:r>
          </w:p>
        </w:tc>
      </w:tr>
      <w:tr>
        <w:trPr>
          <w:trHeight w:val="210"/>
        </w:trPr>
        <w:tc>
          <w:tcPr>
            <w:tcW w:w="9640" w:type="dxa"/>
            <w:vAlign w:val="bottom"/>
          </w:tcPr>
          <w:p>
            <w:pPr>
              <w:ind w:left="20"/>
              <w:spacing w:after="0"/>
              <w:rPr>
                <w:sz w:val="20"/>
                <w:szCs w:val="20"/>
                <w:color w:val="auto"/>
              </w:rPr>
            </w:pPr>
            <w:r>
              <w:rPr>
                <w:rFonts w:ascii="Arial" w:cs="Arial" w:eastAsia="Arial" w:hAnsi="Arial"/>
                <w:sz w:val="14"/>
                <w:szCs w:val="14"/>
                <w:color w:val="auto"/>
              </w:rPr>
              <w:t>2021</w:t>
            </w:r>
          </w:p>
        </w:tc>
        <w:tc>
          <w:tcPr>
            <w:tcW w:w="6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3,379</w:t>
            </w:r>
          </w:p>
        </w:tc>
      </w:tr>
      <w:tr>
        <w:trPr>
          <w:trHeight w:val="222"/>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3,250</w:t>
            </w:r>
          </w:p>
        </w:tc>
      </w:tr>
      <w:tr>
        <w:trPr>
          <w:trHeight w:val="210"/>
        </w:trPr>
        <w:tc>
          <w:tcPr>
            <w:tcW w:w="9640" w:type="dxa"/>
            <w:vAlign w:val="bottom"/>
          </w:tcPr>
          <w:p>
            <w:pPr>
              <w:ind w:left="20"/>
              <w:spacing w:after="0"/>
              <w:rPr>
                <w:sz w:val="20"/>
                <w:szCs w:val="20"/>
                <w:color w:val="auto"/>
              </w:rPr>
            </w:pPr>
            <w:r>
              <w:rPr>
                <w:rFonts w:ascii="Arial" w:cs="Arial" w:eastAsia="Arial" w:hAnsi="Arial"/>
                <w:sz w:val="14"/>
                <w:szCs w:val="14"/>
                <w:color w:val="auto"/>
              </w:rPr>
              <w:t>2023</w:t>
            </w:r>
          </w:p>
        </w:tc>
        <w:tc>
          <w:tcPr>
            <w:tcW w:w="6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3,194</w:t>
            </w:r>
          </w:p>
        </w:tc>
      </w:tr>
      <w:tr>
        <w:trPr>
          <w:trHeight w:val="222"/>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2,963</w:t>
            </w:r>
          </w:p>
        </w:tc>
      </w:tr>
      <w:tr>
        <w:trPr>
          <w:trHeight w:val="21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105,754</w:t>
            </w: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121,848</w:t>
            </w:r>
          </w:p>
        </w:tc>
      </w:tr>
      <w:tr>
        <w:trPr>
          <w:trHeight w:val="21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84,880</w:t>
            </w:r>
          </w:p>
        </w:tc>
      </w:tr>
      <w:tr>
        <w:trPr>
          <w:trHeight w:val="241"/>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36,968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year ended December 31, 2019, we entered into lease agreements for real estate and office equipment that had a ROU asset value of approximately $3.5 million and lease terms ranging from 5 years to 46 years at commencement.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EQUITY-BASED COMPENSATION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December 31, 2019, the Incentive Plan provides for the issuance of up to 29.9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stock-based compensation expense: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6"/>
          </w:tcPr>
          <w:p>
            <w:pPr>
              <w:jc w:val="right"/>
              <w:ind w:right="588"/>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jc w:val="center"/>
              <w:ind w:right="188"/>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Recognized, If All Vesting Conditions</w:t>
            </w:r>
          </w:p>
        </w:tc>
        <w:tc>
          <w:tcPr>
            <w:tcW w:w="0" w:type="dxa"/>
            <w:vAlign w:val="bottom"/>
          </w:tcPr>
          <w:p>
            <w:pPr>
              <w:spacing w:after="0"/>
              <w:rPr>
                <w:sz w:val="1"/>
                <w:szCs w:val="1"/>
                <w:color w:val="auto"/>
              </w:rPr>
            </w:pPr>
          </w:p>
        </w:tc>
      </w:tr>
      <w:tr>
        <w:trPr>
          <w:trHeight w:val="61"/>
        </w:trPr>
        <w:tc>
          <w:tcPr>
            <w:tcW w:w="4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Are Met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4"/>
                <w:szCs w:val="14"/>
                <w:color w:val="auto"/>
              </w:rPr>
              <w:t>Restricted shares</w:t>
            </w:r>
          </w:p>
        </w:tc>
        <w:tc>
          <w:tcPr>
            <w:tcW w:w="28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1,054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jc w:val="right"/>
              <w:ind w:right="68"/>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4"/>
                <w:szCs w:val="14"/>
                <w:color w:val="auto"/>
              </w:rPr>
              <w:t>Total - 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1,509</w:t>
            </w:r>
          </w:p>
        </w:tc>
        <w:tc>
          <w:tcPr>
            <w:tcW w:w="100" w:type="dxa"/>
            <w:vAlign w:val="bottom"/>
          </w:tcPr>
          <w:p>
            <w:pPr>
              <w:spacing w:after="0"/>
              <w:rPr>
                <w:sz w:val="18"/>
                <w:szCs w:val="18"/>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8"/>
                <w:szCs w:val="18"/>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613</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68"/>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4"/>
                <w:szCs w:val="14"/>
                <w:color w:val="auto"/>
              </w:rPr>
              <w:t>Common units - discontinued operations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3,114</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for our stock options, restricted shares and common units: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Restricted Shares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6"/>
          </w:tcPr>
          <w:p>
            <w:pPr>
              <w:jc w:val="right"/>
              <w:ind w:right="84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 Average</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Issuance Price</w:t>
            </w:r>
          </w:p>
        </w:tc>
        <w:tc>
          <w:tcPr>
            <w:tcW w:w="122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88"/>
              <w:spacing w:after="0"/>
              <w:rPr>
                <w:sz w:val="20"/>
                <w:szCs w:val="20"/>
                <w:color w:val="auto"/>
              </w:rPr>
            </w:pPr>
            <w:r>
              <w:rPr>
                <w:rFonts w:ascii="Arial" w:cs="Arial" w:eastAsia="Arial" w:hAnsi="Arial"/>
                <w:sz w:val="14"/>
                <w:szCs w:val="14"/>
                <w:b w:val="1"/>
                <w:bCs w:val="1"/>
                <w:color w:val="auto"/>
              </w:rPr>
              <w:t>Issuance Price</w:t>
            </w:r>
          </w:p>
        </w:tc>
        <w:tc>
          <w:tcPr>
            <w:tcW w:w="0" w:type="dxa"/>
            <w:vAlign w:val="bottom"/>
          </w:tcPr>
          <w:p>
            <w:pPr>
              <w:spacing w:after="0"/>
              <w:rPr>
                <w:sz w:val="1"/>
                <w:szCs w:val="1"/>
                <w:color w:val="auto"/>
              </w:rPr>
            </w:pPr>
          </w:p>
        </w:tc>
      </w:tr>
      <w:tr>
        <w:trPr>
          <w:trHeight w:val="162"/>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w:t>
            </w: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851,342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49,766</w:t>
            </w:r>
          </w:p>
        </w:tc>
        <w:tc>
          <w:tcPr>
            <w:tcW w:w="1200" w:type="dxa"/>
            <w:vAlign w:val="bottom"/>
            <w:gridSpan w:val="3"/>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1,009,598</w:t>
            </w: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10"/>
        </w:trPr>
        <w:tc>
          <w:tcPr>
            <w:tcW w:w="26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1,262,362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15.94</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113,121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3"/>
          </w:tcPr>
          <w:p>
            <w:pPr>
              <w:jc w:val="right"/>
              <w:ind w:right="88"/>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1,110,000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exercised / vested</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58,662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1,162,930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10"/>
        </w:trPr>
        <w:tc>
          <w:tcPr>
            <w:tcW w:w="26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forfeited and canceled</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w:t>
            </w: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2,113,704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104,225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956,668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2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Restricted Shares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02"/>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Weighted average exercise / issuance price (per share)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rPr>
              <w:t>16.85</w:t>
            </w:r>
          </w:p>
        </w:tc>
        <w:tc>
          <w:tcPr>
            <w:tcW w:w="5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14.23</w:t>
            </w:r>
          </w:p>
        </w:tc>
        <w:tc>
          <w:tcPr>
            <w:tcW w:w="6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Aggregate intrinsic value (in thousands)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shd w:val="clear" w:color="auto" w:fill="CCEEFF"/>
          </w:tcPr>
          <w:p>
            <w:pPr>
              <w:jc w:val="center"/>
              <w:ind w:left="688"/>
              <w:spacing w:after="0"/>
              <w:rPr>
                <w:sz w:val="20"/>
                <w:szCs w:val="20"/>
                <w:color w:val="auto"/>
              </w:rPr>
            </w:pPr>
            <w:r>
              <w:rPr>
                <w:rFonts w:ascii="Arial" w:cs="Arial" w:eastAsia="Arial" w:hAnsi="Arial"/>
                <w:sz w:val="14"/>
                <w:szCs w:val="14"/>
                <w:b w:val="1"/>
                <w:bCs w:val="1"/>
                <w:color w:val="auto"/>
              </w:rPr>
              <w:t>5,684</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1,483</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1,130</w:t>
            </w:r>
          </w:p>
        </w:tc>
        <w:tc>
          <w:tcPr>
            <w:tcW w:w="0" w:type="dxa"/>
            <w:vAlign w:val="bottom"/>
          </w:tcPr>
          <w:p>
            <w:pPr>
              <w:spacing w:after="0"/>
              <w:rPr>
                <w:sz w:val="1"/>
                <w:szCs w:val="1"/>
                <w:color w:val="auto"/>
              </w:rPr>
            </w:pPr>
          </w:p>
        </w:tc>
      </w:tr>
      <w:tr>
        <w:trPr>
          <w:trHeight w:val="204"/>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Weighted average remaining contractual term (in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equity offerings in 2019 and 2018 (see Note 18 for details), we granted options to the Manager related to common shares. The fair value of these options were recorded as an increase in equity with an offsetting reduction of capital proceeds received. The following table presents information related to the options issued in 2019 and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November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September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2018</w:t>
            </w:r>
          </w:p>
        </w:tc>
        <w:tc>
          <w:tcPr>
            <w:tcW w:w="11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January 2018</w:t>
            </w:r>
          </w:p>
        </w:tc>
      </w:tr>
      <w:tr>
        <w:trPr>
          <w:trHeight w:val="196"/>
        </w:trPr>
        <w:tc>
          <w:tcPr>
            <w:tcW w:w="180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options</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80" w:type="dxa"/>
            <w:vAlign w:val="bottom"/>
            <w:shd w:val="clear" w:color="auto" w:fill="CCEEFF"/>
          </w:tcPr>
          <w:p>
            <w:pPr>
              <w:spacing w:after="0"/>
              <w:rPr>
                <w:sz w:val="18"/>
                <w:szCs w:val="18"/>
                <w:color w:val="auto"/>
              </w:rPr>
            </w:pPr>
          </w:p>
        </w:tc>
      </w:tr>
      <w:tr>
        <w:trPr>
          <w:trHeight w:val="210"/>
        </w:trPr>
        <w:tc>
          <w:tcPr>
            <w:tcW w:w="1800" w:type="dxa"/>
            <w:vAlign w:val="bottom"/>
          </w:tcPr>
          <w:p>
            <w:pPr>
              <w:ind w:left="20"/>
              <w:spacing w:after="0"/>
              <w:rPr>
                <w:sz w:val="20"/>
                <w:szCs w:val="20"/>
                <w:color w:val="auto"/>
              </w:rPr>
            </w:pPr>
            <w:r>
              <w:rPr>
                <w:rFonts w:ascii="Arial" w:cs="Arial" w:eastAsia="Arial" w:hAnsi="Arial"/>
                <w:sz w:val="14"/>
                <w:szCs w:val="14"/>
                <w:color w:val="auto"/>
              </w:rPr>
              <w:t>Fair value ($ millions)</w:t>
            </w:r>
          </w:p>
        </w:tc>
        <w:tc>
          <w:tcPr>
            <w:tcW w:w="4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4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8"/>
                <w:szCs w:val="18"/>
                <w:color w:val="auto"/>
              </w:rPr>
            </w:pPr>
          </w:p>
        </w:tc>
      </w:tr>
      <w:tr>
        <w:trPr>
          <w:trHeight w:val="200"/>
        </w:trPr>
        <w:tc>
          <w:tcPr>
            <w:tcW w:w="1800" w:type="dxa"/>
            <w:vAlign w:val="bottom"/>
            <w:shd w:val="clear" w:color="auto" w:fill="CCEEFF"/>
          </w:tcPr>
          <w:p>
            <w:pPr>
              <w:spacing w:after="0"/>
              <w:rPr>
                <w:sz w:val="17"/>
                <w:szCs w:val="17"/>
                <w:color w:val="auto"/>
              </w:rPr>
            </w:pPr>
          </w:p>
        </w:tc>
        <w:tc>
          <w:tcPr>
            <w:tcW w:w="4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The expected stock volatility is based on an assessment of the volatility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84"/>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4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of our publicly traded common shares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1800" w:type="dxa"/>
            <w:vAlign w:val="bottom"/>
          </w:tcPr>
          <w:p>
            <w:pPr>
              <w:spacing w:after="0"/>
              <w:rPr>
                <w:sz w:val="16"/>
                <w:szCs w:val="16"/>
                <w:color w:val="auto"/>
              </w:rPr>
            </w:pPr>
          </w:p>
        </w:tc>
        <w:tc>
          <w:tcPr>
            <w:tcW w:w="4940" w:type="dxa"/>
            <w:vAlign w:val="bottom"/>
          </w:tcPr>
          <w:p>
            <w:pPr>
              <w:ind w:left="260"/>
              <w:spacing w:after="0"/>
              <w:rPr>
                <w:sz w:val="20"/>
                <w:szCs w:val="20"/>
                <w:color w:val="auto"/>
              </w:rPr>
            </w:pPr>
            <w:r>
              <w:rPr>
                <w:rFonts w:ascii="Arial" w:cs="Arial" w:eastAsia="Arial" w:hAnsi="Arial"/>
                <w:sz w:val="14"/>
                <w:szCs w:val="14"/>
                <w:color w:val="auto"/>
              </w:rPr>
              <w:t>The risk-free rate is determined using the implied yield currently available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2"/>
        </w:trPr>
        <w:tc>
          <w:tcPr>
            <w:tcW w:w="1800" w:type="dxa"/>
            <w:vAlign w:val="bottom"/>
          </w:tcPr>
          <w:p>
            <w:pPr>
              <w:spacing w:after="0"/>
              <w:rPr>
                <w:sz w:val="14"/>
                <w:szCs w:val="14"/>
                <w:color w:val="auto"/>
              </w:rPr>
            </w:pPr>
          </w:p>
        </w:tc>
        <w:tc>
          <w:tcPr>
            <w:tcW w:w="4940" w:type="dxa"/>
            <w:vAlign w:val="bottom"/>
          </w:tcPr>
          <w:p>
            <w:pPr>
              <w:ind w:left="260"/>
              <w:spacing w:after="0"/>
              <w:rPr>
                <w:sz w:val="20"/>
                <w:szCs w:val="20"/>
                <w:color w:val="auto"/>
              </w:rPr>
            </w:pPr>
            <w:r>
              <w:rPr>
                <w:rFonts w:ascii="Arial" w:cs="Arial" w:eastAsia="Arial" w:hAnsi="Arial"/>
                <w:sz w:val="14"/>
                <w:szCs w:val="14"/>
                <w:color w:val="auto"/>
              </w:rPr>
              <w:t>on U.S. government bonds with a term consistent with the expected term</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8"/>
        </w:trPr>
        <w:tc>
          <w:tcPr>
            <w:tcW w:w="180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4940" w:type="dxa"/>
            <w:vAlign w:val="bottom"/>
          </w:tcPr>
          <w:p>
            <w:pPr>
              <w:ind w:left="260"/>
              <w:spacing w:after="0"/>
              <w:rPr>
                <w:sz w:val="20"/>
                <w:szCs w:val="20"/>
                <w:color w:val="auto"/>
              </w:rPr>
            </w:pPr>
            <w:r>
              <w:rPr>
                <w:rFonts w:ascii="Arial" w:cs="Arial" w:eastAsia="Arial" w:hAnsi="Arial"/>
                <w:sz w:val="14"/>
                <w:szCs w:val="14"/>
                <w:color w:val="auto"/>
              </w:rPr>
              <w:t>on the date of grant.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1800" w:type="dxa"/>
            <w:vAlign w:val="bottom"/>
            <w:shd w:val="clear" w:color="auto" w:fill="CCEEFF"/>
          </w:tcPr>
          <w:p>
            <w:pPr>
              <w:spacing w:after="0"/>
              <w:rPr>
                <w:sz w:val="17"/>
                <w:szCs w:val="17"/>
                <w:color w:val="auto"/>
              </w:rPr>
            </w:pPr>
          </w:p>
        </w:tc>
        <w:tc>
          <w:tcPr>
            <w:tcW w:w="4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The expected dividend yield is based on management’s current expected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84"/>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4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dividend rate.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1800" w:type="dxa"/>
            <w:vAlign w:val="bottom"/>
          </w:tcPr>
          <w:p>
            <w:pPr>
              <w:spacing w:after="0"/>
              <w:rPr>
                <w:sz w:val="16"/>
                <w:szCs w:val="16"/>
                <w:color w:val="auto"/>
              </w:rPr>
            </w:pPr>
          </w:p>
        </w:tc>
        <w:tc>
          <w:tcPr>
            <w:tcW w:w="4940" w:type="dxa"/>
            <w:vAlign w:val="bottom"/>
          </w:tcPr>
          <w:p>
            <w:pPr>
              <w:ind w:left="260"/>
              <w:spacing w:after="0"/>
              <w:rPr>
                <w:sz w:val="20"/>
                <w:szCs w:val="20"/>
                <w:color w:val="auto"/>
              </w:rPr>
            </w:pPr>
            <w:r>
              <w:rPr>
                <w:rFonts w:ascii="Arial" w:cs="Arial" w:eastAsia="Arial" w:hAnsi="Arial"/>
                <w:sz w:val="14"/>
                <w:szCs w:val="14"/>
                <w:color w:val="auto"/>
              </w:rPr>
              <w:t>Expected term used represents the period of time the options granted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2"/>
        </w:trPr>
        <w:tc>
          <w:tcPr>
            <w:tcW w:w="1800" w:type="dxa"/>
            <w:vAlign w:val="bottom"/>
          </w:tcPr>
          <w:p>
            <w:pPr>
              <w:ind w:left="20"/>
              <w:spacing w:after="0"/>
              <w:rPr>
                <w:sz w:val="20"/>
                <w:szCs w:val="20"/>
                <w:color w:val="auto"/>
              </w:rPr>
            </w:pPr>
            <w:r>
              <w:rPr>
                <w:rFonts w:ascii="Arial" w:cs="Arial" w:eastAsia="Arial" w:hAnsi="Arial"/>
                <w:sz w:val="14"/>
                <w:szCs w:val="14"/>
                <w:color w:val="auto"/>
              </w:rPr>
              <w:t>Expected term</w:t>
            </w:r>
          </w:p>
        </w:tc>
        <w:tc>
          <w:tcPr>
            <w:tcW w:w="4940" w:type="dxa"/>
            <w:vAlign w:val="bottom"/>
          </w:tcPr>
          <w:p>
            <w:pPr>
              <w:ind w:left="260"/>
              <w:spacing w:after="0"/>
              <w:rPr>
                <w:sz w:val="20"/>
                <w:szCs w:val="20"/>
                <w:color w:val="auto"/>
              </w:rPr>
            </w:pPr>
            <w:r>
              <w:rPr>
                <w:rFonts w:ascii="Arial" w:cs="Arial" w:eastAsia="Arial" w:hAnsi="Arial"/>
                <w:sz w:val="14"/>
                <w:szCs w:val="14"/>
                <w:color w:val="auto"/>
              </w:rPr>
              <w:t>are expected to be outstanding.</w:t>
            </w:r>
          </w:p>
        </w:tc>
        <w:tc>
          <w:tcPr>
            <w:tcW w:w="140" w:type="dxa"/>
            <w:vAlign w:val="bottom"/>
          </w:tcPr>
          <w:p>
            <w:pPr>
              <w:spacing w:after="0"/>
              <w:rPr>
                <w:sz w:val="14"/>
                <w:szCs w:val="14"/>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4"/>
                <w:szCs w:val="14"/>
                <w:color w:val="auto"/>
              </w:rPr>
              <w:t>10 years</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10 years</w:t>
            </w:r>
          </w:p>
        </w:tc>
        <w:tc>
          <w:tcPr>
            <w:tcW w:w="22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10 years</w:t>
            </w:r>
          </w:p>
        </w:tc>
        <w:tc>
          <w:tcPr>
            <w:tcW w:w="2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 years</w:t>
            </w: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June 2019, we issued 113,121 restricted shares of our subsidiary that had a grant date fair value of $1.5 million, of which 25,138 shares vested during the period of issuance. The remaining shares vest over three years, subject to continued employment, and the compensation expense is recognized ratably over the vesting periods.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May 2017, we issued 31,340 restricted shares of our subsidiary that had a grant date fair value of $0.5 million. The shares vest over four years, subject to continued employment, and the compensation expense is recognized ratably over the vesting periods.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fair value of the above awards was based on the fair value of the operating subsidiary on each grant date,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ind w:right="5100"/>
        <w:spacing w:after="0" w:line="269"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issued 1,110,000, 670,000 and 505,050 common units of our subsidiary during the years ended December 31, 2019, 2018 and 2017, respectively, that had grant date fair values of $3.4 million, $0.7 million and $0.5 million, respectively, and vest over three years. These awards are subject to continued employment and compensation expense is recognized ratably over the vesting periods. The fair value was based on the fair value of the operating subsidiary on the grant date, which is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0"/>
        </w:trPr>
        <w:tc>
          <w:tcPr>
            <w:tcW w:w="63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0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380" w:type="dxa"/>
            <w:vAlign w:val="bottom"/>
          </w:tcPr>
          <w:p>
            <w:pPr>
              <w:ind w:left="120"/>
              <w:spacing w:after="0"/>
              <w:rPr>
                <w:sz w:val="20"/>
                <w:szCs w:val="20"/>
                <w:color w:val="auto"/>
              </w:rPr>
            </w:pPr>
            <w:r>
              <w:rPr>
                <w:rFonts w:ascii="Arial" w:cs="Arial" w:eastAsia="Arial" w:hAnsi="Arial"/>
                <w:sz w:val="14"/>
                <w:szCs w:val="14"/>
                <w:color w:val="auto"/>
              </w:rPr>
              <w:t>Federal</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55</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1,551</w:t>
            </w:r>
          </w:p>
        </w:tc>
      </w:tr>
      <w:tr>
        <w:trPr>
          <w:trHeight w:val="222"/>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local</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r>
      <w:tr>
        <w:trPr>
          <w:trHeight w:val="210"/>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1,772</w:t>
            </w:r>
          </w:p>
        </w:tc>
      </w:tr>
      <w:tr>
        <w:trPr>
          <w:trHeight w:val="210"/>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Federal</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r>
      <w:tr>
        <w:trPr>
          <w:trHeight w:val="210"/>
        </w:trPr>
        <w:tc>
          <w:tcPr>
            <w:tcW w:w="6380" w:type="dxa"/>
            <w:vAlign w:val="bottom"/>
          </w:tcPr>
          <w:p>
            <w:pPr>
              <w:ind w:left="120"/>
              <w:spacing w:after="0"/>
              <w:rPr>
                <w:sz w:val="20"/>
                <w:szCs w:val="20"/>
                <w:color w:val="auto"/>
              </w:rPr>
            </w:pPr>
            <w:r>
              <w:rPr>
                <w:rFonts w:ascii="Arial" w:cs="Arial" w:eastAsia="Arial" w:hAnsi="Arial"/>
                <w:sz w:val="14"/>
                <w:szCs w:val="14"/>
                <w:color w:val="auto"/>
              </w:rPr>
              <w:t>State and local</w:t>
            </w:r>
          </w:p>
        </w:tc>
        <w:tc>
          <w:tcPr>
            <w:tcW w:w="10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(638)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r>
        <w:trPr>
          <w:trHeight w:val="210"/>
        </w:trPr>
        <w:tc>
          <w:tcPr>
            <w:tcW w:w="6380" w:type="dxa"/>
            <w:vAlign w:val="bottom"/>
          </w:tcPr>
          <w:p>
            <w:pPr>
              <w:ind w:left="20"/>
              <w:spacing w:after="0"/>
              <w:rPr>
                <w:sz w:val="20"/>
                <w:szCs w:val="20"/>
                <w:color w:val="auto"/>
              </w:rPr>
            </w:pPr>
            <w:r>
              <w:rPr>
                <w:rFonts w:ascii="Arial" w:cs="Arial" w:eastAsia="Arial" w:hAnsi="Arial"/>
                <w:sz w:val="14"/>
                <w:szCs w:val="14"/>
                <w:color w:val="auto"/>
              </w:rPr>
              <w:t>Total deferred provision</w:t>
            </w:r>
          </w:p>
        </w:tc>
        <w:tc>
          <w:tcPr>
            <w:tcW w:w="100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17,144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2,061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182</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Provision for (benefit from)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638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100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17,810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1,954</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18,886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1,954</w:t>
            </w:r>
          </w:p>
        </w:tc>
      </w:tr>
      <w:tr>
        <w:trPr>
          <w:trHeight w:val="21"/>
        </w:trPr>
        <w:tc>
          <w:tcPr>
            <w:tcW w:w="6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total provision for income taxes and the U.S. federal statutory rate of 21% is as follows:</w:t>
      </w:r>
    </w:p>
    <w:p>
      <w:pPr>
        <w:spacing w:after="0" w:line="152"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r>
      <w:tr>
        <w:trPr>
          <w:trHeight w:val="216"/>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tax at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10"/>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Income not subject to tax at statutory rate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(21.7)%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121.9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98.2 %</w:t>
            </w:r>
          </w:p>
        </w:tc>
      </w:tr>
      <w:tr>
        <w:trPr>
          <w:trHeight w:val="22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State and local taxes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10"/>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Branch profit tax</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10"/>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Change in tax rates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w:t>
            </w:r>
          </w:p>
        </w:tc>
        <w:tc>
          <w:tcPr>
            <w:tcW w:w="1740" w:type="dxa"/>
            <w:vAlign w:val="bottom"/>
            <w:gridSpan w:val="3"/>
          </w:tcPr>
          <w:p>
            <w:pPr>
              <w:jc w:val="right"/>
              <w:ind w:right="140"/>
              <w:spacing w:after="0"/>
              <w:rPr>
                <w:sz w:val="20"/>
                <w:szCs w:val="20"/>
                <w:color w:val="auto"/>
              </w:rPr>
            </w:pPr>
            <w:r>
              <w:rPr>
                <w:rFonts w:ascii="Arial" w:cs="Arial" w:eastAsia="Arial" w:hAnsi="Arial"/>
                <w:sz w:val="14"/>
                <w:szCs w:val="14"/>
                <w:color w:val="auto"/>
              </w:rPr>
              <w:t>— %</w:t>
            </w:r>
          </w:p>
        </w:tc>
        <w:tc>
          <w:tcPr>
            <w:tcW w:w="16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2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7.0 %</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(153.3)%</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r>
      <w:tr>
        <w:trPr>
          <w:trHeight w:val="236"/>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8.3 %</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9" w:name="page90"/>
    <w:bookmarkEnd w:id="89"/>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4"/>
                <w:szCs w:val="14"/>
                <w:color w:val="auto"/>
              </w:rPr>
              <w:t>Net operating loss carryforwards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74,555</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64,034</w:t>
            </w:r>
          </w:p>
        </w:tc>
      </w:tr>
      <w:tr>
        <w:trPr>
          <w:trHeight w:val="222"/>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1,241</w:t>
            </w:r>
          </w:p>
        </w:tc>
      </w:tr>
      <w:tr>
        <w:trPr>
          <w:trHeight w:val="210"/>
        </w:trPr>
        <w:tc>
          <w:tcPr>
            <w:tcW w:w="79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100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25,306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19,380</w:t>
            </w:r>
          </w:p>
        </w:tc>
      </w:tr>
      <w:tr>
        <w:trPr>
          <w:trHeight w:val="222"/>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2,041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1,233</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8"/>
              </w:rPr>
              <w:t>109,258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85,888</w:t>
            </w:r>
          </w:p>
        </w:tc>
      </w:tr>
      <w:tr>
        <w:trPr>
          <w:trHeight w:val="210"/>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valuation allowance</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(79,176)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(68,294)</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30,082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17,594</w:t>
            </w: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in partnerships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(22,250)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20"/>
              <w:spacing w:after="0"/>
              <w:rPr>
                <w:sz w:val="20"/>
                <w:szCs w:val="20"/>
                <w:color w:val="auto"/>
              </w:rPr>
            </w:pPr>
            <w:r>
              <w:rPr>
                <w:rFonts w:ascii="Arial" w:cs="Arial" w:eastAsia="Arial" w:hAnsi="Arial"/>
                <w:sz w:val="14"/>
                <w:szCs w:val="14"/>
                <w:color w:val="auto"/>
              </w:rPr>
              <w:t>Fixed assets and goodwill</w:t>
            </w:r>
          </w:p>
        </w:tc>
        <w:tc>
          <w:tcPr>
            <w:tcW w:w="10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(21,592)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(19,117)</w:t>
            </w: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right-of-use assets</w:t>
            </w:r>
          </w:p>
        </w:tc>
        <w:tc>
          <w:tcPr>
            <w:tcW w:w="10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(6,032)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98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(19,792)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(1,523)</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Current and deferred tax assets and liabilities are reported net in Other assets or Other liabilities in the Consolidated Balance Sheets.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2019 and 2018 of $79.2 million and $68.3 million, respectively, related to certain deductible temporary differences and net operating loss carryforwards.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68,294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45,624</w:t>
            </w:r>
          </w:p>
        </w:tc>
      </w:tr>
      <w:tr>
        <w:trPr>
          <w:trHeight w:val="210"/>
        </w:trPr>
        <w:tc>
          <w:tcPr>
            <w:tcW w:w="7980" w:type="dxa"/>
            <w:vAlign w:val="bottom"/>
          </w:tcPr>
          <w:p>
            <w:pPr>
              <w:ind w:left="120"/>
              <w:spacing w:after="0"/>
              <w:rPr>
                <w:sz w:val="20"/>
                <w:szCs w:val="20"/>
                <w:color w:val="auto"/>
              </w:rPr>
            </w:pPr>
            <w:r>
              <w:rPr>
                <w:rFonts w:ascii="Arial" w:cs="Arial" w:eastAsia="Arial" w:hAnsi="Arial"/>
                <w:sz w:val="14"/>
                <w:szCs w:val="14"/>
                <w:color w:val="auto"/>
              </w:rPr>
              <w:t>Change due to current year losses</w:t>
            </w:r>
          </w:p>
        </w:tc>
        <w:tc>
          <w:tcPr>
            <w:tcW w:w="104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19,330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22,670</w:t>
            </w: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due to current year releases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(8,448)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98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79,176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68,294</w:t>
            </w:r>
          </w:p>
        </w:tc>
      </w:tr>
      <w:tr>
        <w:trPr>
          <w:trHeight w:val="21"/>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2019, certain of our corporate subsidiaries had U.S. federal net operating loss carryforwards of approximately $295.0 million that are available to offset future taxable income. If not utilized, $169.0 million of these carryforwards will begin to expire in the year 2034, with $126.0 million of these carryforwards having no expiration date. As of December 31, 2019, we also had net operating loss carryforwards for Irish income tax purposes of $76.5 million, which can be carried forward indefinitely against future business income, and $0.9 million of net operating loss carryforwards for Malaysian income tax purposes, which will begin to expire in the year 2025.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stock ownership.</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TCJA significantly revises the U.S. corporate income tax regime by, among other things, lowering corporate income tax rates. We have accounted for the effects of the TCJA for the year ended December 31, 2017 which relates to the re-measurement of deferred tax assets and liabilities due to the reduction in the corporate income tax rate. Due to the significant portion of our income that is not subject to entity level tax and the presence of a significant valuation allowance, the effects of the TCJA have had a minimal impact on the income tax provision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period ended December 31, 2019,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2016. We do not believe that it is reasonably possible that the total amount of unrecognized tax benefits will significantly change within 12 months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MANAGEMENT AGREEMENT AND AFFILIATE TRANSACTIONS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In May 2015, in connection with our IPO, we entered into the Management Agreement which replaced our then-existing management agreement as a private fund. Additionally, we have entered into certain incentive allocation arrangements with Master GP, which owns approximately 0.05% of the Partnership and is the general partner of the Partnership.</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2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14,828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15,218</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21,231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514</w:t>
            </w:r>
          </w:p>
        </w:tc>
      </w:tr>
      <w:tr>
        <w:trPr>
          <w:trHeight w:val="216"/>
        </w:trPr>
        <w:tc>
          <w:tcPr>
            <w:tcW w:w="660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36,059</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15,726</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15,732</w:t>
            </w:r>
          </w:p>
        </w:tc>
      </w:tr>
      <w:tr>
        <w:trPr>
          <w:trHeight w:val="21"/>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4"/>
                <w:szCs w:val="14"/>
                <w:color w:val="auto"/>
              </w:rPr>
              <w:t>General and administrative expenses</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11,017</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9,910</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8,064</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and transaction expenses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6,653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6,295</w:t>
            </w:r>
          </w:p>
        </w:tc>
      </w:tr>
      <w:tr>
        <w:trPr>
          <w:trHeight w:val="216"/>
        </w:trPr>
        <w:tc>
          <w:tcPr>
            <w:tcW w:w="660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14,416</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16,563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14,359</w:t>
            </w:r>
          </w:p>
        </w:tc>
      </w:tr>
      <w:tr>
        <w:trPr>
          <w:trHeight w:val="21"/>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 post-IPO offering of our common shares or other equity securities (including securities issued as consideration in an acquisition), we will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1,263</w:t>
            </w:r>
          </w:p>
        </w:tc>
      </w:tr>
      <w:tr>
        <w:trPr>
          <w:trHeight w:val="204"/>
        </w:trPr>
        <w:tc>
          <w:tcPr>
            <w:tcW w:w="800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04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21,992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3,965</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2018, no amounts were recorded as a receivable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2019 and 2018, an affiliate of our Manager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2019 and 2018 was $33.7 million and $51.1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center"/>
              <w:ind w:right="208"/>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17,357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entered into a Fee and Support Agreement with an affiliate of our Manager. The Fee and Support Agreement provides that the affiliate of the Manager is compensated for its guarantee of a portion of the obligations under the Standby Bond Purchase Agreement. This affiliate of the Manager received fees of $1.7 million, which will be amortized as interest expense to the earlier of the redemption date or February 13, 2020.</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second quarter of 2018, we purchased all shares held by the non-controlling interest holder in our Aviation Leasing segment for a purchase price of $3.7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SEGMENT INFORMATION</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three reportable segments which operate in the Equipment Leasing and Infrastructure businesses across several market sectors. Our reportable segments are</w:t>
      </w:r>
    </w:p>
    <w:p>
      <w:pPr>
        <w:spacing w:after="0" w:line="1" w:lineRule="exact"/>
        <w:rPr>
          <w:sz w:val="20"/>
          <w:szCs w:val="20"/>
          <w:color w:val="auto"/>
        </w:rPr>
      </w:pPr>
    </w:p>
    <w:p>
      <w:pPr>
        <w:jc w:val="both"/>
        <w:ind w:firstLine="8"/>
        <w:spacing w:after="0" w:line="250" w:lineRule="auto"/>
        <w:tabs>
          <w:tab w:leader="none" w:pos="19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Aviation Leasing, (ii) Jefferson Terminal and (iii) Ports and Terminals.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 acre deep-water port located along the Delaware River with an underground storage cavern and multiple industrial development opportunities, and an equity method investment in Long Ridge, which is a 1,660 acre multi-modal port located along the Ohio River with rail, dock, and multiple industrial development opportunities, including a power plant under construction.</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 of vessels and equipment that support offshore oil and gas drilling and production which are typically subject to long-term operating leases, (ii) an investment in an unconsolidated entity engaged in the acquisition and leasing of shipping containers (on both an operating lease and finance lease basis) and (iii) railroad assets retained after the December 2019 sale, which consists of equipment that support a railcar cleaning business.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In addition, with the December 2019 sale of substantially all of our railroad business, the Railroad segment no longer met the requirement as a reportable segment. Accordingly, we have presented these operating segments, along with Corporate results, within Corporate and Other effective in 2019. All prior periods have been restated for historical comparison across segments.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(Note 2);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ind w:right="50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6"/>
          </w:tcPr>
          <w:p>
            <w:pPr>
              <w:jc w:val="right"/>
              <w:ind w:right="348"/>
              <w:spacing w:after="0"/>
              <w:rPr>
                <w:sz w:val="20"/>
                <w:szCs w:val="20"/>
                <w:color w:val="auto"/>
              </w:rPr>
            </w:pPr>
            <w:r>
              <w:rPr>
                <w:rFonts w:ascii="Arial" w:cs="Arial" w:eastAsia="Arial" w:hAnsi="Arial"/>
                <w:sz w:val="14"/>
                <w:szCs w:val="14"/>
                <w:b w:val="1"/>
                <w:bCs w:val="1"/>
                <w:color w:val="auto"/>
              </w:rPr>
              <w:t>Year Ended December 31, 2019</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Infrastructure</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Ports and Terminals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b w:val="1"/>
                <w:bCs w:val="1"/>
                <w:color w:val="auto"/>
              </w:rPr>
              <w:t>336,675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12,647</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349,322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204,348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22,187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229,452</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336,675</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204,348</w:t>
            </w: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22,187</w:t>
            </w: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15,564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578,774</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14,132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231,506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24,854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17,544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288,036</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20,441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20,441</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12,097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17,623</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36,059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36,059</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128,990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22,873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9,849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169,023</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16,189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1,712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77,684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95,585</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143,640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270,568</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41,423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171,136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626,767</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80" w:type="dxa"/>
            <w:vAlign w:val="bottom"/>
          </w:tcPr>
          <w:p>
            <w:pPr>
              <w:spacing w:after="0"/>
              <w:rPr>
                <w:sz w:val="18"/>
                <w:szCs w:val="18"/>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(1,829)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(292)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(2,375)</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81,954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4,636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116,660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203,250</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(4,726)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(4,726)</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531</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634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1,809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3,445</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80,229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5,096</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113,840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960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200,125</w:t>
            </w: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tcPr>
          <w:p>
            <w:pPr>
              <w:spacing w:after="0"/>
              <w:rPr>
                <w:sz w:val="17"/>
                <w:szCs w:val="17"/>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b w:val="1"/>
                <w:bCs w:val="1"/>
                <w:color w:val="auto"/>
              </w:rPr>
              <w:t>273,264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(61,124)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94,604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(154,612)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152,132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14,700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17,810</w:t>
            </w: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270,438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(61,408)</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79,904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(154,612)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134,322</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from continuing operations</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 interests in</w:t>
            </w:r>
          </w:p>
        </w:tc>
        <w:tc>
          <w:tcPr>
            <w:tcW w:w="18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(17,356)</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(17,571)</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6"/>
                <w:szCs w:val="16"/>
                <w:color w:val="auto"/>
              </w:rPr>
            </w:pPr>
          </w:p>
        </w:tc>
        <w:tc>
          <w:tcPr>
            <w:tcW w:w="1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Dividends on preferred shares</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1,838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1,838</w:t>
            </w:r>
          </w:p>
        </w:tc>
        <w:tc>
          <w:tcPr>
            <w:tcW w:w="0" w:type="dxa"/>
            <w:vAlign w:val="bottom"/>
          </w:tcPr>
          <w:p>
            <w:pPr>
              <w:spacing w:after="0"/>
              <w:rPr>
                <w:sz w:val="1"/>
                <w:szCs w:val="1"/>
                <w:color w:val="auto"/>
              </w:rPr>
            </w:pPr>
          </w:p>
        </w:tc>
      </w:tr>
      <w:tr>
        <w:trPr>
          <w:trHeight w:val="16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270,438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(44,052)</w:t>
            </w: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80,119</w:t>
            </w: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vMerge w:val="restart"/>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(156,450)</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150,055</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4" w:name="page95"/>
    <w:bookmarkEnd w:id="94"/>
    <w:p>
      <w:pPr>
        <w:ind w:right="50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b w:val="1"/>
                <w:bCs w:val="1"/>
                <w:color w:val="auto"/>
              </w:rPr>
              <w:t>Year Ended December 31, 2019</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Infrastructure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432,934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(6,160)</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114,760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(38,126)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503,408</w:t>
            </w:r>
          </w:p>
        </w:tc>
      </w:tr>
    </w:tbl>
    <w:p>
      <w:pPr>
        <w:spacing w:after="0" w:line="18" w:lineRule="exact"/>
        <w:rPr>
          <w:sz w:val="20"/>
          <w:szCs w:val="20"/>
          <w:color w:val="auto"/>
        </w:rPr>
      </w:pPr>
    </w:p>
    <w:p>
      <w:pPr>
        <w:sectPr>
          <w:pgSz w:w="11900" w:h="16838" w:orient="portrait"/>
          <w:cols w:equalWidth="0" w:num="1">
            <w:col w:w="11380"/>
          </w:cols>
          <w:pgMar w:left="240" w:top="118" w:right="279" w:bottom="1440" w:gutter="0" w:footer="0" w:header="0"/>
        </w:sectPr>
      </w:pPr>
    </w:p>
    <w:p>
      <w:pPr>
        <w:ind w:left="20"/>
        <w:spacing w:after="0"/>
        <w:rPr>
          <w:sz w:val="20"/>
          <w:szCs w:val="20"/>
          <w:color w:val="auto"/>
        </w:rPr>
      </w:pPr>
      <w:r>
        <w:rPr>
          <w:rFonts w:ascii="Arial" w:cs="Arial" w:eastAsia="Arial" w:hAnsi="Arial"/>
          <w:sz w:val="14"/>
          <w:szCs w:val="14"/>
          <w:color w:val="auto"/>
        </w:rPr>
        <w:t>Add: Non-controlling share of Adjusted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Equity in losses of unconsolidated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Pro-rata share of Adjusted EBITDA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from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Incentive allocations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Changes in fair value of non-hedge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instruments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Losses on the modification 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extinguishment of debt and capital lease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Acquisition and transaction expenses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Provision for income taxes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attributable to shareholders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from continuing operations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009"/>
        <w:spacing w:after="0"/>
        <w:rPr>
          <w:sz w:val="20"/>
          <w:szCs w:val="20"/>
          <w:color w:val="auto"/>
        </w:rPr>
      </w:pPr>
      <w:r>
        <w:rPr>
          <w:rFonts w:ascii="Arial" w:cs="Arial" w:eastAsia="Arial" w:hAnsi="Arial"/>
          <w:sz w:val="14"/>
          <w:szCs w:val="14"/>
          <w:b w:val="1"/>
          <w:bCs w:val="1"/>
          <w:color w:val="auto"/>
        </w:rPr>
        <w:t>9,859</w:t>
      </w:r>
    </w:p>
    <w:p>
      <w:pPr>
        <w:spacing w:after="0" w:line="217" w:lineRule="exact"/>
        <w:rPr>
          <w:sz w:val="20"/>
          <w:szCs w:val="20"/>
          <w:color w:val="auto"/>
        </w:rPr>
      </w:pPr>
    </w:p>
    <w:p>
      <w:pPr>
        <w:ind w:left="949"/>
        <w:spacing w:after="0"/>
        <w:rPr>
          <w:sz w:val="20"/>
          <w:szCs w:val="20"/>
          <w:color w:val="auto"/>
        </w:rPr>
      </w:pPr>
      <w:r>
        <w:rPr>
          <w:rFonts w:ascii="Arial" w:cs="Arial" w:eastAsia="Arial" w:hAnsi="Arial"/>
          <w:sz w:val="14"/>
          <w:szCs w:val="14"/>
          <w:b w:val="1"/>
          <w:bCs w:val="1"/>
          <w:color w:val="auto"/>
        </w:rPr>
        <w:t>(2,375)</w:t>
      </w:r>
    </w:p>
    <w:p>
      <w:pPr>
        <w:spacing w:after="0" w:line="217"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auto"/>
        </w:rPr>
        <w:t>1,387</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(95,585)</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(199,185)</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(21,231)</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(4,726)</w:t>
      </w:r>
    </w:p>
    <w:p>
      <w:pPr>
        <w:spacing w:after="0" w:line="21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(4,555)</w:t>
      </w:r>
    </w:p>
    <w:p>
      <w:pPr>
        <w:spacing w:after="0" w:line="379"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(17,623)</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(1,509)</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(17,810)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9690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70" w:lineRule="exact"/>
        <w:rPr>
          <w:sz w:val="20"/>
          <w:szCs w:val="20"/>
          <w:color w:val="auto"/>
        </w:rPr>
      </w:pPr>
    </w:p>
    <w:p>
      <w:pPr>
        <w:ind w:left="849" w:hanging="849"/>
        <w:spacing w:after="0"/>
        <w:tabs>
          <w:tab w:leader="none" w:pos="849"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150,055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9690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52070</wp:posOffset>
            </wp:positionV>
            <wp:extent cx="9690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151" w:space="720"/>
            <w:col w:w="1509"/>
          </w:cols>
          <w:pgMar w:left="240" w:top="118" w:right="27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Year Ended December 31, 2019</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0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14,542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14,542</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119,289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131,936</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157,942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157,942</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36,391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204,348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22,187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265,843</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8,511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8,511</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336,675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204,348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15,564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578,774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95" w:name="page96"/>
    <w:bookmarkEnd w:id="95"/>
    <w:p>
      <w:pPr>
        <w:ind w:right="5060"/>
        <w:spacing w:after="0" w:line="269"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368"/>
              <w:spacing w:after="0"/>
              <w:rPr>
                <w:sz w:val="20"/>
                <w:szCs w:val="20"/>
                <w:color w:val="auto"/>
              </w:rPr>
            </w:pPr>
            <w:r>
              <w:rPr>
                <w:rFonts w:ascii="Arial" w:cs="Arial" w:eastAsia="Arial" w:hAnsi="Arial"/>
                <w:sz w:val="14"/>
                <w:szCs w:val="14"/>
                <w:b w:val="1"/>
                <w:bCs w:val="1"/>
                <w:color w:val="auto"/>
              </w:rPr>
              <w:t>Year Ended December 31, 2018</w:t>
            </w: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Ports and Terminals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244,270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8,769</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253,039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70,985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89,073</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244,270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70,985</w:t>
            </w:r>
          </w:p>
        </w:tc>
        <w:tc>
          <w:tcPr>
            <w:tcW w:w="1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17,444</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9,413</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342,112</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94,622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136,570</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17,126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17,126</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6,968</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15,726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15,726</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102,419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19,745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133,908</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15,513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40,683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56,845</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111,883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129,880</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24,100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101,280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367,143</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8"/>
                <w:szCs w:val="18"/>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3,983</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tcPr>
          <w:p>
            <w:pPr>
              <w:spacing w:after="0"/>
              <w:rPr>
                <w:sz w:val="18"/>
                <w:szCs w:val="18"/>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3,370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3,679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7,374</w:t>
            </w:r>
          </w:p>
        </w:tc>
        <w:tc>
          <w:tcPr>
            <w:tcW w:w="0" w:type="dxa"/>
            <w:vAlign w:val="bottom"/>
          </w:tcPr>
          <w:p>
            <w:pPr>
              <w:spacing w:after="0"/>
              <w:rPr>
                <w:sz w:val="1"/>
                <w:szCs w:val="1"/>
                <w:color w:val="auto"/>
              </w:rPr>
            </w:pPr>
          </w:p>
        </w:tc>
      </w:tr>
      <w:tr>
        <w:trPr>
          <w:trHeight w:val="16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135,757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(55,216)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(17,657)</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2,280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133,477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(55,477)</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(6,657)</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(91,449)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(20,106)</w:t>
            </w:r>
          </w:p>
        </w:tc>
        <w:tc>
          <w:tcPr>
            <w:tcW w:w="0" w:type="dxa"/>
            <w:vAlign w:val="bottom"/>
          </w:tcPr>
          <w:p>
            <w:pPr>
              <w:spacing w:after="0"/>
              <w:rPr>
                <w:sz w:val="1"/>
                <w:szCs w:val="1"/>
                <w:color w:val="auto"/>
              </w:rPr>
            </w:pPr>
          </w:p>
        </w:tc>
      </w:tr>
      <w:tr>
        <w:trPr>
          <w:trHeight w:val="174"/>
        </w:trPr>
        <w:tc>
          <w:tcPr>
            <w:tcW w:w="2960" w:type="dxa"/>
            <w:vAlign w:val="bottom"/>
          </w:tcPr>
          <w:p>
            <w:pPr>
              <w:ind w:left="20"/>
              <w:spacing w:after="0"/>
              <w:rPr>
                <w:sz w:val="20"/>
                <w:szCs w:val="20"/>
                <w:color w:val="auto"/>
              </w:rPr>
            </w:pPr>
            <w:r>
              <w:rPr>
                <w:rFonts w:ascii="Arial" w:cs="Arial" w:eastAsia="Arial" w:hAnsi="Arial"/>
                <w:sz w:val="14"/>
                <w:szCs w:val="14"/>
                <w:color w:val="auto"/>
              </w:rPr>
              <w:t>Less: Net loss from continuing operations</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rPr>
                <w:sz w:val="20"/>
                <w:szCs w:val="20"/>
                <w:color w:val="auto"/>
              </w:rPr>
            </w:pPr>
            <w:r>
              <w:rPr>
                <w:rFonts w:ascii="Arial" w:cs="Arial" w:eastAsia="Arial" w:hAnsi="Arial"/>
                <w:sz w:val="14"/>
                <w:szCs w:val="14"/>
                <w:color w:val="auto"/>
              </w:rPr>
              <w:t>attributable to non-controlling interests in</w:t>
            </w: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Pr>
          <w:p>
            <w:pPr>
              <w:spacing w:after="0"/>
              <w:rPr>
                <w:sz w:val="15"/>
                <w:szCs w:val="15"/>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(21,801)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(21,925)</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133,501</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(33,676)</w:t>
            </w:r>
          </w:p>
        </w:tc>
        <w:tc>
          <w:tcPr>
            <w:tcW w:w="120" w:type="dxa"/>
            <w:vAlign w:val="bottom"/>
          </w:tcPr>
          <w:p>
            <w:pPr>
              <w:spacing w:after="0"/>
              <w:rPr>
                <w:sz w:val="13"/>
                <w:szCs w:val="13"/>
                <w:color w:val="auto"/>
              </w:rPr>
            </w:pPr>
          </w:p>
        </w:tc>
        <w:tc>
          <w:tcPr>
            <w:tcW w:w="66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(6,557)</w:t>
            </w:r>
          </w:p>
        </w:tc>
        <w:tc>
          <w:tcPr>
            <w:tcW w:w="12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(91,449)</w:t>
            </w:r>
          </w:p>
        </w:tc>
        <w:tc>
          <w:tcPr>
            <w:tcW w:w="12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96" w:name="page97"/>
    <w:bookmarkEnd w:id="96"/>
    <w:p>
      <w:pPr>
        <w:ind w:right="50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b w:val="1"/>
                <w:bCs w:val="1"/>
                <w:color w:val="auto"/>
              </w:rPr>
              <w:t>Year Ended December 31, 2018</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Infrastructure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1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265,002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(11,645)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(36,870)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215,872</w:t>
            </w:r>
          </w:p>
        </w:tc>
      </w:tr>
      <w:tr>
        <w:trPr>
          <w:trHeight w:val="174"/>
        </w:trPr>
        <w:tc>
          <w:tcPr>
            <w:tcW w:w="3000" w:type="dxa"/>
            <w:vAlign w:val="bottom"/>
          </w:tcPr>
          <w:p>
            <w:pPr>
              <w:ind w:left="20"/>
              <w:spacing w:after="0"/>
              <w:rPr>
                <w:sz w:val="20"/>
                <w:szCs w:val="20"/>
                <w:color w:val="auto"/>
              </w:rPr>
            </w:pPr>
            <w:r>
              <w:rPr>
                <w:rFonts w:ascii="Arial" w:cs="Arial" w:eastAsia="Arial" w:hAnsi="Arial"/>
                <w:sz w:val="14"/>
                <w:szCs w:val="14"/>
                <w:color w:val="auto"/>
              </w:rPr>
              <w:t>Add: Non-controlling share of Adjusted</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8"/>
        </w:trPr>
        <w:tc>
          <w:tcPr>
            <w:tcW w:w="300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9,744</w:t>
            </w: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4"/>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w:t>
            </w:r>
          </w:p>
        </w:tc>
      </w:tr>
      <w:tr>
        <w:trPr>
          <w:trHeight w:val="194"/>
        </w:trPr>
        <w:tc>
          <w:tcPr>
            <w:tcW w:w="3000" w:type="dxa"/>
            <w:vAlign w:val="bottom"/>
          </w:tcPr>
          <w:p>
            <w:pPr>
              <w:ind w:left="20"/>
              <w:spacing w:after="0"/>
              <w:rPr>
                <w:sz w:val="20"/>
                <w:szCs w:val="20"/>
                <w:color w:val="auto"/>
              </w:rPr>
            </w:pPr>
            <w:r>
              <w:rPr>
                <w:rFonts w:ascii="Arial" w:cs="Arial" w:eastAsia="Arial" w:hAnsi="Arial"/>
                <w:sz w:val="14"/>
                <w:szCs w:val="14"/>
                <w:color w:val="auto"/>
              </w:rPr>
              <w:t>Less: Pro-rata share of Adjusted EBITDA</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3000" w:type="dxa"/>
            <w:vAlign w:val="bottom"/>
          </w:tcPr>
          <w:p>
            <w:pPr>
              <w:ind w:left="20"/>
              <w:spacing w:after="0"/>
              <w:rPr>
                <w:sz w:val="20"/>
                <w:szCs w:val="20"/>
                <w:color w:val="auto"/>
              </w:rPr>
            </w:pPr>
            <w:r>
              <w:rPr>
                <w:rFonts w:ascii="Arial" w:cs="Arial" w:eastAsia="Arial" w:hAnsi="Arial"/>
                <w:sz w:val="14"/>
                <w:szCs w:val="14"/>
                <w:color w:val="auto"/>
              </w:rPr>
              <w:t>from 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(359)</w:t>
            </w: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(56,845)</w:t>
            </w: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(160,567)</w:t>
            </w: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4"/>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5,523</w:t>
            </w:r>
          </w:p>
        </w:tc>
      </w:tr>
      <w:tr>
        <w:trPr>
          <w:trHeight w:val="194"/>
        </w:trPr>
        <w:tc>
          <w:tcPr>
            <w:tcW w:w="3000" w:type="dxa"/>
            <w:vAlign w:val="bottom"/>
          </w:tcPr>
          <w:p>
            <w:pPr>
              <w:ind w:left="20"/>
              <w:spacing w:after="0"/>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8"/>
        </w:trPr>
        <w:tc>
          <w:tcPr>
            <w:tcW w:w="300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(6,968)</w:t>
            </w:r>
          </w:p>
        </w:tc>
      </w:tr>
      <w:tr>
        <w:trPr>
          <w:trHeight w:val="210"/>
        </w:trPr>
        <w:tc>
          <w:tcPr>
            <w:tcW w:w="300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(717)</w:t>
            </w: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(2,449)</w:t>
            </w:r>
          </w:p>
        </w:tc>
      </w:tr>
      <w:tr>
        <w:trPr>
          <w:trHeight w:val="156"/>
        </w:trPr>
        <w:tc>
          <w:tcPr>
            <w:tcW w:w="30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attributable to shareholders</w:t>
            </w: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from continuing operations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1,819</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6"/>
          </w:tcPr>
          <w:p>
            <w:pPr>
              <w:jc w:val="right"/>
              <w:ind w:right="468"/>
              <w:spacing w:after="0"/>
              <w:rPr>
                <w:sz w:val="20"/>
                <w:szCs w:val="20"/>
                <w:color w:val="auto"/>
              </w:rPr>
            </w:pPr>
            <w:r>
              <w:rPr>
                <w:rFonts w:ascii="Arial" w:cs="Arial" w:eastAsia="Arial" w:hAnsi="Arial"/>
                <w:sz w:val="14"/>
                <w:szCs w:val="14"/>
                <w:b w:val="1"/>
                <w:bCs w:val="1"/>
                <w:color w:val="auto"/>
              </w:rPr>
              <w:t>Year Ended December 31, 2018</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0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10,053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10,053</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78,374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85,689</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121,546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121,546</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70,985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121,228</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3,596</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244,270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70,985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342,112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7" w:name="page98"/>
    <w:bookmarkEnd w:id="97"/>
    <w:p>
      <w:pPr>
        <w:ind w:right="50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b w:val="1"/>
                <w:bCs w:val="1"/>
                <w:color w:val="auto"/>
              </w:rPr>
              <w:t>Year Ended December 31, 2017</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Ports and Terminals</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156,793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13,207</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15,052</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156,793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10,229</w:t>
            </w:r>
          </w:p>
        </w:tc>
        <w:tc>
          <w:tcPr>
            <w:tcW w:w="1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4,823</w:t>
            </w: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13,207</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185,052</w:t>
            </w:r>
          </w:p>
        </w:tc>
        <w:tc>
          <w:tcPr>
            <w:tcW w:w="0" w:type="dxa"/>
            <w:vAlign w:val="bottom"/>
          </w:tcPr>
          <w:p>
            <w:pPr>
              <w:spacing w:after="0"/>
              <w:rPr>
                <w:sz w:val="1"/>
                <w:szCs w:val="1"/>
                <w:color w:val="auto"/>
              </w:rPr>
            </w:pPr>
          </w:p>
        </w:tc>
      </w:tr>
      <w:tr>
        <w:trPr>
          <w:trHeight w:val="405"/>
        </w:trPr>
        <w:tc>
          <w:tcPr>
            <w:tcW w:w="2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31,213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15,842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62,419</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14,570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14,570</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15,732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15,732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61,795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16,193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86,073</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13,568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23,142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37,798</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68,483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60,974</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11,863</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82,578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223,898</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80" w:type="dxa"/>
            <w:vAlign w:val="bottom"/>
          </w:tcPr>
          <w:p>
            <w:pPr>
              <w:spacing w:after="0"/>
              <w:rPr>
                <w:sz w:val="18"/>
                <w:szCs w:val="18"/>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18,593</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1,980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18,297</w:t>
            </w: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tcPr>
          <w:p>
            <w:pPr>
              <w:spacing w:after="0"/>
              <w:rPr>
                <w:sz w:val="17"/>
                <w:szCs w:val="17"/>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94,519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(48,710)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(7,040)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(59,318)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(20,549)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92,553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(48,752)</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(59,264)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(22,503)</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from continuing</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 attributable to non-controlling</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(23,304)</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Dividends on preferred shares</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91,856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(25,761)</w:t>
            </w: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vMerge w:val="restart"/>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(6,556)</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(58,738)</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8" w:name="page99"/>
    <w:bookmarkEnd w:id="98"/>
    <w:p>
      <w:pPr>
        <w:ind w:right="5060"/>
        <w:spacing w:after="0" w:line="269"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b w:val="1"/>
                <w:bCs w:val="1"/>
                <w:color w:val="auto"/>
              </w:rPr>
              <w:t>Year Ended December 31, 2017</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Infrastructure</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163,828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(18,277)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133,623</w:t>
            </w:r>
          </w:p>
        </w:tc>
      </w:tr>
    </w:tbl>
    <w:p>
      <w:pPr>
        <w:spacing w:after="0" w:line="18" w:lineRule="exact"/>
        <w:rPr>
          <w:sz w:val="20"/>
          <w:szCs w:val="20"/>
          <w:color w:val="auto"/>
        </w:rPr>
      </w:pPr>
    </w:p>
    <w:p>
      <w:pPr>
        <w:sectPr>
          <w:pgSz w:w="11900" w:h="16838" w:orient="portrait"/>
          <w:cols w:equalWidth="0" w:num="1">
            <w:col w:w="11380"/>
          </w:cols>
          <w:pgMar w:left="240" w:top="115" w:right="279" w:bottom="1440" w:gutter="0" w:footer="0" w:header="0"/>
        </w:sectPr>
      </w:pPr>
    </w:p>
    <w:p>
      <w:pPr>
        <w:ind w:left="20"/>
        <w:spacing w:after="0"/>
        <w:rPr>
          <w:sz w:val="20"/>
          <w:szCs w:val="20"/>
          <w:color w:val="auto"/>
        </w:rPr>
      </w:pPr>
      <w:r>
        <w:rPr>
          <w:rFonts w:ascii="Arial" w:cs="Arial" w:eastAsia="Arial" w:hAnsi="Arial"/>
          <w:sz w:val="14"/>
          <w:szCs w:val="14"/>
          <w:color w:val="auto"/>
        </w:rPr>
        <w:t>Add: Non-controlling share of Adjusted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Equity in losses of unconsolidated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Pro-rata share of Adjusted EBITDA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from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Incentive allocations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Changes in fair value of non-hedge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instruments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Losses on the modification 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extinguishment of debt and capital lease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Acquisition and transaction expenses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058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Provision for income taxes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attributable to shareholders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from continuing operations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929"/>
        <w:spacing w:after="0"/>
        <w:rPr>
          <w:sz w:val="20"/>
          <w:szCs w:val="20"/>
          <w:color w:val="auto"/>
        </w:rPr>
      </w:pPr>
      <w:r>
        <w:rPr>
          <w:rFonts w:ascii="Arial" w:cs="Arial" w:eastAsia="Arial" w:hAnsi="Arial"/>
          <w:sz w:val="14"/>
          <w:szCs w:val="14"/>
          <w:color w:val="auto"/>
        </w:rPr>
        <w:t>12,535</w:t>
      </w:r>
    </w:p>
    <w:p>
      <w:pPr>
        <w:spacing w:after="0" w:line="217" w:lineRule="exact"/>
        <w:rPr>
          <w:sz w:val="20"/>
          <w:szCs w:val="20"/>
          <w:color w:val="auto"/>
        </w:rPr>
      </w:pPr>
    </w:p>
    <w:p>
      <w:pPr>
        <w:ind w:left="949"/>
        <w:spacing w:after="0"/>
        <w:rPr>
          <w:sz w:val="20"/>
          <w:szCs w:val="20"/>
          <w:color w:val="auto"/>
        </w:rPr>
      </w:pPr>
      <w:r>
        <w:rPr>
          <w:rFonts w:ascii="Arial" w:cs="Arial" w:eastAsia="Arial" w:hAnsi="Arial"/>
          <w:sz w:val="14"/>
          <w:szCs w:val="14"/>
          <w:color w:val="auto"/>
        </w:rPr>
        <w:t>(1,601)</w:t>
      </w:r>
    </w:p>
    <w:p>
      <w:pPr>
        <w:spacing w:after="0" w:line="217"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243</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(37,798)</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(94,380)</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(514)</w:t>
      </w:r>
    </w:p>
    <w:p>
      <w:pPr>
        <w:spacing w:after="0" w:line="55"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1,022</w:t>
      </w:r>
    </w:p>
    <w:p>
      <w:pPr>
        <w:spacing w:after="0" w:line="37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(2,456)</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(7,306)</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(613)</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90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70" w:lineRule="exact"/>
        <w:rPr>
          <w:sz w:val="20"/>
          <w:szCs w:val="20"/>
          <w:color w:val="auto"/>
        </w:rPr>
      </w:pPr>
    </w:p>
    <w:p>
      <w:pPr>
        <w:ind w:left="1129" w:hanging="1129"/>
        <w:spacing w:after="0"/>
        <w:tabs>
          <w:tab w:leader="none" w:pos="1129" w:val="left"/>
        </w:tabs>
        <w:numPr>
          <w:ilvl w:val="0"/>
          <w:numId w:val="45"/>
        </w:numPr>
        <w:rPr>
          <w:rFonts w:ascii="Arial" w:cs="Arial" w:eastAsia="Arial" w:hAnsi="Arial"/>
          <w:sz w:val="14"/>
          <w:szCs w:val="14"/>
          <w:color w:val="auto"/>
        </w:rPr>
      </w:pPr>
      <w:r>
        <w:rPr>
          <w:rFonts w:ascii="Arial" w:cs="Arial" w:eastAsia="Arial" w:hAnsi="Arial"/>
          <w:sz w:val="14"/>
          <w:szCs w:val="14"/>
          <w:color w:val="auto"/>
        </w:rPr>
        <w:t>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90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9690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51" w:space="720"/>
            <w:col w:w="1509"/>
          </w:cols>
          <w:pgMar w:left="240" w:top="115" w:right="27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Year Ended December 31, 2017</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0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9,993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9,993</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45,794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51,868</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84,023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89,620</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32,866</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705</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156,793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185,052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type w:val="continuous"/>
        </w:sectPr>
      </w:pPr>
    </w:p>
    <w:bookmarkStart w:id="99" w:name="page100"/>
    <w:bookmarkEnd w:id="99"/>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Balance Sheet and location of long-lived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Infrastructure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 and Other</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1,694,837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781,422</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366,402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394,261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3,236,922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233,077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1,162,851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1,420,928</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285,099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324,509</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63,930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1,224,527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1,898,065</w:t>
            </w: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 of</w:t>
            </w:r>
          </w:p>
        </w:tc>
        <w:tc>
          <w:tcPr>
            <w:tcW w:w="180" w:type="dxa"/>
            <w:vAlign w:val="bottom"/>
            <w:shd w:val="clear" w:color="auto" w:fill="CCEEFF"/>
          </w:tcPr>
          <w:p>
            <w:pPr>
              <w:spacing w:after="0"/>
              <w:rPr>
                <w:sz w:val="16"/>
                <w:szCs w:val="16"/>
                <w:color w:val="auto"/>
              </w:rPr>
            </w:pPr>
          </w:p>
        </w:tc>
        <w:tc>
          <w:tcPr>
            <w:tcW w:w="1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35,671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36,980</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6"/>
                <w:szCs w:val="16"/>
                <w:color w:val="auto"/>
              </w:rPr>
            </w:pPr>
          </w:p>
        </w:tc>
        <w:tc>
          <w:tcPr>
            <w:tcW w:w="1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1,409,738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456,913</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302,472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(830,266)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1,338,857</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1,694,837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781,422</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366,402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394,261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3,236,922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2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Infrastructure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43,348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43,348</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487,913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37,548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525,461</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647,029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647,029</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311,185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560,059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123,067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1,194,630</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28,700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28,700</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 and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1,518,175</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560,059</w:t>
            </w:r>
          </w:p>
        </w:tc>
        <w:tc>
          <w:tcPr>
            <w:tcW w:w="740" w:type="dxa"/>
            <w:vAlign w:val="bottom"/>
            <w:gridSpan w:val="2"/>
            <w:vMerge w:val="restart"/>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200,319</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160,615</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2,439,168</w:t>
            </w: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80" w:type="dxa"/>
            <w:vAlign w:val="bottom"/>
            <w:vMerge w:val="continue"/>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Infrastructure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 and Other</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1,367,074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670,682</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277,160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2,582,034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234,862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980,246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1,215,108</w:t>
            </w:r>
          </w:p>
        </w:tc>
      </w:tr>
      <w:tr>
        <w:trPr>
          <w:trHeight w:val="270"/>
        </w:trPr>
        <w:tc>
          <w:tcPr>
            <w:tcW w:w="29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0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234,449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288,256</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16,615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1,010,213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1,549,533</w:t>
            </w:r>
          </w:p>
        </w:tc>
      </w:tr>
      <w:tr>
        <w:trPr>
          <w:trHeight w:val="256"/>
        </w:trPr>
        <w:tc>
          <w:tcPr>
            <w:tcW w:w="2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9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 of</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52,058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53,125</w:t>
            </w:r>
          </w:p>
        </w:tc>
      </w:tr>
      <w:tr>
        <w:trPr>
          <w:trHeight w:val="230"/>
        </w:trPr>
        <w:tc>
          <w:tcPr>
            <w:tcW w:w="2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0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1,132,625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382,426</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260,545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(743,095)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1,032,501</w:t>
            </w:r>
          </w:p>
        </w:tc>
      </w:tr>
      <w:tr>
        <w:trPr>
          <w:trHeight w:val="216"/>
        </w:trPr>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1,367,074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670,682</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277,160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2,582,034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35" w:lineRule="auto"/>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2"/>
          <w:szCs w:val="12"/>
          <w:color w:val="auto"/>
        </w:rPr>
        <w:t>Excludes assets, liabilities and equity from discontinued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Infrastructure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47,353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47,353</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383,648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418,315</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592,670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121,950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714,620</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177,962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433,404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263,747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879,436</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34,505</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 and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1,236,138</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433,404</w:t>
            </w:r>
          </w:p>
        </w:tc>
        <w:tc>
          <w:tcPr>
            <w:tcW w:w="740" w:type="dxa"/>
            <w:vAlign w:val="bottom"/>
            <w:gridSpan w:val="2"/>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263,747</w:t>
            </w: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160,940</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2,094,229</w:t>
            </w: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80" w:type="dxa"/>
            <w:vAlign w:val="bottom"/>
            <w:vMerge w:val="continue"/>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EARNINGS PER SHARE AND EQUITY</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shares of common stock outstanding, plus any participating securities. Diluted EPS is calculated by dividing net income attributable to shareholders by the weighted average number of shares of common stock outstanding, plus potentially dilutive securities. Potentially dilutive securities are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from 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134,322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(22,503)</w:t>
            </w:r>
          </w:p>
        </w:tc>
      </w:tr>
      <w:tr>
        <w:trPr>
          <w:trHeight w:val="210"/>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 (loss) from discontinued operations, net of income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73,462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(23,240)</w:t>
            </w:r>
          </w:p>
        </w:tc>
      </w:tr>
      <w:tr>
        <w:trPr>
          <w:trHeight w:val="190"/>
        </w:trPr>
        <w:tc>
          <w:tcPr>
            <w:tcW w:w="638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 in consolidated subsidiaries: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(23,304)</w:t>
            </w:r>
          </w:p>
        </w:tc>
      </w:tr>
      <w:tr>
        <w:trPr>
          <w:trHeight w:val="210"/>
        </w:trPr>
        <w:tc>
          <w:tcPr>
            <w:tcW w:w="638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1,838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223,270</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5,882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134</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85,992,019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83,654,068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75,766,811</w:t>
            </w:r>
          </w:p>
        </w:tc>
      </w:tr>
      <w:tr>
        <w:trPr>
          <w:trHeight w:val="22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86,029,363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83,664,833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75,766,811</w:t>
            </w:r>
          </w:p>
        </w:tc>
      </w:tr>
      <w:tr>
        <w:trPr>
          <w:trHeight w:val="210"/>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Basic EPS: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r>
      <w:tr>
        <w:trPr>
          <w:trHeight w:val="210"/>
        </w:trPr>
        <w:tc>
          <w:tcPr>
            <w:tcW w:w="638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0.85</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2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638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1.74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0.01</w:t>
            </w:r>
          </w:p>
        </w:tc>
      </w:tr>
      <w:tr>
        <w:trPr>
          <w:trHeight w:val="222"/>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0.85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calculation of Diluted EPS excludes 150,981, 57,069 and 438 shares for the years ended December 31, 2019, 2018 and 2017, respectively, because the impact would be anti-dilutive.</w:t>
      </w:r>
    </w:p>
    <w:p>
      <w:pPr>
        <w:spacing w:after="0" w:line="8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Certain holders of Class B Units (see Note 16) converted 1,134,806 Class B Units in exchange for 840,434 common shares during the year December 31, 2019.</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We issued 26,125 common shares to certain directors as compensation during the year December 31,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2019, in a public offering, we issued 3,450,000 shares of 8.25% Fixed-to-Floating Rate Series A Cumulative Perpetual Redeemable Preferred Shares (“Series A Preferred Shares”), par value $0.01 per share, with a liquidation preference of $25.00 per share for net proceeds of approximately $82.9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2019, in a public offering, we issued 4,600,000 shares of 8.00% Fixed-to-Floating Rate Series B Cumulative Perpetual Redeemable Preferred Shares (“Series B Preferred Shares”), par value $0.01 per share, with a liquidation preference of $25.00 per share for net proceeds of approximately $111.1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See Note 14 for information related to options issued to the Manager in connection with these offerings.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COMMITMENTS AND CONTINGENCIES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their obligation under their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service conditions, not to exceed $15.0 million. We will account for such amounts when and if such service conditions are achieved.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QUARTERLY FINANCIAL INFORMATION (UNAUDITED)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unaudited summary information for our quarterly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8"/>
                <w:szCs w:val="18"/>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114,894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149,848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152,700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161,332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578,774</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123,403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164,798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169,430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169,136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626,767</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27,630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37,338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136,335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200,125</w:t>
            </w:r>
          </w:p>
        </w:tc>
        <w:tc>
          <w:tcPr>
            <w:tcW w:w="0" w:type="dxa"/>
            <w:vAlign w:val="bottom"/>
          </w:tcPr>
          <w:p>
            <w:pPr>
              <w:spacing w:after="0"/>
              <w:rPr>
                <w:sz w:val="1"/>
                <w:szCs w:val="1"/>
                <w:color w:val="auto"/>
              </w:rPr>
            </w:pPr>
          </w:p>
        </w:tc>
      </w:tr>
      <w:tr>
        <w:trPr>
          <w:trHeight w:val="156"/>
        </w:trPr>
        <w:tc>
          <w:tcPr>
            <w:tcW w:w="40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(Loss) income from continuing operations before income</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2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(9,687)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12,680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20,608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128,531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152,132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18,999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17,810</w:t>
            </w:r>
          </w:p>
        </w:tc>
        <w:tc>
          <w:tcPr>
            <w:tcW w:w="0" w:type="dxa"/>
            <w:vAlign w:val="bottom"/>
          </w:tcPr>
          <w:p>
            <w:pPr>
              <w:spacing w:after="0"/>
              <w:rPr>
                <w:sz w:val="1"/>
                <w:szCs w:val="1"/>
                <w:color w:val="auto"/>
              </w:rPr>
            </w:pPr>
          </w:p>
        </w:tc>
      </w:tr>
      <w:tr>
        <w:trPr>
          <w:trHeight w:val="210"/>
        </w:trPr>
        <w:tc>
          <w:tcPr>
            <w:tcW w:w="4060" w:type="dxa"/>
            <w:vAlign w:val="bottom"/>
          </w:tcPr>
          <w:p>
            <w:pPr>
              <w:ind w:left="120"/>
              <w:spacing w:after="0"/>
              <w:rPr>
                <w:sz w:val="20"/>
                <w:szCs w:val="20"/>
                <w:color w:val="auto"/>
              </w:rPr>
            </w:pPr>
            <w:r>
              <w:rPr>
                <w:rFonts w:ascii="Arial" w:cs="Arial" w:eastAsia="Arial" w:hAnsi="Arial"/>
                <w:sz w:val="14"/>
                <w:szCs w:val="14"/>
                <w:color w:val="auto"/>
              </w:rPr>
              <w:t>Net (loss) income from continuing operations</w:t>
            </w:r>
          </w:p>
        </w:tc>
        <w:tc>
          <w:tcPr>
            <w:tcW w:w="2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(9,954)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15,008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19,736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109,532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134,322</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from discontinued operations, net of income</w:t>
            </w:r>
          </w:p>
        </w:tc>
        <w:tc>
          <w:tcPr>
            <w:tcW w:w="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71,579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73,462</w:t>
            </w:r>
          </w:p>
        </w:tc>
        <w:tc>
          <w:tcPr>
            <w:tcW w:w="0" w:type="dxa"/>
            <w:vAlign w:val="bottom"/>
          </w:tcPr>
          <w:p>
            <w:pPr>
              <w:spacing w:after="0"/>
              <w:rPr>
                <w:sz w:val="1"/>
                <w:szCs w:val="1"/>
                <w:color w:val="auto"/>
              </w:rPr>
            </w:pPr>
          </w:p>
        </w:tc>
      </w:tr>
      <w:tr>
        <w:trPr>
          <w:trHeight w:val="178"/>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(9,796)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15,793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20,676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181,111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207,784</w:t>
            </w: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non-controlling interests in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(3,360)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(4,580)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(4,520)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(17,571)</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4"/>
                <w:szCs w:val="14"/>
                <w:color w:val="auto"/>
              </w:rPr>
              <w:t>Dividends on preferred shares</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1,838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1,838</w:t>
            </w:r>
          </w:p>
        </w:tc>
        <w:tc>
          <w:tcPr>
            <w:tcW w:w="0" w:type="dxa"/>
            <w:vAlign w:val="bottom"/>
          </w:tcPr>
          <w:p>
            <w:pPr>
              <w:spacing w:after="0"/>
              <w:rPr>
                <w:sz w:val="1"/>
                <w:szCs w:val="1"/>
                <w:color w:val="auto"/>
              </w:rPr>
            </w:pPr>
          </w:p>
        </w:tc>
      </w:tr>
      <w:tr>
        <w:trPr>
          <w:trHeight w:val="24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25,671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183,647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223,270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210"/>
        </w:trPr>
        <w:tc>
          <w:tcPr>
            <w:tcW w:w="406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0.83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0.85</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0.23</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1.30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0.83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0.85</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85,986,453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85,987,769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85,996,067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85,997,619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85,992,019</w:t>
            </w:r>
          </w:p>
        </w:tc>
        <w:tc>
          <w:tcPr>
            <w:tcW w:w="0" w:type="dxa"/>
            <w:vAlign w:val="bottom"/>
          </w:tcPr>
          <w:p>
            <w:pPr>
              <w:spacing w:after="0"/>
              <w:rPr>
                <w:sz w:val="1"/>
                <w:szCs w:val="1"/>
                <w:color w:val="auto"/>
              </w:rPr>
            </w:pPr>
          </w:p>
        </w:tc>
      </w:tr>
      <w:tr>
        <w:trPr>
          <w:trHeight w:val="204"/>
        </w:trPr>
        <w:tc>
          <w:tcPr>
            <w:tcW w:w="4060" w:type="dxa"/>
            <w:vAlign w:val="bottom"/>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85,986,453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85,989,029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86,005,604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86,090,207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86,029,363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ind w:right="5100"/>
        <w:spacing w:after="0" w:line="269"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rPr>
              <w:t>Year Ended</w:t>
            </w:r>
          </w:p>
        </w:tc>
      </w:tr>
      <w:tr>
        <w:trPr>
          <w:trHeight w:val="210"/>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8"/>
                <w:szCs w:val="18"/>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57,797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63,191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92,472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128,652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342,112</w:t>
            </w:r>
          </w:p>
        </w:tc>
      </w:tr>
      <w:tr>
        <w:trPr>
          <w:trHeight w:val="210"/>
        </w:trPr>
        <w:tc>
          <w:tcPr>
            <w:tcW w:w="40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69,772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75,342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91,685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130,344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367,143</w:t>
            </w:r>
          </w:p>
        </w:tc>
      </w:tr>
      <w:tr>
        <w:trPr>
          <w:trHeight w:val="22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7,374</w:t>
            </w:r>
          </w:p>
        </w:tc>
      </w:tr>
      <w:tr>
        <w:trPr>
          <w:trHeight w:val="156"/>
        </w:trPr>
        <w:tc>
          <w:tcPr>
            <w:tcW w:w="40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(Loss) income from continuing operations before income</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(11,544)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(17,657)</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2,449</w:t>
            </w:r>
          </w:p>
        </w:tc>
      </w:tr>
      <w:tr>
        <w:trPr>
          <w:trHeight w:val="210"/>
        </w:trPr>
        <w:tc>
          <w:tcPr>
            <w:tcW w:w="4040" w:type="dxa"/>
            <w:vAlign w:val="bottom"/>
          </w:tcPr>
          <w:p>
            <w:pPr>
              <w:ind w:left="120"/>
              <w:spacing w:after="0"/>
              <w:rPr>
                <w:sz w:val="20"/>
                <w:szCs w:val="20"/>
                <w:color w:val="auto"/>
              </w:rPr>
            </w:pPr>
            <w:r>
              <w:rPr>
                <w:rFonts w:ascii="Arial" w:cs="Arial" w:eastAsia="Arial" w:hAnsi="Arial"/>
                <w:sz w:val="14"/>
                <w:szCs w:val="14"/>
                <w:color w:val="auto"/>
              </w:rPr>
              <w:t>Net (loss) income from continuing operations</w:t>
            </w:r>
          </w:p>
        </w:tc>
        <w:tc>
          <w:tcPr>
            <w:tcW w:w="2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(20,106)</w:t>
            </w:r>
          </w:p>
        </w:tc>
      </w:tr>
      <w:tr>
        <w:trPr>
          <w:trHeight w:val="200"/>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from discontinued operations, net of</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4"/>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2,706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4,402</w:t>
            </w:r>
          </w:p>
        </w:tc>
      </w:tr>
      <w:tr>
        <w:trPr>
          <w:trHeight w:val="20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(15,704)</w:t>
            </w:r>
          </w:p>
        </w:tc>
      </w:tr>
      <w:tr>
        <w:trPr>
          <w:trHeight w:val="18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non-controlling interests in</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4"/>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404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(7,339)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(21,925)</w:t>
            </w:r>
          </w:p>
        </w:tc>
      </w:tr>
      <w:tr>
        <w:trPr>
          <w:trHeight w:val="222"/>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r>
      <w:tr>
        <w:trPr>
          <w:trHeight w:val="210"/>
        </w:trPr>
        <w:tc>
          <w:tcPr>
            <w:tcW w:w="4040" w:type="dxa"/>
            <w:vAlign w:val="bottom"/>
          </w:tcPr>
          <w:p>
            <w:pPr>
              <w:ind w:left="20"/>
              <w:spacing w:after="0"/>
              <w:rPr>
                <w:sz w:val="20"/>
                <w:szCs w:val="20"/>
                <w:color w:val="auto"/>
              </w:rPr>
            </w:pPr>
            <w:r>
              <w:rPr>
                <w:rFonts w:ascii="Arial" w:cs="Arial" w:eastAsia="Arial" w:hAnsi="Arial"/>
                <w:sz w:val="14"/>
                <w:szCs w:val="14"/>
                <w:color w:val="auto"/>
              </w:rPr>
              <w:t>Dividends on preferred shares</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4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5,882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r>
      <w:tr>
        <w:trPr>
          <w:trHeight w:val="210"/>
        </w:trPr>
        <w:tc>
          <w:tcPr>
            <w:tcW w:w="404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0.05</w:t>
            </w:r>
          </w:p>
        </w:tc>
      </w:tr>
      <w:tr>
        <w:trPr>
          <w:trHeight w:val="22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0"/>
        </w:trPr>
        <w:tc>
          <w:tcPr>
            <w:tcW w:w="404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0.02</w:t>
            </w:r>
          </w:p>
        </w:tc>
      </w:tr>
      <w:tr>
        <w:trPr>
          <w:trHeight w:val="222"/>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r>
      <w:tr>
        <w:trPr>
          <w:trHeight w:val="210"/>
        </w:trPr>
        <w:tc>
          <w:tcPr>
            <w:tcW w:w="404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81,534,454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83,160,037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84,708,071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85,065,125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83,654,068</w:t>
            </w:r>
          </w:p>
        </w:tc>
      </w:tr>
      <w:tr>
        <w:trPr>
          <w:trHeight w:val="204"/>
        </w:trPr>
        <w:tc>
          <w:tcPr>
            <w:tcW w:w="4040" w:type="dxa"/>
            <w:vAlign w:val="bottom"/>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81,534,454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83,160,047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84,709,656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85,068,966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83,664,833</w:t>
            </w: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21.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we issued 11,991 common shares to certain directors as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Certain holders of Class B Units converted 85,794 Class B Units in exchange for 63,538 common shares during the first quarter of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Series 2020 Bonds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February 11, 2020, our subsidiary (“Jefferson”) issued Series 2020 Bonds in an aggregate principal amount of approximately $264.0 million. The Series 2020 Bonds are designated as $184.9 million of Series 2020A Dock and Wharf Facility Revenue Bonds (the “Series 2020A Bonds”), and $79.1 million of Series 2020B Taxable Facility Revenue Bonds (the “Taxable Series 2020B Bonds”).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Series 2020A Bonds maturing on January 1, 2035 ($53.5 million aggregate principal amount) bear interest at a fixed rate of 3.625%.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Series 2020A Bonds maturing on January 1, 2050 ($131.4 million aggregate principal amount) bear interest at a fixed rate of 4.00%.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2020B Bonds will mature on January 1, 2025 and bear interest at a fixed rate of 6.00%.</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Jefferson used a portion of the net proceeds from this offering to refund, redeem and defease the Series 2012 Bonds, Series 2016 Bonds and Jefferson Revolver, and intends to use a portion of the net proceeds to pay for or reimburse the cost of development, construction and acquisition of certain facilities, to fund certain reserve and funded interest accounts related to the Series 2020 Bonds, and to pay for or reimburse certain costs of issuance of the Series 2020 Bonds.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4" w:name="page105"/>
    <w:bookmarkEnd w:id="104"/>
    <w:p>
      <w:pPr>
        <w:ind w:right="51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February 27, 2020, our Board of Directors declared a cash dividend on our common shares and eligible participating securities of $0.33 per share for the quarter ended December 31, 2019, payable on March 24, 2020 to the holders of record on March 13, 2020.</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Additionally, on February 27, 2020, our Board of Directors declared cash dividends on the Series A Preferred Shares and Series B Preferred Shares of $0.52 and $0.60 per share, respectively, for the quarter ended December 31, 2019, payable on March 16, 2020 to the holders of record on March 9,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2019.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2019, our internal control over financial reporting was effective.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effectiveness of the Company’s internal control over financial reporting as of December 31, 2019 has been audited by Ernst &amp; Young LLP, an independent registered public accounting firm, as stated in their report included herein.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06" w:name="page107"/>
    <w:bookmarkEnd w:id="106"/>
    <w:p>
      <w:pPr>
        <w:ind w:right="3460" w:firstLine="3469"/>
        <w:spacing w:after="0" w:line="39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Fortress Transportation and Infrastructure Investors LLC’s internal control over financial reporting as of December 31, 2019, based on criteria established in Internal Control—Integrated Framework issued by the Committee of Sponsoring Organizations of the Treadway Commission (2013 framework) (the COSO criteria). In our opinion, Fortress Transportation and Infrastructure Investors LLC (“the Company”) maintained, in all material respects, effective internal control over financial reporting as of December 31, 2019, based on the COSO criteria.</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(loss), changes in equity and cash flows for each of the three years in the period ended December 31, 2019, and the related notes and our report dated February 28, 2020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00497F"/>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2020 annual meeting of shareholders to be filed with the SEC pursuant to Regulation 14A (our “Definitive Proxy Statement”) within 120 days after the fiscal year ended December 31, 2019 (our “Definitive Proxy Statement”) under the headings “Proposal No. 1 Election of Directors,” “Executive Officers” and “Security Ownership of Management and Certain Beneficial Owners—Section 16(a) of Beneficial Ownership Reporting Compliance.”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and “Compensation Committee Report.”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information required by this Item 12 is incorporated by reference to our Definitive Proxy Statement under the heading “Security Ownership of Management and Certain Beneficial Owners.” See also “Nonqualified Stock Option and Incentive Award Plan” in Part II, Item 5, “Market for Registrant’s Common Equity, Related Stockholder Matters, and Issuer Purchases of Equity Securities” which is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14. Principal Accountant Fees and Services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5"/>
          <w:szCs w:val="15"/>
          <w:b w:val="1"/>
          <w:bCs w:val="1"/>
          <w:color w:val="00497F"/>
        </w:rPr>
        <w:t>PART IV</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15. Exhibits</w:t>
      </w:r>
    </w:p>
    <w:p>
      <w:pPr>
        <w:sectPr>
          <w:pgSz w:w="11900" w:h="16838" w:orient="portrait"/>
          <w:cols w:equalWidth="0" w:num="1">
            <w:col w:w="11400"/>
          </w:cols>
          <w:pgMar w:left="240" w:top="1256" w:right="259" w:bottom="1440" w:gutter="0" w:footer="0" w:header="0"/>
        </w:sectPr>
      </w:pPr>
    </w:p>
    <w:p>
      <w:pPr>
        <w:spacing w:after="0" w:line="30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Exhibit No.</w:t>
      </w:r>
    </w:p>
    <w:p>
      <w:pPr>
        <w:spacing w:after="0" w:line="73" w:lineRule="exact"/>
        <w:rPr>
          <w:sz w:val="20"/>
          <w:szCs w:val="20"/>
          <w:color w:val="auto"/>
        </w:rPr>
      </w:pPr>
    </w:p>
    <w:p>
      <w:pPr>
        <w:jc w:val="right"/>
        <w:spacing w:after="0"/>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2.1</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3.1</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3.2</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51">
        <w:r>
          <w:rPr>
            <w:rFonts w:ascii="Arial" w:cs="Arial" w:eastAsia="Arial" w:hAnsi="Arial"/>
            <w:sz w:val="14"/>
            <w:szCs w:val="14"/>
            <w:u w:val="single" w:color="auto"/>
            <w:color w:val="0000FF"/>
          </w:rPr>
          <w:t>3.3</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3.4</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4.1</w:t>
        </w:r>
      </w:hyperlink>
    </w:p>
    <w:p>
      <w:pPr>
        <w:spacing w:after="0" w:line="298" w:lineRule="exact"/>
        <w:rPr>
          <w:sz w:val="20"/>
          <w:szCs w:val="20"/>
          <w:color w:val="auto"/>
        </w:rPr>
      </w:pPr>
    </w:p>
    <w:p>
      <w:pPr>
        <w:jc w:val="right"/>
        <w:spacing w:after="0"/>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4.2</w:t>
        </w:r>
      </w:hyperlink>
    </w:p>
    <w:p>
      <w:pPr>
        <w:spacing w:after="0" w:line="55" w:lineRule="exact"/>
        <w:rPr>
          <w:sz w:val="20"/>
          <w:szCs w:val="20"/>
          <w:color w:val="auto"/>
        </w:rPr>
      </w:pPr>
    </w:p>
    <w:p>
      <w:pPr>
        <w:jc w:val="right"/>
        <w:spacing w:after="0"/>
        <w:rPr>
          <w:rFonts w:ascii="Arial" w:cs="Arial" w:eastAsia="Arial" w:hAnsi="Arial"/>
          <w:sz w:val="14"/>
          <w:szCs w:val="14"/>
          <w:u w:val="single" w:color="auto"/>
          <w:color w:val="0000FF"/>
        </w:rPr>
      </w:pPr>
      <w:hyperlink r:id="rId153">
        <w:r>
          <w:rPr>
            <w:rFonts w:ascii="Arial" w:cs="Arial" w:eastAsia="Arial" w:hAnsi="Arial"/>
            <w:sz w:val="14"/>
            <w:szCs w:val="14"/>
            <w:u w:val="single" w:color="auto"/>
            <w:color w:val="0000FF"/>
          </w:rPr>
          <w:t>4.3</w:t>
        </w:r>
      </w:hyperlink>
    </w:p>
    <w:p>
      <w:pPr>
        <w:spacing w:after="0" w:line="298" w:lineRule="exact"/>
        <w:rPr>
          <w:sz w:val="20"/>
          <w:szCs w:val="20"/>
          <w:color w:val="auto"/>
        </w:rPr>
      </w:pPr>
    </w:p>
    <w:p>
      <w:pPr>
        <w:jc w:val="right"/>
        <w:spacing w:after="0"/>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4.4</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55">
        <w:r>
          <w:rPr>
            <w:rFonts w:ascii="Arial" w:cs="Arial" w:eastAsia="Arial" w:hAnsi="Arial"/>
            <w:sz w:val="14"/>
            <w:szCs w:val="14"/>
            <w:u w:val="single" w:color="auto"/>
            <w:color w:val="0000FF"/>
          </w:rPr>
          <w:t>4.5</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4.6</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57">
        <w:r>
          <w:rPr>
            <w:rFonts w:ascii="Arial" w:cs="Arial" w:eastAsia="Arial" w:hAnsi="Arial"/>
            <w:sz w:val="14"/>
            <w:szCs w:val="14"/>
            <w:u w:val="single" w:color="auto"/>
            <w:color w:val="0000FF"/>
          </w:rPr>
          <w:t>4.7</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4.8</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4.9</w:t>
        </w:r>
      </w:hyperlink>
    </w:p>
    <w:p>
      <w:pPr>
        <w:spacing w:after="0" w:line="55" w:lineRule="exact"/>
        <w:rPr>
          <w:sz w:val="20"/>
          <w:szCs w:val="20"/>
          <w:color w:val="auto"/>
        </w:rPr>
      </w:pPr>
    </w:p>
    <w:p>
      <w:pPr>
        <w:jc w:val="right"/>
        <w:spacing w:after="0"/>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4.10</w:t>
        </w:r>
      </w:hyperlink>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FF"/>
        </w:rPr>
        <w:t>4.11</w:t>
      </w:r>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4.12</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w:anchor="page113">
        <w:r>
          <w:rPr>
            <w:rFonts w:ascii="Arial" w:cs="Arial" w:eastAsia="Arial" w:hAnsi="Arial"/>
            <w:sz w:val="14"/>
            <w:szCs w:val="14"/>
            <w:u w:val="single" w:color="auto"/>
            <w:color w:val="0000FF"/>
          </w:rPr>
          <w:t>4.13</w:t>
        </w:r>
      </w:hyperlink>
    </w:p>
    <w:p>
      <w:pPr>
        <w:spacing w:after="0" w:line="55" w:lineRule="exact"/>
        <w:rPr>
          <w:sz w:val="20"/>
          <w:szCs w:val="20"/>
          <w:color w:val="auto"/>
        </w:rPr>
      </w:pPr>
    </w:p>
    <w:p>
      <w:pPr>
        <w:jc w:val="right"/>
        <w:spacing w:after="0"/>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10.1</w:t>
        </w:r>
      </w:hyperlink>
    </w:p>
    <w:p>
      <w:pPr>
        <w:spacing w:after="0" w:line="217" w:lineRule="exact"/>
        <w:rPr>
          <w:sz w:val="20"/>
          <w:szCs w:val="20"/>
          <w:color w:val="auto"/>
        </w:rPr>
      </w:pPr>
    </w:p>
    <w:p>
      <w:pPr>
        <w:ind w:left="1040" w:hanging="1014"/>
        <w:spacing w:after="0"/>
        <w:tabs>
          <w:tab w:leader="none" w:pos="1040" w:val="left"/>
        </w:tabs>
        <w:numPr>
          <w:ilvl w:val="0"/>
          <w:numId w:val="47"/>
        </w:numPr>
        <w:rPr>
          <w:rFonts w:ascii="Arial" w:cs="Arial" w:eastAsia="Arial" w:hAnsi="Arial"/>
          <w:sz w:val="14"/>
          <w:szCs w:val="14"/>
          <w:u w:val="single" w:color="auto"/>
          <w:color w:val="0000FF"/>
        </w:rPr>
      </w:pPr>
      <w:hyperlink r:id="rId161">
        <w:r>
          <w:rPr>
            <w:rFonts w:ascii="Arial" w:cs="Arial" w:eastAsia="Arial" w:hAnsi="Arial"/>
            <w:sz w:val="14"/>
            <w:szCs w:val="14"/>
            <w:u w:val="single" w:color="auto"/>
            <w:color w:val="0000FF"/>
          </w:rPr>
          <w:t>10.2</w:t>
        </w:r>
      </w:hyperlink>
    </w:p>
    <w:p>
      <w:pPr>
        <w:spacing w:after="0" w:line="217" w:lineRule="exact"/>
        <w:rPr>
          <w:rFonts w:ascii="Arial" w:cs="Arial" w:eastAsia="Arial" w:hAnsi="Arial"/>
          <w:sz w:val="14"/>
          <w:szCs w:val="14"/>
          <w:u w:val="single" w:color="auto"/>
          <w:color w:val="0000FF"/>
        </w:rPr>
      </w:pPr>
    </w:p>
    <w:p>
      <w:pPr>
        <w:ind w:left="1040" w:hanging="1014"/>
        <w:spacing w:after="0"/>
        <w:tabs>
          <w:tab w:leader="none" w:pos="1040" w:val="left"/>
        </w:tabs>
        <w:numPr>
          <w:ilvl w:val="0"/>
          <w:numId w:val="47"/>
        </w:numPr>
        <w:rPr>
          <w:rFonts w:ascii="Arial" w:cs="Arial" w:eastAsia="Arial" w:hAnsi="Arial"/>
          <w:sz w:val="14"/>
          <w:szCs w:val="14"/>
          <w:u w:val="single" w:color="auto"/>
          <w:color w:val="0000FF"/>
        </w:rPr>
      </w:pPr>
      <w:hyperlink r:id="rId162">
        <w:r>
          <w:rPr>
            <w:rFonts w:ascii="Arial" w:cs="Arial" w:eastAsia="Arial" w:hAnsi="Arial"/>
            <w:sz w:val="14"/>
            <w:szCs w:val="14"/>
            <w:u w:val="single" w:color="auto"/>
            <w:color w:val="0000FF"/>
          </w:rPr>
          <w:t>10.3</w:t>
        </w:r>
      </w:hyperlink>
    </w:p>
    <w:p>
      <w:pPr>
        <w:spacing w:after="0" w:line="379" w:lineRule="exact"/>
        <w:rPr>
          <w:rFonts w:ascii="Arial" w:cs="Arial" w:eastAsia="Arial" w:hAnsi="Arial"/>
          <w:sz w:val="14"/>
          <w:szCs w:val="14"/>
          <w:u w:val="single" w:color="auto"/>
          <w:color w:val="0000FF"/>
        </w:rPr>
      </w:pPr>
    </w:p>
    <w:p>
      <w:pPr>
        <w:ind w:left="1040" w:hanging="1014"/>
        <w:spacing w:after="0"/>
        <w:tabs>
          <w:tab w:leader="none" w:pos="1040" w:val="left"/>
        </w:tabs>
        <w:numPr>
          <w:ilvl w:val="0"/>
          <w:numId w:val="47"/>
        </w:numPr>
        <w:rPr>
          <w:rFonts w:ascii="Arial" w:cs="Arial" w:eastAsia="Arial" w:hAnsi="Arial"/>
          <w:sz w:val="14"/>
          <w:szCs w:val="14"/>
          <w:u w:val="single" w:color="auto"/>
          <w:color w:val="0000FF"/>
        </w:rPr>
      </w:pPr>
      <w:hyperlink r:id="rId163">
        <w:r>
          <w:rPr>
            <w:rFonts w:ascii="Arial" w:cs="Arial" w:eastAsia="Arial" w:hAnsi="Arial"/>
            <w:sz w:val="14"/>
            <w:szCs w:val="14"/>
            <w:u w:val="single" w:color="auto"/>
            <w:color w:val="0000FF"/>
          </w:rPr>
          <w:t>10.4</w:t>
        </w:r>
      </w:hyperlink>
    </w:p>
    <w:p>
      <w:pPr>
        <w:spacing w:after="0" w:line="217" w:lineRule="exact"/>
        <w:rPr>
          <w:rFonts w:ascii="Arial" w:cs="Arial" w:eastAsia="Arial" w:hAnsi="Arial"/>
          <w:sz w:val="14"/>
          <w:szCs w:val="14"/>
          <w:u w:val="single" w:color="auto"/>
          <w:color w:val="0000FF"/>
        </w:rPr>
      </w:pPr>
    </w:p>
    <w:p>
      <w:pPr>
        <w:ind w:left="1040"/>
        <w:spacing w:after="0"/>
        <w:rPr>
          <w:rFonts w:ascii="Arial" w:cs="Arial" w:eastAsia="Arial" w:hAnsi="Arial"/>
          <w:sz w:val="14"/>
          <w:szCs w:val="14"/>
          <w:u w:val="single" w:color="auto"/>
          <w:color w:val="0000FF"/>
        </w:rPr>
      </w:pPr>
      <w:hyperlink r:id="rId164">
        <w:r>
          <w:rPr>
            <w:rFonts w:ascii="Arial" w:cs="Arial" w:eastAsia="Arial" w:hAnsi="Arial"/>
            <w:sz w:val="14"/>
            <w:szCs w:val="14"/>
            <w:u w:val="single" w:color="auto"/>
            <w:color w:val="0000FF"/>
          </w:rPr>
          <w:t>10.5</w:t>
        </w:r>
      </w:hyperlink>
    </w:p>
    <w:p>
      <w:pPr>
        <w:spacing w:after="0" w:line="217" w:lineRule="exact"/>
        <w:rPr>
          <w:rFonts w:ascii="Arial" w:cs="Arial" w:eastAsia="Arial" w:hAnsi="Arial"/>
          <w:sz w:val="14"/>
          <w:szCs w:val="14"/>
          <w:u w:val="single" w:color="auto"/>
          <w:color w:val="0000FF"/>
        </w:rPr>
      </w:pPr>
    </w:p>
    <w:p>
      <w:pPr>
        <w:ind w:left="1040"/>
        <w:spacing w:after="0"/>
        <w:rPr>
          <w:rFonts w:ascii="Arial" w:cs="Arial" w:eastAsia="Arial" w:hAnsi="Arial"/>
          <w:sz w:val="14"/>
          <w:szCs w:val="14"/>
          <w:u w:val="single" w:color="auto"/>
          <w:color w:val="0000FF"/>
        </w:rPr>
      </w:pPr>
      <w:hyperlink r:id="rId165">
        <w:r>
          <w:rPr>
            <w:rFonts w:ascii="Arial" w:cs="Arial" w:eastAsia="Arial" w:hAnsi="Arial"/>
            <w:sz w:val="14"/>
            <w:szCs w:val="14"/>
            <w:u w:val="single" w:color="auto"/>
            <w:color w:val="0000FF"/>
          </w:rPr>
          <w:t>10.6</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287" w:lineRule="exact"/>
        <w:rPr>
          <w:rFonts w:ascii="Arial" w:cs="Arial" w:eastAsia="Arial" w:hAnsi="Arial"/>
          <w:sz w:val="14"/>
          <w:szCs w:val="14"/>
          <w:u w:val="single" w:color="auto"/>
          <w:color w:val="0000FF"/>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26035</wp:posOffset>
            </wp:positionV>
            <wp:extent cx="7246620" cy="3517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67"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37"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 April 30, 2015).</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2"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Third Amended and Restated Limited Liability Company Agreement of Fortress Transportation and Infrastructure Investors LLC, dated as of November 27, 2019 (incorporated by reference to Exhibit 3.2 of the Company’s Form 8-A, filed November 27, 2019).</w:t>
      </w:r>
    </w:p>
    <w:p>
      <w:pPr>
        <w:spacing w:after="0" w:line="32"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Share Designation with respect to the 8.25% Fixed-to-Floating Series A Cumulative Perpetual Redeemable Preferred Shares, dated as of September 12, 2019 (included as part of Exhibit 3.2).</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2"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Share Designation with respect to the 8.00% Fixed-to-Floating Series B Cumulative Perpetual Redeemable Preferred Shares, dated as of November 27, 2019 (included as part of Exhibit 3.2).</w:t>
      </w:r>
    </w:p>
    <w:p>
      <w:pPr>
        <w:spacing w:after="0" w:line="228" w:lineRule="auto"/>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p>
      <w:pPr>
        <w:spacing w:after="0" w:line="1" w:lineRule="exact"/>
        <w:rPr>
          <w:rFonts w:ascii="Arial" w:cs="Arial" w:eastAsia="Arial" w:hAnsi="Arial"/>
          <w:sz w:val="14"/>
          <w:szCs w:val="14"/>
          <w:u w:val="single" w:color="auto"/>
          <w:color w:val="0000FF"/>
        </w:rPr>
      </w:pPr>
    </w:p>
    <w:p>
      <w:pPr>
        <w:jc w:val="both"/>
        <w:spacing w:after="0" w:line="229" w:lineRule="auto"/>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 Current Report on Form 8-K, filed on March 15, 2017).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p>
      <w:pPr>
        <w:spacing w:after="0" w:line="42" w:lineRule="exact"/>
        <w:rPr>
          <w:rFonts w:ascii="Arial" w:cs="Arial" w:eastAsia="Arial" w:hAnsi="Arial"/>
          <w:sz w:val="14"/>
          <w:szCs w:val="14"/>
          <w:u w:val="single" w:color="auto"/>
          <w:color w:val="0000FF"/>
        </w:rPr>
      </w:pPr>
    </w:p>
    <w:p>
      <w:pPr>
        <w:jc w:val="both"/>
        <w:spacing w:after="0" w:line="219" w:lineRule="auto"/>
        <w:rPr>
          <w:sz w:val="20"/>
          <w:szCs w:val="20"/>
          <w:color w:val="auto"/>
        </w:rPr>
      </w:pPr>
      <w:r>
        <w:rPr>
          <w:rFonts w:ascii="Arial" w:cs="Arial" w:eastAsia="Arial" w:hAnsi="Arial"/>
          <w:sz w:val="14"/>
          <w:szCs w:val="14"/>
          <w:color w:val="auto"/>
        </w:rPr>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342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2"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37"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3175</wp:posOffset>
            </wp:positionV>
            <wp:extent cx="7246620" cy="342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37"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3175</wp:posOffset>
            </wp:positionV>
            <wp:extent cx="7246620" cy="342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37"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Form of global note representing the Company’s 6.50% senior unsecured notes due 2025 (included in Exhibit 4.8).</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14605</wp:posOffset>
            </wp:positionV>
            <wp:extent cx="7246620" cy="3429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35"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37"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2"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32"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Description of Securities Registered under Section 12 of the Exchange Act.</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14605</wp:posOffset>
            </wp:positionV>
            <wp:extent cx="724662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5"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 reference to Exhibit 10.1 of the Company's Current Report on Form 8-K, filed on May 21, 2015).</w:t>
      </w:r>
    </w:p>
    <w:p>
      <w:pPr>
        <w:spacing w:after="0" w:line="32"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 (incorporated by reference to Exhibit 10.2 of the Company's Current Report on Form 8-K, filed on May 21, 2015).</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342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2"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 Transportation and Infrastructure Master GP LLC (incorporated by reference to Exhibit 10.3 of the Company's Current Report on Form 8-K, filed on May 21, 2015).</w:t>
      </w:r>
    </w:p>
    <w:p>
      <w:pPr>
        <w:spacing w:after="0" w:line="37"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 the Company's Current Report on Form 8-K, filed on May 21, 2015).</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-921385</wp:posOffset>
            </wp:positionH>
            <wp:positionV relativeFrom="paragraph">
              <wp:posOffset>0</wp:posOffset>
            </wp:positionV>
            <wp:extent cx="724662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2" w:lineRule="exact"/>
        <w:rPr>
          <w:rFonts w:ascii="Arial" w:cs="Arial" w:eastAsia="Arial" w:hAnsi="Arial"/>
          <w:sz w:val="14"/>
          <w:szCs w:val="14"/>
          <w:u w:val="single" w:color="auto"/>
          <w:color w:val="0000FF"/>
        </w:rPr>
      </w:pPr>
    </w:p>
    <w:p>
      <w:pPr>
        <w:jc w:val="both"/>
        <w:spacing w:after="0" w:line="258" w:lineRule="auto"/>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 10.5 of Amendment No. 4 to the Company's Registration Statement on Form S-1, filed April 30, 2015).</w:t>
      </w:r>
    </w:p>
    <w:p>
      <w:pPr>
        <w:spacing w:after="0" w:line="32" w:lineRule="exact"/>
        <w:rPr>
          <w:rFonts w:ascii="Arial" w:cs="Arial" w:eastAsia="Arial" w:hAnsi="Arial"/>
          <w:sz w:val="14"/>
          <w:szCs w:val="14"/>
          <w:u w:val="single" w:color="auto"/>
          <w:color w:val="0000FF"/>
        </w:rPr>
      </w:pPr>
    </w:p>
    <w:p>
      <w:pPr>
        <w:jc w:val="both"/>
        <w:spacing w:after="0" w:line="250" w:lineRule="auto"/>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 Partners LLC and the other lenders party thereto (incorporated by reference to Exhibit 10.6 of Amendment No. 4 to the Company's Registration Statement on Form S-1, filed April 30, 2015).</w:t>
      </w: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366" w:lineRule="exact"/>
        <w:rPr>
          <w:rFonts w:ascii="Arial" w:cs="Arial" w:eastAsia="Arial" w:hAnsi="Arial"/>
          <w:sz w:val="14"/>
          <w:szCs w:val="14"/>
          <w:u w:val="single" w:color="auto"/>
          <w:color w:val="0000FF"/>
        </w:rPr>
      </w:pPr>
    </w:p>
    <w:p>
      <w:pPr>
        <w:ind w:left="4140"/>
        <w:spacing w:after="0"/>
        <w:rPr>
          <w:sz w:val="20"/>
          <w:szCs w:val="20"/>
          <w:color w:val="auto"/>
        </w:rPr>
      </w:pPr>
      <w:r>
        <w:rPr>
          <w:rFonts w:ascii="Arial" w:cs="Arial" w:eastAsia="Arial" w:hAnsi="Arial"/>
          <w:sz w:val="14"/>
          <w:szCs w:val="14"/>
          <w:color w:val="auto"/>
        </w:rPr>
        <w:t>108</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-934085</wp:posOffset>
            </wp:positionH>
            <wp:positionV relativeFrom="paragraph">
              <wp:posOffset>53340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320" w:space="140"/>
            <w:col w:w="9940"/>
          </w:cols>
          <w:pgMar w:left="240" w:top="1256" w:right="259" w:bottom="1440" w:gutter="0" w:footer="0" w:header="0"/>
          <w:type w:val="continuous"/>
        </w:sectPr>
      </w:pPr>
    </w:p>
    <w:bookmarkStart w:id="109" w:name="page110"/>
    <w:bookmarkEnd w:id="109"/>
    <w:p>
      <w:pPr>
        <w:ind w:left="420"/>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4662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40" w:lineRule="exact"/>
        <w:rPr>
          <w:sz w:val="20"/>
          <w:szCs w:val="20"/>
          <w:color w:val="auto"/>
        </w:rPr>
      </w:pPr>
    </w:p>
    <w:p>
      <w:pPr>
        <w:ind w:left="1020"/>
        <w:spacing w:after="0"/>
        <w:tabs>
          <w:tab w:leader="none" w:pos="1420" w:val="left"/>
        </w:tabs>
        <w:rPr>
          <w:rFonts w:ascii="Arial" w:cs="Arial" w:eastAsia="Arial" w:hAnsi="Arial"/>
          <w:sz w:val="14"/>
          <w:szCs w:val="14"/>
          <w:color w:val="0000FF"/>
        </w:rPr>
      </w:pPr>
      <w:hyperlink r:id="rId180">
        <w:r>
          <w:rPr>
            <w:rFonts w:ascii="Arial" w:cs="Arial" w:eastAsia="Arial" w:hAnsi="Arial"/>
            <w:sz w:val="14"/>
            <w:szCs w:val="14"/>
            <w:u w:val="single" w:color="auto"/>
            <w:color w:val="0000FF"/>
          </w:rPr>
          <w:t>10.7</w:t>
        </w:r>
      </w:hyperlink>
      <w:r>
        <w:rPr>
          <w:rFonts w:ascii="Arial" w:cs="Arial" w:eastAsia="Arial" w:hAnsi="Arial"/>
          <w:sz w:val="14"/>
          <w:szCs w:val="14"/>
          <w:color w:val="0000FF"/>
        </w:rPr>
        <w:tab/>
        <w:t>Trust Indenture and Security Agreement between the District and The Bank of New York Mellon Trust Company, National Association, dated as of February</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 2016 (incorporated by reference to Exhibit 10.7 of the Company's Annual Report on Form 10-K, filed on March 10, 2016).</w:t>
      </w:r>
    </w:p>
    <w:p>
      <w:pPr>
        <w:spacing w:after="0" w:line="42" w:lineRule="exact"/>
        <w:rPr>
          <w:sz w:val="20"/>
          <w:szCs w:val="20"/>
          <w:color w:val="auto"/>
        </w:rPr>
      </w:pPr>
    </w:p>
    <w:p>
      <w:pPr>
        <w:jc w:val="both"/>
        <w:ind w:left="1440" w:hanging="409"/>
        <w:spacing w:after="0" w:line="250" w:lineRule="auto"/>
        <w:tabs>
          <w:tab w:leader="none" w:pos="1420" w:val="left"/>
        </w:tabs>
        <w:rPr>
          <w:rFonts w:ascii="Arial" w:cs="Arial" w:eastAsia="Arial" w:hAnsi="Arial"/>
          <w:sz w:val="14"/>
          <w:szCs w:val="14"/>
          <w:color w:val="0000FF"/>
        </w:rPr>
      </w:pPr>
      <w:hyperlink r:id="rId181">
        <w:r>
          <w:rPr>
            <w:rFonts w:ascii="Arial" w:cs="Arial" w:eastAsia="Arial" w:hAnsi="Arial"/>
            <w:sz w:val="14"/>
            <w:szCs w:val="14"/>
            <w:u w:val="single" w:color="auto"/>
            <w:color w:val="0000FF"/>
          </w:rPr>
          <w:t>10.8</w:t>
        </w:r>
      </w:hyperlink>
      <w:r>
        <w:rPr>
          <w:rFonts w:ascii="Arial" w:cs="Arial" w:eastAsia="Arial" w:hAnsi="Arial"/>
          <w:sz w:val="14"/>
          <w:szCs w:val="14"/>
          <w:color w:val="0000FF"/>
        </w:rPr>
        <w:tab/>
        <w:t>Standby Bond Purchase Agreement among the Port of Beaumont Navigation District of Jefferson County, Texas, The Bank of New York Mellon Trust Company, National Association, Jefferson Railport Terminal II Holdings LLC and Jefferson Railport Terminal II LLC dated as of February 1, 2016 (incorporated by reference to Exhibit 10.8 of the Company's Annual Report on Form 10-K, filed on 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246620" cy="4457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7" w:lineRule="exact"/>
        <w:rPr>
          <w:sz w:val="20"/>
          <w:szCs w:val="20"/>
          <w:color w:val="auto"/>
        </w:rPr>
      </w:pPr>
    </w:p>
    <w:p>
      <w:pPr>
        <w:jc w:val="both"/>
        <w:ind w:left="1440" w:hanging="409"/>
        <w:spacing w:after="0" w:line="248" w:lineRule="auto"/>
        <w:tabs>
          <w:tab w:leader="none" w:pos="1420" w:val="left"/>
        </w:tabs>
        <w:rPr>
          <w:rFonts w:ascii="Arial" w:cs="Arial" w:eastAsia="Arial" w:hAnsi="Arial"/>
          <w:sz w:val="14"/>
          <w:szCs w:val="14"/>
          <w:color w:val="0000FF"/>
        </w:rPr>
      </w:pPr>
      <w:hyperlink r:id="rId183">
        <w:r>
          <w:rPr>
            <w:rFonts w:ascii="Arial" w:cs="Arial" w:eastAsia="Arial" w:hAnsi="Arial"/>
            <w:sz w:val="14"/>
            <w:szCs w:val="14"/>
            <w:u w:val="single" w:color="auto"/>
            <w:color w:val="0000FF"/>
          </w:rPr>
          <w:t>10.9</w:t>
        </w:r>
      </w:hyperlink>
      <w:r>
        <w:rPr>
          <w:rFonts w:ascii="Arial" w:cs="Arial" w:eastAsia="Arial" w:hAnsi="Arial"/>
          <w:sz w:val="14"/>
          <w:szCs w:val="14"/>
          <w:color w:val="0000FF"/>
        </w:rPr>
        <w:tab/>
        <w:t>Capital Call Agreement, by and among Fortress Transportation and Infrastructure Investors LLC, FTAI Energy Holdings LLC, FTAI Partner Holdings LLC, FTAI Midstream GP Holdings LLC, FTAI Midstream GP LLC, FTAI Midstream Holdings LLC, FTAI Energy Partners LLC and Jefferson Railport Terminal II Holdings LLC, dated as of February 1, 2016 (incorporated by reference to Exhibit 10.9 of the Company's Annual Report on Form 10-K, filed on March 10, 2016).</w:t>
      </w:r>
    </w:p>
    <w:p>
      <w:pPr>
        <w:spacing w:after="0" w:line="203" w:lineRule="exact"/>
        <w:rPr>
          <w:sz w:val="20"/>
          <w:szCs w:val="20"/>
          <w:color w:val="auto"/>
        </w:rPr>
      </w:pPr>
    </w:p>
    <w:p>
      <w:pPr>
        <w:jc w:val="both"/>
        <w:ind w:left="1440" w:hanging="489"/>
        <w:spacing w:after="0" w:line="253" w:lineRule="auto"/>
        <w:tabs>
          <w:tab w:leader="none" w:pos="1420" w:val="left"/>
        </w:tabs>
        <w:rPr>
          <w:rFonts w:ascii="Arial" w:cs="Arial" w:eastAsia="Arial" w:hAnsi="Arial"/>
          <w:sz w:val="14"/>
          <w:szCs w:val="14"/>
          <w:color w:val="0000FF"/>
        </w:rPr>
      </w:pPr>
      <w:hyperlink r:id="rId184">
        <w:r>
          <w:rPr>
            <w:rFonts w:ascii="Arial" w:cs="Arial" w:eastAsia="Arial" w:hAnsi="Arial"/>
            <w:sz w:val="14"/>
            <w:szCs w:val="14"/>
            <w:u w:val="single" w:color="auto"/>
            <w:color w:val="0000FF"/>
          </w:rPr>
          <w:t>10.10</w:t>
        </w:r>
      </w:hyperlink>
      <w:r>
        <w:rPr>
          <w:rFonts w:ascii="Arial" w:cs="Arial" w:eastAsia="Arial" w:hAnsi="Arial"/>
          <w:sz w:val="14"/>
          <w:szCs w:val="14"/>
          <w:color w:val="0000FF"/>
        </w:rPr>
        <w:tab/>
        <w:t>Fee and Support Agreement, among FTAI Energy Holdings LLC, FEP Terminal Holdings LLC, FTAI Energy Partners LLC and Jefferson Railport Terminal II LLC, dated as of March 7, 2016 (incorporated by reference to Exhibit 10.10 of the Company's Amended Annual Report on Form 10-K/A, filed on 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46620" cy="342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81" w:lineRule="exact"/>
        <w:rPr>
          <w:sz w:val="20"/>
          <w:szCs w:val="20"/>
          <w:color w:val="auto"/>
        </w:rPr>
      </w:pPr>
    </w:p>
    <w:p>
      <w:pPr>
        <w:jc w:val="both"/>
        <w:ind w:left="1440" w:hanging="489"/>
        <w:spacing w:after="0" w:line="250" w:lineRule="auto"/>
        <w:tabs>
          <w:tab w:leader="none" w:pos="1420" w:val="left"/>
        </w:tabs>
        <w:rPr>
          <w:rFonts w:ascii="Arial" w:cs="Arial" w:eastAsia="Arial" w:hAnsi="Arial"/>
          <w:sz w:val="14"/>
          <w:szCs w:val="14"/>
          <w:color w:val="0000FF"/>
        </w:rPr>
      </w:pPr>
      <w:hyperlink r:id="rId186">
        <w:r>
          <w:rPr>
            <w:rFonts w:ascii="Arial" w:cs="Arial" w:eastAsia="Arial" w:hAnsi="Arial"/>
            <w:sz w:val="14"/>
            <w:szCs w:val="14"/>
            <w:u w:val="single" w:color="auto"/>
            <w:color w:val="0000FF"/>
          </w:rPr>
          <w:t>10.11</w:t>
        </w:r>
      </w:hyperlink>
      <w:r>
        <w:rPr>
          <w:rFonts w:ascii="Arial" w:cs="Arial" w:eastAsia="Arial" w:hAnsi="Arial"/>
          <w:sz w:val="14"/>
          <w:szCs w:val="14"/>
          <w:color w:val="0000FF"/>
        </w:rPr>
        <w:tab/>
        <w:t>Lease and Development Agreement (Facilities Lease), dated as of February 1, 2016, by and between the Port of Beaumont Navigation District of Jefferson County, Texas and Jefferson Railport Terminal II LLC (incorporated by reference to Exhibit 10.11 of the Company's Annual Report on Form 10-K, filed on March 10, 2016).</w:t>
      </w:r>
    </w:p>
    <w:p>
      <w:pPr>
        <w:spacing w:after="0" w:line="37" w:lineRule="exact"/>
        <w:rPr>
          <w:sz w:val="20"/>
          <w:szCs w:val="20"/>
          <w:color w:val="auto"/>
        </w:rPr>
      </w:pPr>
    </w:p>
    <w:p>
      <w:pPr>
        <w:jc w:val="both"/>
        <w:ind w:left="1440" w:hanging="489"/>
        <w:spacing w:after="0" w:line="258" w:lineRule="auto"/>
        <w:tabs>
          <w:tab w:leader="none" w:pos="1420" w:val="left"/>
        </w:tabs>
        <w:rPr>
          <w:rFonts w:ascii="Arial" w:cs="Arial" w:eastAsia="Arial" w:hAnsi="Arial"/>
          <w:sz w:val="14"/>
          <w:szCs w:val="14"/>
          <w:color w:val="0000FF"/>
        </w:rPr>
      </w:pPr>
      <w:hyperlink r:id="rId187">
        <w:r>
          <w:rPr>
            <w:rFonts w:ascii="Arial" w:cs="Arial" w:eastAsia="Arial" w:hAnsi="Arial"/>
            <w:sz w:val="14"/>
            <w:szCs w:val="14"/>
            <w:u w:val="single" w:color="auto"/>
            <w:color w:val="0000FF"/>
          </w:rPr>
          <w:t>10.12</w:t>
        </w:r>
      </w:hyperlink>
      <w:r>
        <w:rPr>
          <w:rFonts w:ascii="Arial" w:cs="Arial" w:eastAsia="Arial" w:hAnsi="Arial"/>
          <w:sz w:val="14"/>
          <w:szCs w:val="14"/>
          <w:color w:val="0000FF"/>
        </w:rPr>
        <w:tab/>
        <w:t>Deed of Trust of Jefferson Railport Terminal II LLC, dated as of February 1, 2016 (incorporated by reference to Exhibit 10.12 of the Company's Annual Report on Form 10-K, filed on 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246620" cy="445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2" w:lineRule="exact"/>
        <w:rPr>
          <w:sz w:val="20"/>
          <w:szCs w:val="20"/>
          <w:color w:val="auto"/>
        </w:rPr>
      </w:pPr>
    </w:p>
    <w:p>
      <w:pPr>
        <w:jc w:val="both"/>
        <w:ind w:left="1440" w:hanging="489"/>
        <w:spacing w:after="0" w:line="247" w:lineRule="auto"/>
        <w:tabs>
          <w:tab w:leader="none" w:pos="1420" w:val="left"/>
        </w:tabs>
        <w:rPr>
          <w:rFonts w:ascii="Arial" w:cs="Arial" w:eastAsia="Arial" w:hAnsi="Arial"/>
          <w:sz w:val="14"/>
          <w:szCs w:val="14"/>
          <w:color w:val="0000FF"/>
        </w:rPr>
      </w:pPr>
      <w:hyperlink r:id="rId189">
        <w:r>
          <w:rPr>
            <w:rFonts w:ascii="Arial" w:cs="Arial" w:eastAsia="Arial" w:hAnsi="Arial"/>
            <w:sz w:val="14"/>
            <w:szCs w:val="14"/>
            <w:u w:val="single" w:color="auto"/>
            <w:color w:val="0000FF"/>
          </w:rPr>
          <w:t>10.13</w:t>
        </w:r>
      </w:hyperlink>
      <w:r>
        <w:rPr>
          <w:rFonts w:ascii="Arial" w:cs="Arial" w:eastAsia="Arial" w:hAnsi="Arial"/>
          <w:sz w:val="14"/>
          <w:szCs w:val="14"/>
          <w:color w:val="0000FF"/>
        </w:rPr>
        <w:tab/>
        <w:t>Credit Agreement, dated January 23, 2017, among Fortress Transportation and Infrastructure Investors LLC, as holdings, Fortress Worldwide Transportation and Infrastructure General Partnership, as IntermediateCo, WWTAI Finance Ltd., as Borrower, the Subsidiary Guarantors from time to time party thereto, the lenders from time to time party thereto and Morgan Stanley Senior Funding, Inc., as Administrative Agent (incorporated by reference to Exhibit 10.1 of the Company's Current Report on Form 8-K, filed on January 27, 2017).</w:t>
      </w:r>
    </w:p>
    <w:p>
      <w:pPr>
        <w:spacing w:after="0" w:line="40" w:lineRule="exact"/>
        <w:rPr>
          <w:sz w:val="20"/>
          <w:szCs w:val="20"/>
          <w:color w:val="auto"/>
        </w:rPr>
      </w:pPr>
    </w:p>
    <w:p>
      <w:pPr>
        <w:jc w:val="both"/>
        <w:ind w:left="1440" w:hanging="489"/>
        <w:spacing w:after="0" w:line="250" w:lineRule="auto"/>
        <w:tabs>
          <w:tab w:leader="none" w:pos="1420" w:val="left"/>
        </w:tabs>
        <w:rPr>
          <w:rFonts w:ascii="Arial" w:cs="Arial" w:eastAsia="Arial" w:hAnsi="Arial"/>
          <w:sz w:val="14"/>
          <w:szCs w:val="14"/>
          <w:color w:val="0000FF"/>
        </w:rPr>
      </w:pPr>
      <w:hyperlink r:id="rId190">
        <w:r>
          <w:rPr>
            <w:rFonts w:ascii="Arial" w:cs="Arial" w:eastAsia="Arial" w:hAnsi="Arial"/>
            <w:sz w:val="14"/>
            <w:szCs w:val="14"/>
            <w:u w:val="single" w:color="auto"/>
            <w:color w:val="0000FF"/>
          </w:rPr>
          <w:t>10.14</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246620" cy="342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 w:lineRule="exact"/>
        <w:rPr>
          <w:sz w:val="20"/>
          <w:szCs w:val="20"/>
          <w:color w:val="auto"/>
        </w:rPr>
      </w:pPr>
    </w:p>
    <w:p>
      <w:pPr>
        <w:jc w:val="both"/>
        <w:ind w:left="1440" w:hanging="489"/>
        <w:spacing w:after="0" w:line="250" w:lineRule="auto"/>
        <w:tabs>
          <w:tab w:leader="none" w:pos="1420" w:val="left"/>
        </w:tabs>
        <w:rPr>
          <w:rFonts w:ascii="Arial" w:cs="Arial" w:eastAsia="Arial" w:hAnsi="Arial"/>
          <w:sz w:val="14"/>
          <w:szCs w:val="14"/>
          <w:color w:val="0000FF"/>
        </w:rPr>
      </w:pPr>
      <w:hyperlink r:id="rId192">
        <w:r>
          <w:rPr>
            <w:rFonts w:ascii="Arial" w:cs="Arial" w:eastAsia="Arial" w:hAnsi="Arial"/>
            <w:sz w:val="14"/>
            <w:szCs w:val="14"/>
            <w:u w:val="single" w:color="auto"/>
            <w:color w:val="0000FF"/>
          </w:rPr>
          <w:t>10.15</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37" w:lineRule="exact"/>
        <w:rPr>
          <w:sz w:val="20"/>
          <w:szCs w:val="20"/>
          <w:color w:val="auto"/>
        </w:rPr>
      </w:pPr>
    </w:p>
    <w:p>
      <w:pPr>
        <w:jc w:val="both"/>
        <w:ind w:left="1440" w:hanging="489"/>
        <w:spacing w:after="0" w:line="247" w:lineRule="auto"/>
        <w:tabs>
          <w:tab w:leader="none" w:pos="1420" w:val="left"/>
        </w:tabs>
        <w:rPr>
          <w:rFonts w:ascii="Arial" w:cs="Arial" w:eastAsia="Arial" w:hAnsi="Arial"/>
          <w:sz w:val="14"/>
          <w:szCs w:val="14"/>
          <w:color w:val="0000FF"/>
        </w:rPr>
      </w:pPr>
      <w:hyperlink r:id="rId193">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246620" cy="4457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p>
    <w:p>
      <w:pPr>
        <w:jc w:val="both"/>
        <w:ind w:left="1440" w:hanging="489"/>
        <w:spacing w:after="0" w:line="247" w:lineRule="auto"/>
        <w:tabs>
          <w:tab w:leader="none" w:pos="1420" w:val="left"/>
        </w:tabs>
        <w:rPr>
          <w:rFonts w:ascii="Arial" w:cs="Arial" w:eastAsia="Arial" w:hAnsi="Arial"/>
          <w:sz w:val="14"/>
          <w:szCs w:val="14"/>
          <w:color w:val="0000FF"/>
        </w:rPr>
      </w:pPr>
      <w:hyperlink r:id="rId195">
        <w:r>
          <w:rPr>
            <w:rFonts w:ascii="Arial" w:cs="Arial" w:eastAsia="Arial" w:hAnsi="Arial"/>
            <w:sz w:val="14"/>
            <w:szCs w:val="14"/>
            <w:u w:val="single" w:color="auto"/>
            <w:color w:val="0000FF"/>
          </w:rPr>
          <w:t>10.17</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40" w:lineRule="exact"/>
        <w:rPr>
          <w:sz w:val="20"/>
          <w:szCs w:val="20"/>
          <w:color w:val="auto"/>
        </w:rPr>
      </w:pPr>
    </w:p>
    <w:p>
      <w:pPr>
        <w:ind w:left="1440" w:hanging="1434"/>
        <w:spacing w:after="0" w:line="226" w:lineRule="auto"/>
        <w:tabs>
          <w:tab w:leader="none" w:pos="950" w:val="left"/>
        </w:tabs>
        <w:numPr>
          <w:ilvl w:val="0"/>
          <w:numId w:val="48"/>
        </w:numPr>
        <w:rPr>
          <w:rFonts w:ascii="Arial" w:cs="Arial" w:eastAsia="Arial" w:hAnsi="Arial"/>
          <w:sz w:val="14"/>
          <w:szCs w:val="14"/>
          <w:color w:val="0000FF"/>
        </w:rPr>
      </w:pPr>
      <w:hyperlink r:id="rId196">
        <w:r>
          <w:rPr>
            <w:rFonts w:ascii="Arial" w:cs="Arial" w:eastAsia="Arial" w:hAnsi="Arial"/>
            <w:sz w:val="14"/>
            <w:szCs w:val="14"/>
            <w:u w:val="single" w:color="auto"/>
            <w:color w:val="0000FF"/>
          </w:rPr>
          <w:t>10.18</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31" w:lineRule="exact"/>
        <w:rPr>
          <w:rFonts w:ascii="Arial" w:cs="Arial" w:eastAsia="Arial" w:hAnsi="Arial"/>
          <w:sz w:val="14"/>
          <w:szCs w:val="14"/>
          <w:color w:val="0000FF"/>
        </w:rPr>
      </w:pPr>
    </w:p>
    <w:p>
      <w:pPr>
        <w:ind w:left="1440" w:hanging="1434"/>
        <w:spacing w:after="0"/>
        <w:tabs>
          <w:tab w:leader="none" w:pos="950" w:val="left"/>
        </w:tabs>
        <w:numPr>
          <w:ilvl w:val="0"/>
          <w:numId w:val="48"/>
        </w:numPr>
        <w:rPr>
          <w:rFonts w:ascii="Arial" w:cs="Arial" w:eastAsia="Arial" w:hAnsi="Arial"/>
          <w:sz w:val="14"/>
          <w:szCs w:val="14"/>
          <w:color w:val="0000FF"/>
        </w:rPr>
      </w:pPr>
      <w:hyperlink r:id="rId197">
        <w:r>
          <w:rPr>
            <w:rFonts w:ascii="Arial" w:cs="Arial" w:eastAsia="Arial" w:hAnsi="Arial"/>
            <w:sz w:val="14"/>
            <w:szCs w:val="14"/>
            <w:u w:val="single" w:color="auto"/>
            <w:color w:val="0000FF"/>
          </w:rPr>
          <w:t>10.19</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246620" cy="342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52" w:lineRule="exact"/>
        <w:rPr>
          <w:rFonts w:ascii="Arial" w:cs="Arial" w:eastAsia="Arial" w:hAnsi="Arial"/>
          <w:sz w:val="18"/>
          <w:szCs w:val="18"/>
          <w:color w:val="auto"/>
        </w:rPr>
      </w:pPr>
    </w:p>
    <w:p>
      <w:pPr>
        <w:jc w:val="both"/>
        <w:ind w:left="1440" w:hanging="489"/>
        <w:spacing w:after="0" w:line="250" w:lineRule="auto"/>
        <w:tabs>
          <w:tab w:leader="none" w:pos="1420" w:val="left"/>
        </w:tabs>
        <w:rPr>
          <w:rFonts w:ascii="Arial" w:cs="Arial" w:eastAsia="Arial" w:hAnsi="Arial"/>
          <w:sz w:val="14"/>
          <w:szCs w:val="14"/>
          <w:color w:val="0000FF"/>
        </w:rPr>
      </w:pPr>
      <w:hyperlink r:id="rId199">
        <w:r>
          <w:rPr>
            <w:rFonts w:ascii="Arial" w:cs="Arial" w:eastAsia="Arial" w:hAnsi="Arial"/>
            <w:sz w:val="14"/>
            <w:szCs w:val="14"/>
            <w:u w:val="single" w:color="auto"/>
            <w:color w:val="0000FF"/>
          </w:rPr>
          <w:t>10.20</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246620" cy="3429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 w:lineRule="exact"/>
        <w:rPr>
          <w:rFonts w:ascii="Arial" w:cs="Arial" w:eastAsia="Arial" w:hAnsi="Arial"/>
          <w:sz w:val="18"/>
          <w:szCs w:val="18"/>
          <w:color w:val="auto"/>
        </w:rPr>
      </w:pPr>
    </w:p>
    <w:p>
      <w:pPr>
        <w:jc w:val="both"/>
        <w:ind w:left="1440" w:hanging="489"/>
        <w:spacing w:after="0" w:line="250" w:lineRule="auto"/>
        <w:tabs>
          <w:tab w:leader="none" w:pos="1420" w:val="left"/>
        </w:tabs>
        <w:rPr>
          <w:rFonts w:ascii="Arial" w:cs="Arial" w:eastAsia="Arial" w:hAnsi="Arial"/>
          <w:sz w:val="14"/>
          <w:szCs w:val="14"/>
          <w:color w:val="0000FF"/>
        </w:rPr>
      </w:pPr>
      <w:hyperlink r:id="rId201">
        <w:r>
          <w:rPr>
            <w:rFonts w:ascii="Arial" w:cs="Arial" w:eastAsia="Arial" w:hAnsi="Arial"/>
            <w:sz w:val="14"/>
            <w:szCs w:val="14"/>
            <w:u w:val="single" w:color="auto"/>
            <w:color w:val="0000FF"/>
          </w:rPr>
          <w:t>10.21</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37" w:lineRule="exact"/>
        <w:rPr>
          <w:rFonts w:ascii="Arial" w:cs="Arial" w:eastAsia="Arial" w:hAnsi="Arial"/>
          <w:sz w:val="18"/>
          <w:szCs w:val="18"/>
          <w:color w:val="auto"/>
        </w:rPr>
      </w:pPr>
    </w:p>
    <w:p>
      <w:pPr>
        <w:ind w:left="1440" w:hanging="1434"/>
        <w:spacing w:after="0" w:line="278" w:lineRule="auto"/>
        <w:tabs>
          <w:tab w:leader="none" w:pos="950" w:val="left"/>
        </w:tabs>
        <w:numPr>
          <w:ilvl w:val="0"/>
          <w:numId w:val="49"/>
        </w:numPr>
        <w:rPr>
          <w:rFonts w:ascii="Arial" w:cs="Arial" w:eastAsia="Arial" w:hAnsi="Arial"/>
          <w:sz w:val="14"/>
          <w:szCs w:val="14"/>
          <w:color w:val="0000FF"/>
        </w:rPr>
      </w:pPr>
      <w:hyperlink r:id="rId202">
        <w:r>
          <w:rPr>
            <w:rFonts w:ascii="Arial" w:cs="Arial" w:eastAsia="Arial" w:hAnsi="Arial"/>
            <w:sz w:val="14"/>
            <w:szCs w:val="14"/>
            <w:u w:val="single" w:color="auto"/>
            <w:color w:val="0000FF"/>
          </w:rPr>
          <w:t>10.22</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 (incorporated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 of the Company’s Current Report on Form 8-K, filed on January 17, 2018).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20"/>
        <w:spacing w:after="0"/>
        <w:tabs>
          <w:tab w:leader="none" w:pos="1420" w:val="left"/>
        </w:tabs>
        <w:rPr>
          <w:rFonts w:ascii="Arial" w:cs="Arial" w:eastAsia="Arial" w:hAnsi="Arial"/>
          <w:sz w:val="14"/>
          <w:szCs w:val="14"/>
          <w:color w:val="0000FF"/>
        </w:rPr>
      </w:pPr>
      <w:hyperlink w:anchor="page137">
        <w:r>
          <w:rPr>
            <w:rFonts w:ascii="Arial" w:cs="Arial" w:eastAsia="Arial" w:hAnsi="Arial"/>
            <w:sz w:val="14"/>
            <w:szCs w:val="14"/>
            <w:u w:val="single" w:color="auto"/>
            <w:color w:val="0000FF"/>
          </w:rPr>
          <w:t>21.1</w:t>
        </w:r>
      </w:hyperlink>
      <w:r>
        <w:rPr>
          <w:rFonts w:ascii="Arial" w:cs="Arial" w:eastAsia="Arial" w:hAnsi="Arial"/>
          <w:sz w:val="14"/>
          <w:szCs w:val="14"/>
          <w:color w:val="0000FF"/>
        </w:rPr>
        <w:tab/>
        <w:t>Subsidiaries of Fortress Transportation and Infrastructure Investors LLC.</w:t>
      </w:r>
    </w:p>
    <w:p>
      <w:pPr>
        <w:spacing w:after="0" w:line="55" w:lineRule="exact"/>
        <w:rPr>
          <w:rFonts w:ascii="Arial" w:cs="Arial" w:eastAsia="Arial" w:hAnsi="Arial"/>
          <w:sz w:val="18"/>
          <w:szCs w:val="18"/>
          <w:color w:val="auto"/>
        </w:rPr>
      </w:pPr>
    </w:p>
    <w:p>
      <w:pPr>
        <w:ind w:left="1020"/>
        <w:spacing w:after="0"/>
        <w:tabs>
          <w:tab w:leader="none" w:pos="1420" w:val="left"/>
        </w:tabs>
        <w:rPr>
          <w:rFonts w:ascii="Arial" w:cs="Arial" w:eastAsia="Arial" w:hAnsi="Arial"/>
          <w:sz w:val="14"/>
          <w:szCs w:val="14"/>
          <w:color w:val="0000FF"/>
        </w:rPr>
      </w:pPr>
      <w:hyperlink w:anchor="page140">
        <w:r>
          <w:rPr>
            <w:rFonts w:ascii="Arial" w:cs="Arial" w:eastAsia="Arial" w:hAnsi="Arial"/>
            <w:sz w:val="14"/>
            <w:szCs w:val="14"/>
            <w:u w:val="single" w:color="auto"/>
            <w:color w:val="0000FF"/>
          </w:rPr>
          <w:t>23.1</w:t>
        </w:r>
      </w:hyperlink>
      <w:r>
        <w:rPr>
          <w:rFonts w:ascii="Arial" w:cs="Arial" w:eastAsia="Arial" w:hAnsi="Arial"/>
          <w:sz w:val="14"/>
          <w:szCs w:val="14"/>
          <w:color w:val="0000FF"/>
        </w:rPr>
        <w:tab/>
        <w:t>Consent of Independent Registered Public Accounting Firm.</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rFonts w:ascii="Arial" w:cs="Arial" w:eastAsia="Arial" w:hAnsi="Arial"/>
          <w:sz w:val="18"/>
          <w:szCs w:val="18"/>
          <w:color w:val="auto"/>
        </w:rPr>
      </w:pPr>
    </w:p>
    <w:p>
      <w:pPr>
        <w:ind w:left="1020"/>
        <w:spacing w:after="0"/>
        <w:tabs>
          <w:tab w:leader="none" w:pos="1420" w:val="left"/>
        </w:tabs>
        <w:rPr>
          <w:rFonts w:ascii="Arial" w:cs="Arial" w:eastAsia="Arial" w:hAnsi="Arial"/>
          <w:sz w:val="14"/>
          <w:szCs w:val="14"/>
          <w:color w:val="0000FF"/>
        </w:rPr>
      </w:pPr>
      <w:hyperlink w:anchor="page141">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55" w:lineRule="exact"/>
        <w:rPr>
          <w:rFonts w:ascii="Arial" w:cs="Arial" w:eastAsia="Arial" w:hAnsi="Arial"/>
          <w:sz w:val="18"/>
          <w:szCs w:val="18"/>
          <w:color w:val="auto"/>
        </w:rPr>
      </w:pPr>
    </w:p>
    <w:p>
      <w:pPr>
        <w:ind w:left="1020"/>
        <w:spacing w:after="0"/>
        <w:tabs>
          <w:tab w:leader="none" w:pos="1420" w:val="left"/>
        </w:tabs>
        <w:rPr>
          <w:rFonts w:ascii="Arial" w:cs="Arial" w:eastAsia="Arial" w:hAnsi="Arial"/>
          <w:sz w:val="14"/>
          <w:szCs w:val="14"/>
          <w:color w:val="0000FF"/>
        </w:rPr>
      </w:pPr>
      <w:hyperlink w:anchor="page142">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rFonts w:ascii="Arial" w:cs="Arial" w:eastAsia="Arial" w:hAnsi="Arial"/>
          <w:sz w:val="18"/>
          <w:szCs w:val="18"/>
          <w:color w:val="auto"/>
        </w:rPr>
      </w:pPr>
    </w:p>
    <w:p>
      <w:pPr>
        <w:ind w:left="1020"/>
        <w:spacing w:after="0"/>
        <w:tabs>
          <w:tab w:leader="none" w:pos="1420" w:val="left"/>
        </w:tabs>
        <w:rPr>
          <w:rFonts w:ascii="Arial" w:cs="Arial" w:eastAsia="Arial" w:hAnsi="Arial"/>
          <w:sz w:val="14"/>
          <w:szCs w:val="14"/>
          <w:color w:val="0000FF"/>
        </w:rPr>
      </w:pPr>
      <w:hyperlink w:anchor="page143">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55" w:lineRule="exact"/>
        <w:rPr>
          <w:rFonts w:ascii="Arial" w:cs="Arial" w:eastAsia="Arial" w:hAnsi="Arial"/>
          <w:sz w:val="18"/>
          <w:szCs w:val="18"/>
          <w:color w:val="auto"/>
        </w:rPr>
      </w:pPr>
    </w:p>
    <w:p>
      <w:pPr>
        <w:ind w:left="1020"/>
        <w:spacing w:after="0"/>
        <w:tabs>
          <w:tab w:leader="none" w:pos="1420" w:val="left"/>
        </w:tabs>
        <w:rPr>
          <w:rFonts w:ascii="Arial" w:cs="Arial" w:eastAsia="Arial" w:hAnsi="Arial"/>
          <w:sz w:val="14"/>
          <w:szCs w:val="14"/>
          <w:color w:val="0000FF"/>
        </w:rPr>
      </w:pPr>
      <w:hyperlink w:anchor="page144">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91" w:right="259" w:bottom="1440" w:gutter="0" w:footer="0" w:header="0"/>
        </w:sectPr>
      </w:pPr>
    </w:p>
    <w:bookmarkStart w:id="110" w:name="page111"/>
    <w:bookmarkEnd w:id="110"/>
    <w:p>
      <w:pPr>
        <w:ind w:left="4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45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3" w:lineRule="exact"/>
        <w:rPr>
          <w:sz w:val="20"/>
          <w:szCs w:val="20"/>
          <w:color w:val="auto"/>
        </w:rPr>
      </w:pPr>
    </w:p>
    <w:p>
      <w:pPr>
        <w:jc w:val="both"/>
        <w:ind w:left="1460" w:hanging="503"/>
        <w:spacing w:after="0" w:line="247" w:lineRule="auto"/>
        <w:tabs>
          <w:tab w:leader="none" w:pos="1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Annual Report on Form 10-K for the year ended December 31, 2019,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40" w:lineRule="exact"/>
        <w:rPr>
          <w:sz w:val="20"/>
          <w:szCs w:val="20"/>
          <w:color w:val="auto"/>
        </w:rPr>
      </w:pPr>
    </w:p>
    <w:p>
      <w:pPr>
        <w:ind w:left="1460" w:hanging="503"/>
        <w:spacing w:after="0"/>
        <w:tabs>
          <w:tab w:leader="none" w:pos="146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1" w:lineRule="exact"/>
        <w:rPr>
          <w:rFonts w:ascii="Arial" w:cs="Arial" w:eastAsia="Arial" w:hAnsi="Arial"/>
          <w:sz w:val="14"/>
          <w:szCs w:val="14"/>
          <w:color w:val="auto"/>
        </w:rPr>
      </w:pPr>
    </w:p>
    <w:p>
      <w:pPr>
        <w:ind w:left="300" w:hanging="274"/>
        <w:spacing w:after="0"/>
        <w:tabs>
          <w:tab w:leader="none" w:pos="3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00" w:hanging="274"/>
        <w:spacing w:after="0"/>
        <w:tabs>
          <w:tab w:leader="none" w:pos="30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0" w:right="2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62" w:lineRule="exact"/>
        <w:rPr>
          <w:sz w:val="20"/>
          <w:szCs w:val="20"/>
          <w:color w:val="auto"/>
        </w:rPr>
      </w:pPr>
    </w:p>
    <w:p>
      <w:pPr>
        <w:ind w:left="20"/>
        <w:spacing w:after="0"/>
        <w:tabs>
          <w:tab w:leader="none" w:pos="580" w:val="left"/>
          <w:tab w:leader="none" w:pos="8300" w:val="left"/>
          <w:tab w:leader="none" w:pos="101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499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Joseph P. Adams, Jr.</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8"/>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Scott Christopher</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184"/>
        </w:trPr>
        <w:tc>
          <w:tcPr>
            <w:tcW w:w="56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Scott Christopher</w:t>
            </w:r>
          </w:p>
        </w:tc>
        <w:tc>
          <w:tcPr>
            <w:tcW w:w="37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37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Nam</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Eun Nam</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Chief Accounting Officer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8"/>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184"/>
        </w:trPr>
        <w:tc>
          <w:tcPr>
            <w:tcW w:w="56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7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740" w:type="dxa"/>
            <w:vAlign w:val="bottom"/>
          </w:tcPr>
          <w:p>
            <w:pPr>
              <w:ind w:left="262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28, 2020</w:t>
            </w:r>
          </w:p>
        </w:tc>
      </w:tr>
      <w:tr>
        <w:trPr>
          <w:trHeight w:val="204"/>
        </w:trPr>
        <w:tc>
          <w:tcPr>
            <w:tcW w:w="56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932" w:right="239" w:bottom="1440" w:gutter="0" w:footer="0" w:header="0"/>
        </w:sectPr>
      </w:pPr>
    </w:p>
    <w:bookmarkStart w:id="112" w:name="page113"/>
    <w:bookmarkEnd w:id="112"/>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12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i w:val="1"/>
          <w:iCs w:val="1"/>
          <w:color w:val="auto"/>
        </w:rPr>
        <w:t>The following description of our common shares, our 8.25% Fixed-to-Floating Rate Series A Cumulative Perpetual Redeemable Preferred Shares (the “Series A Preferred Shares”), our 8.00% Fixed-to-Floating Rate Series B Cumulative Perpetual Redeemable Preferred Shares (the “Series B Preferred Shares”), and certain provisions of Delaware law and our amended and restated limited liability company agreement (as amended, restated, amended and restated, supplemented or otherwise modified from time to time, the “Operating Agreement”) does not purport to be complete and is in all respects subject to, and qualified in its entirety by reference to, all of the provisions of our Operating Agreement and Delaware law.</w:t>
      </w:r>
    </w:p>
    <w:p>
      <w:pPr>
        <w:spacing w:after="0" w:line="6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For purposes of this summary, (i) the term “Company” refers only to Fortress Transportation and Infrastructure Investors LLC, a Delaware limited liability company, and not to any of its subsidiaries and (ii) the terms “our”, “us”, and “we” refer to the Company and its consolidated subsidiaries, unless the context requires otherwise.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Authorized Shares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authorized shares consist of:</w:t>
      </w:r>
    </w:p>
    <w:p>
      <w:pPr>
        <w:spacing w:after="0" w:line="117" w:lineRule="exact"/>
        <w:rPr>
          <w:sz w:val="20"/>
          <w:szCs w:val="20"/>
          <w:color w:val="auto"/>
        </w:rPr>
      </w:pPr>
    </w:p>
    <w:p>
      <w:pPr>
        <w:ind w:left="760" w:hanging="104"/>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2,000,000,000 common shares, par value $0.01 per share (“common shares”); and</w:t>
      </w:r>
    </w:p>
    <w:p>
      <w:pPr>
        <w:spacing w:after="0" w:line="117" w:lineRule="exact"/>
        <w:rPr>
          <w:rFonts w:ascii="Arial" w:cs="Arial" w:eastAsia="Arial" w:hAnsi="Arial"/>
          <w:sz w:val="18"/>
          <w:szCs w:val="18"/>
          <w:color w:val="auto"/>
        </w:rPr>
      </w:pPr>
    </w:p>
    <w:p>
      <w:pPr>
        <w:ind w:left="760" w:hanging="104"/>
        <w:spacing w:after="0"/>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200,000,000 preferred shares, par value $0.01 per share (“preferred shares”), 3,450,000 of which are designated as Series A Preferred Shares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4,600,000 of which are designated as Series B Preferred Shares.</w:t>
      </w:r>
    </w:p>
    <w:p>
      <w:pPr>
        <w:spacing w:after="0" w:line="103" w:lineRule="exact"/>
        <w:rPr>
          <w:sz w:val="20"/>
          <w:szCs w:val="20"/>
          <w:color w:val="auto"/>
        </w:rPr>
      </w:pPr>
    </w:p>
    <w:p>
      <w:pPr>
        <w:ind w:right="380" w:firstLine="360"/>
        <w:spacing w:after="0" w:line="375" w:lineRule="auto"/>
        <w:rPr>
          <w:sz w:val="20"/>
          <w:szCs w:val="20"/>
          <w:color w:val="auto"/>
        </w:rPr>
      </w:pPr>
      <w:r>
        <w:rPr>
          <w:rFonts w:ascii="Arial" w:cs="Arial" w:eastAsia="Arial" w:hAnsi="Arial"/>
          <w:sz w:val="18"/>
          <w:szCs w:val="18"/>
          <w:color w:val="auto"/>
        </w:rPr>
        <w:t xml:space="preserve">All the outstanding shares of our common shares and our Series A Preferred Shares and Series B Preferred Shares are fully paid and non-assessable. </w:t>
      </w:r>
      <w:r>
        <w:rPr>
          <w:rFonts w:ascii="Arial" w:cs="Arial" w:eastAsia="Arial" w:hAnsi="Arial"/>
          <w:sz w:val="18"/>
          <w:szCs w:val="18"/>
          <w:b w:val="1"/>
          <w:bCs w:val="1"/>
          <w:u w:val="single" w:color="auto"/>
          <w:color w:val="auto"/>
        </w:rPr>
        <w:t>Common Shares</w:t>
      </w:r>
    </w:p>
    <w:p>
      <w:pPr>
        <w:spacing w:after="0" w:line="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No holder of common shares is entitled to preemptive, preferential or similar rights or redemption or conversion rights. Holders of common shares are entitled to one vote per share on all matters submitted to a vote of holders of common shares. Unless a different majority is required by law or by our Operating Agreement, resolutions to be approved by holders of common shares require approval by a simple majority of votes cast at a meeting at which a quorum is present.</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holder of common shares is entitled to one vote for each common share held on all matters submitted to a vote of shareholders. Except as provided with respect to any other class or series of shares, the holders of our common shares will possess the exclusive right to vote for the election of directors and for all other purposes. Our Operating Agreement does not provide for cumulative voting in the election of directors, which means that the holders of a majority of the outstanding common shares can elect all of the directors standing for election, and the holders of the remaining shares are not able to elect any directors.</w:t>
      </w:r>
    </w:p>
    <w:p>
      <w:pPr>
        <w:spacing w:after="0" w:line="8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while any Series A Preferred Shares or Series B Preferred Shares remain outstanding, unless the full cumulative distributions on past distribution periods for such shares have been or contemporaneously are declared and paid in full or declared and a sum sufficient for the payment of those distributions set aside, we are generally prohibited from declaring and paying or setting aside any dividends on our common shares. See “Series A Preferred Shares—Priority Regarding Distributions” and “Series B Preferred Shares—Priority Regarding Distributions.” Any rights of holders of our common shares to receive dividends, if any, declared from time to time by our board of directors out of legally available funds will also be subject to any preferred rights of holders of any additional preferred shares that we may issue in the future.</w:t>
      </w:r>
    </w:p>
    <w:p>
      <w:pPr>
        <w:sectPr>
          <w:pgSz w:w="11900" w:h="16838" w:orient="portrait"/>
          <w:cols w:equalWidth="0" w:num="1">
            <w:col w:w="11420"/>
          </w:cols>
          <w:pgMar w:left="240" w:top="1440" w:right="239" w:bottom="1440" w:gutter="0" w:footer="0" w:header="0"/>
        </w:sectPr>
      </w:pPr>
    </w:p>
    <w:bookmarkStart w:id="113" w:name="page114"/>
    <w:bookmarkEnd w:id="113"/>
    <w:p>
      <w:pPr>
        <w:spacing w:after="0" w:line="9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amended and restated partnership agreement of Fortress Worldwide Transportation and Infrastructure General Partnership,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5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holder of our common shares is admitted as a member of our limited liability company and deemed to have agreed to be bound by the terms of the Operating Agreement. Pursuant to the Operation Agreement, each holder of our common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 the event of our liquidation, dissolution or winding up, the holders of our common shares are entitled to share ratably in all assets remaining after the payment of liabilities, subject to any rights of holders of our preferred shares prior to distribution.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shares trade on the New York Stock Exchange (“NYSE”) under the symbol “FTAI”.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Operating Agreement authorizes the Company to issue up to 200,000,000 preferred shares in one or more series, and the Company’s board of directors is authorized to fix the number of shares of each series and determine the rights, designations, preferences, powers and duties of any such series. The “8.25% Fixed-to-Floating Rate Series A Cumulative Perpetual Redeemable Preferred Shares” are designated as one series of our authorized preferred shares, consisting of 3,450,000 Series A Preferred Shares.</w:t>
      </w:r>
    </w:p>
    <w:p>
      <w:pPr>
        <w:spacing w:after="0" w:line="7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The Series A Preferred Shares represent perpetual equity interests in us and, unlike our indebtedness, do not give rise to a claim for payment of a principal amount at a particular date. As such, the Series A Preferred Shares rank junior to all of our current and future indebtedness and other liabilities with respect to assets available to satisfy claims against us. The Series A Preferred Shares have a fixed liquidation preference of $25.00 per Series A Preferred Share, plus an amount equal to accumulated and unpaid distributions thereon, if any, to, but excluding, the date of payment, whether or not declared;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rights of the holders of Series A Preferred Shares to receive the liquidation preference will be subject to the proportional rights of holders of Parity Securities (as defined below) and to the other matters described under “—Liquidation Rights”.</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All of the Series A Preferred Shares are represented by a single certificate issued to The Depository Trust Company (and its successors or assigns or any other securities depositary selected by us) (the “Securities Depositary”) and registered in the name of its nominee. So long as a Securities Depositary has been appointed and is serving, no person acquiring Series A Preferred Shares will be entitled to receive a certificate representing such Series A Preferred Shares unless applicable law otherwise requires or the Securities Depositary resigns or is no longer eligible to act as such and a successor is not appointed. See “— Book-Entry System”.</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holder of Series A Preferred Shares is admitted as a member of our limited liability company and deemed to have agreed to be bound by the terms of the Operating Agreement. Pursuant to the Operating Agreement, each holder of Series A Preferred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Preferred Shares trade on the NYSE under the symbol “FTAI PR A”.</w:t>
      </w:r>
    </w:p>
    <w:p>
      <w:pPr>
        <w:sectPr>
          <w:pgSz w:w="11900" w:h="16838" w:orient="portrait"/>
          <w:cols w:equalWidth="0" w:num="1">
            <w:col w:w="11420"/>
          </w:cols>
          <w:pgMar w:left="240" w:top="1440" w:right="239" w:bottom="1440" w:gutter="0" w:footer="0" w:header="0"/>
        </w:sectPr>
      </w:pPr>
    </w:p>
    <w:bookmarkStart w:id="114" w:name="page115"/>
    <w:bookmarkEnd w:id="114"/>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 xml:space="preserve">With respect to the payment of distributions and rights (including redemption rights) upon our liquidation, dissolution or winding up, the Series A Preferred Shares rank (i) senior and prior to our common shares and any class or series of preferred shares that by its terms is designated as ranking junior to the Series A Preferred Shares, (ii)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class or series of preferred shares that by its terms is designated as ranking equal to the Series A Preferred Shares or does not state it is junior or senior to the Series A Preferred Shares (including our Series B Preferred Shares), (iii) junior to any class or series of preferred shares that is expressly designated as ranking senior to the Series A Preferred Shares (subject to receipt of any requisite consents prior to issuance) and (iv) effectively junior to all of our existing and future indebtedness (including indebtedness convertible into our common shares or preferred shares) and other liabilities and to all liabilities and any preferred equity of our existing subsidiaries and any future subsidiaries.</w:t>
      </w:r>
    </w:p>
    <w:p>
      <w:pPr>
        <w:spacing w:after="0" w:line="5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Series A Preferred Shares are not convertible into, or exchangeable for, shares of any other class or series of our Capital Stock (as defined herein) or other securities and will not be subject to any sinking fund or other obligation to redeem or repurchase the Series A Preferred Shares. The Series A Preferred Shares are not secured, are not guaranteed by us or any of our affiliates and are not subject to any other arrangement that legally or economically enhances the ranking of the Series A Preferred Shares.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Holders of the Series A Preferred Shares are entitled to receive, only when, as, and if declared by our board of directors, out of funds legally available for such purpose, cumulative cash distributions based on the stated liquidation preference of $25.00 per Series A Preferred Share at a rate equal to (i) from, and including, the original issue date of the Series A Preferred Shares to, but excluding, September 15, 2024 (the “Series A Fixed Rate Period”), 8.25% per annum, and (ii) beginning September 15, 2024 (the “Series A Floating Rate Period”), Three-Month LIBOR (as defined below) plus a spread of 688.6 basis points per annum and that sum will be the distribution rate for the applicable Distribution Period. A “Distribution Period” means the period from, and including, each Distribution Payment Date (as defined below) to, but excluding, the next succeeding Distribution Payment Date, except for the initial Distribution Period, which is the period from, and including, the original issue date of the Series A Preferred Shares to, but excluding, the next succeeding Distribution Payment Date.</w:t>
      </w:r>
    </w:p>
    <w:p>
      <w:pPr>
        <w:spacing w:after="0" w:line="84"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When, as, and if declared by our board of directors, we pay cash distributions on the Series A Preferred Shares quarterly, in arrears, on March 15, June 15, September 15 and December 15 of each year (each such date, a “Distribution Payment Date”), which payments began on December 15, 2019. We pay cash distributions to the holders of record of Series A Preferred Shares as they appear on our share register on the applicable record date, which for any Distribution Payment Date shall be the 1st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So long as the Series A Preferred Shares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A Preferred Shares in accordance with the instructions of such beneficial owners.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If any Distribution Payment Date on or prior to September 15, 2024 is a day that is not a business day (as defined below), then declared distributions with respect to that Distribution Payment Date will instead be paid on the immediately succeeding business day, without interest or other payment in respect of such delayed payment. If any Distribution Payment Date after September 15, 2024 is a day that is not a business day, then the Distribution Payment Date will be the immediately succeeding business day, and distributions will accrue to the Distribution Payment Date. A “business day” for the Series A Fixed Rate Period means any weekday in New York, New York that is not a day on which banking institutions in that city are authorized or required by law, regulation, or executive order to be closed. A “business day” for the Series A Floating Rate Period means any weekday in New York, New York that is not a day on which banking institutions in that city are authorized or required by law, regulation, or executive order to be closed, and additionally, is a London banking day (as defined below).</w:t>
      </w:r>
    </w:p>
    <w:p>
      <w:pPr>
        <w:sectPr>
          <w:pgSz w:w="11900" w:h="16838" w:orient="portrait"/>
          <w:cols w:equalWidth="0" w:num="1">
            <w:col w:w="11420"/>
          </w:cols>
          <w:pgMar w:left="240" w:top="1440" w:right="239" w:bottom="1440" w:gutter="0" w:footer="0" w:header="0"/>
        </w:sectPr>
      </w:pPr>
    </w:p>
    <w:bookmarkStart w:id="115" w:name="page116"/>
    <w:bookmarkEnd w:id="115"/>
    <w:p>
      <w:pPr>
        <w:spacing w:after="0" w:line="9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We calculate distributions on the Series A Preferred Shares for the Series A Fixed Rate Period on the basis of a 360-day year consisting of twelve 30-day months. We calculate distributions on the Series A Preferred Shares for the Series A Floating Rate Period on the basis of the actual number of days in a Distribution Period and a 360-day year. Dollar amounts resulting from that calculation are rounded to the nearest cent, with one-half cent being rounded upward. Distributions on the Series A Preferred Shares will cease to accrue after the redemption date, as described below under “—Redemption”, unless we default in the payment of the redemption price of the Series A Preferred Shares called for redemption.</w:t>
      </w:r>
    </w:p>
    <w:p>
      <w:pPr>
        <w:spacing w:after="0" w:line="64"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Distributions on the Series A Preferred Shares are not mandatory. However, distributions on the Series A Preferred Shares accrue from the original issue date, or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A Preferred Shares which may be in arrears, and holders of the Series A Preferred Shares are not entitled to any distribution, whether payable in cash, property, or shares, in excess of full cumulative distributions described above.</w:t>
      </w:r>
    </w:p>
    <w:p>
      <w:pPr>
        <w:spacing w:after="0" w:line="5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If in the future we issue additional shares of the Series A Preferred Shares, distributions on those additional shares will accrue from the most recent Distribution Payment Date at the then-applicable distribution rate.</w:t>
      </w:r>
    </w:p>
    <w:p>
      <w:pPr>
        <w:spacing w:after="0" w:line="6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distribution rate for each Distribution Period in the Series A Floating Rate Period will be determined by the calculation agent using Three-Month LIBOR as in effect on the second London banking day prior to the beginning of the Distribution Period, which date is referred to as the “distribution determination date” for the relevant Distribution Period. The calculation agent then will add Three-Month LIBOR as determined on the distribution determination date and the spread of 688.6 basis points per annum. Once the distribution rate for the Series A Preferred Shares is determined, the calculation agent will deliver that information to us and the transfer agent for the Series A Preferred Shares. Absent manifest error, the calculation agent’s determination of the distribution rate for a Distribution Period for the Series A Preferred Shares will be final. A “London banking day” is any day on which commercial banks are open for dealings in deposits in U.S. dollars in the London interbank market.</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 xml:space="preserve">As used in this description of Series A Preferred Shares, the term “Three-Month LIBOR” means the London interbank offered rate for deposits in U.S. dollars for a three month period (the “three-month LIBOR rate”), as that rate is displayed on Bloomberg on page BBAM1 (or any successor or replacement page) at approximately 11:00 a.m., London time, on the relevant distribution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jc w:val="both"/>
        <w:ind w:firstLine="737"/>
        <w:spacing w:after="0" w:line="297" w:lineRule="auto"/>
        <w:tabs>
          <w:tab w:leader="none" w:pos="944"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50" w:lineRule="exact"/>
        <w:rPr>
          <w:rFonts w:ascii="Arial" w:cs="Arial" w:eastAsia="Arial" w:hAnsi="Arial"/>
          <w:sz w:val="16"/>
          <w:szCs w:val="16"/>
          <w:color w:val="auto"/>
        </w:rPr>
      </w:pPr>
    </w:p>
    <w:p>
      <w:pPr>
        <w:jc w:val="both"/>
        <w:ind w:firstLine="737"/>
        <w:spacing w:after="0" w:line="302" w:lineRule="auto"/>
        <w:tabs>
          <w:tab w:leader="none" w:pos="994"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46" w:lineRule="exact"/>
        <w:rPr>
          <w:rFonts w:ascii="Arial" w:cs="Arial" w:eastAsia="Arial" w:hAnsi="Arial"/>
          <w:sz w:val="16"/>
          <w:szCs w:val="16"/>
          <w:color w:val="auto"/>
        </w:rPr>
      </w:pPr>
    </w:p>
    <w:p>
      <w:pPr>
        <w:jc w:val="both"/>
        <w:ind w:firstLine="737"/>
        <w:spacing w:after="0" w:line="259" w:lineRule="auto"/>
        <w:tabs>
          <w:tab w:leader="none" w:pos="10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Otherwise, Three-Month LIBOR for the next Distribution Period will be equal to Three-Month LIBOR in effect for the then-current Distribution Period or, in the case of the first Distribution Period in the Series A Floating Rate Period, the most recent three-month LIBOR rate on which Three-Month LIBOR could have been determined in accordance with the first sentence of this paragraph had the distribution rate been a floating rate during the Series A Fixed Rate Period.</w:t>
      </w:r>
    </w:p>
    <w:p>
      <w:pPr>
        <w:spacing w:after="0" w:line="7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the event that Three-Month LIBOR is less than zero, Three-Month LIBOR shall be deemed to be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clauses (i), (ii) and (iii):</w:t>
      </w:r>
    </w:p>
    <w:p>
      <w:pPr>
        <w:sectPr>
          <w:pgSz w:w="11900" w:h="16838" w:orient="portrait"/>
          <w:cols w:equalWidth="0" w:num="1">
            <w:col w:w="11420"/>
          </w:cols>
          <w:pgMar w:left="240" w:top="1440" w:right="239" w:bottom="1440" w:gutter="0" w:footer="0" w:header="0"/>
        </w:sectPr>
      </w:pPr>
    </w:p>
    <w:bookmarkStart w:id="116" w:name="page117"/>
    <w:bookmarkEnd w:id="116"/>
    <w:p>
      <w:pPr>
        <w:spacing w:after="0" w:line="90" w:lineRule="exact"/>
        <w:rPr>
          <w:sz w:val="20"/>
          <w:szCs w:val="20"/>
          <w:color w:val="auto"/>
        </w:rPr>
      </w:pPr>
    </w:p>
    <w:p>
      <w:pPr>
        <w:jc w:val="both"/>
        <w:ind w:firstLine="737"/>
        <w:spacing w:after="0" w:line="279" w:lineRule="auto"/>
        <w:tabs>
          <w:tab w:leader="none" w:pos="974"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LIBOR has been discontinued or is no longer viewed as an acceptable benchmark for securities like the Series A Preferred Shares (a “Series A LIBOR Event”), then the calculation agent will use a substitute or successor base rate that it has determined, in consultation with us, is the most comparable to LIBOR;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jc w:val="both"/>
        <w:ind w:firstLine="737"/>
        <w:spacing w:after="0" w:line="257" w:lineRule="auto"/>
        <w:tabs>
          <w:tab w:leader="none" w:pos="9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Notwithstanding the foregoing, if the calculation agent determines in its sole discretion that there is no alternative rate that is a substitute or successor base rate for LIBOR, the calculation agent may, in its sole discretion, or if the calculation agent fails to do so, the Company may, appoint an independent financial advisor (“IFA”) to determine an appropriate alternative rate and any adjustments, and the decision of the IFA will be binding on the Company, the calculation agent and the holders of Series A Preferred Shares. If a Series A LIBOR Event has occurred, but for any reason an alternative rate has not been determined, an IFA has not determined an appropriate alternative rate and adjustments or an IFA has not been appointed, Three-Month LIBOR for the next Distribution Period to which the determination date relates shall be Three-Month LIBOR as in effect for the then-current Distribution Period; provided, that if this sentence is applicable with respect to the first Distribution Period in the Series A Floating Rate Period, the interest rate, business day convention and manner of calculating interest applicable during the Series A Fixed Rate Period will remain in effect during the Series A Floating Rate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While any Series A Preferred Shares remain outstanding, unless the full cumulative distributions for all past Distribution Periods on all outstanding Series A Preferred Shares have been or contemporaneously are declared and paid in full or declared and a sum sufficient for the payment of those distributions has been set aside:</w:t>
      </w:r>
    </w:p>
    <w:p>
      <w:pPr>
        <w:spacing w:after="0" w:line="73" w:lineRule="exact"/>
        <w:rPr>
          <w:sz w:val="20"/>
          <w:szCs w:val="20"/>
          <w:color w:val="auto"/>
        </w:rPr>
      </w:pPr>
    </w:p>
    <w:p>
      <w:pPr>
        <w:ind w:right="20" w:firstLine="737"/>
        <w:spacing w:after="0" w:line="277" w:lineRule="auto"/>
        <w:tabs>
          <w:tab w:leader="none" w:pos="9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62" w:lineRule="exact"/>
        <w:rPr>
          <w:rFonts w:ascii="Arial" w:cs="Arial" w:eastAsia="Arial" w:hAnsi="Arial"/>
          <w:sz w:val="18"/>
          <w:szCs w:val="18"/>
          <w:color w:val="auto"/>
        </w:rPr>
      </w:pPr>
    </w:p>
    <w:p>
      <w:pPr>
        <w:jc w:val="both"/>
        <w:ind w:firstLine="737"/>
        <w:spacing w:after="0" w:line="297" w:lineRule="auto"/>
        <w:tabs>
          <w:tab w:leader="none" w:pos="9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A Preferred Shares), nor will any monies be paid to or made available for a sinking fund for the redemption of any such securities by the Company or any of its subsidiaries; and</w:t>
      </w:r>
    </w:p>
    <w:p>
      <w:pPr>
        <w:spacing w:after="0" w:line="50" w:lineRule="exact"/>
        <w:rPr>
          <w:rFonts w:ascii="Arial" w:cs="Arial" w:eastAsia="Arial" w:hAnsi="Arial"/>
          <w:sz w:val="16"/>
          <w:szCs w:val="16"/>
          <w:color w:val="auto"/>
        </w:rPr>
      </w:pPr>
    </w:p>
    <w:p>
      <w:pPr>
        <w:jc w:val="both"/>
        <w:ind w:firstLine="737"/>
        <w:spacing w:after="0" w:line="312" w:lineRule="auto"/>
        <w:tabs>
          <w:tab w:leader="none" w:pos="9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shares of Parity Securities will be repurchased, redeemed or otherwise acquired for consideration by the Company or any of its subsidiaries (other than pursuant to pro rata offers to purchase or exchange all, or a pro rata portion of Series A Preferred Shares and such Parity Securities or as a result of a reclassification of Parity Securities for or into other Parity Securities, or by conversion into or exchange for other Parity Securities or Junior Securities).</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A Preferred Shares on the record date for such payment, which may not be less than 10 days before such</w:t>
      </w:r>
    </w:p>
    <w:p>
      <w:pPr>
        <w:sectPr>
          <w:pgSz w:w="11900" w:h="16838" w:orient="portrait"/>
          <w:cols w:equalWidth="0" w:num="1">
            <w:col w:w="11420"/>
          </w:cols>
          <w:pgMar w:left="240" w:top="1440" w:right="239" w:bottom="1440" w:gutter="0" w:footer="0" w:header="0"/>
        </w:sectPr>
      </w:pPr>
    </w:p>
    <w:bookmarkStart w:id="117" w:name="page118"/>
    <w:bookmarkEnd w:id="117"/>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distribution. To the extent a distribution period applicable to a class of Junior Securities or Parity Securities is shorter than the Distribution Period applicable to the Series A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A Preferred Shares on the next Distribution Payment Date.</w:t>
      </w:r>
    </w:p>
    <w:p>
      <w:pPr>
        <w:spacing w:after="0" w:line="6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Subject to the next succeeding sentence, if all accumulated distributions in arrears on all outstanding Series A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A Preferred Shares and any Parity Securities are paid, any partial payment will be made pro rata with respect to the Series A Preferred Shares and any Parity Securities entitled to a distribution payment at such time in proportion to the aggregate amounts remaining due in respect of such Series A Preferred Shares and Parity Securities at such time.</w:t>
      </w:r>
    </w:p>
    <w:p>
      <w:pPr>
        <w:spacing w:after="0" w:line="8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As used in this description of Series A Preferred Shares, (i) “Junior Securities” means our common shares and any other class or series of our Capital Stock (as defined below) over which the Series A Preferred Shares has preference or priority in the payment of distributions or in the distribution of assets on our liquidation, dissolution or winding up, (ii) “Parity Securities” means any other class or series of our Capital Stock that ranks equally with the Series A Preferred Shares in the payment of distributions and in the distribution of assets on our liquidation, dissolution or winding up (including our Series B Preferred Shares) and (iii) “Senior Securities” means any other class or series of our Capital Stock that has preference or priority over the Series A Preferred Shares in the payment of distributions or in the distribution of assets on our liquidation, dissolution or winding up.</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Subject to the conditions described above, and not otherwise, distributions (payable in cash, shares, or otherwise), as may be determined by our board of directors, may be declared and paid on our common shares and any Junior Securities from time to time out of any funds legally available for such payment, and the holders of the Series A Preferred Shares will not be entitled to participate in those distributions.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Upon our voluntary or involuntary liquidation, dissolution or winding up (“Liquidation”), the holders of the outstanding Series A Preferred Shares are entitled to be paid out of our assets legally available for distribution to our shareholders, before any distribution of assets is made to holders of common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 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A Preferred Shares will have no right or claim to any of our remaining assets.</w:t>
      </w:r>
    </w:p>
    <w:p>
      <w:pPr>
        <w:spacing w:after="0" w:line="84"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Distributions will be made only to the extent that our assets are available after satisfaction of all liabilities to creditors and subject to the rights of holders of any securities ranking senior to the Series A Preferred Shares. If, in the event of a Liquidation, we are unable to pay full liquidating distributions to the holders of all outstanding Series A Preferred Shares in accordance with the foregoing and to all Parity Securities in accordance with the terms thereof, then we will distribute our assets to those holders ratably in proportion to the liquidating distributions to which they would otherwise have received.</w:t>
      </w:r>
    </w:p>
    <w:p>
      <w:pPr>
        <w:spacing w:after="0" w:line="4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merger or consolidation with or into any other entity or by another entity with or into us or the sale, lease, exchange or other transfer of all or substantially all of our assets (for cash, securities or other consideration) will not be deemed to be a liquidation, dissolution or winding up. If we enter into any merger or consolidation transaction with or into any other entity and we are not the surviving entity in such transaction, the Series A Preferred Shares may be converted into shares of the surviving or successor entity or the direct or indirect parent of the surviving or successor entity having terms identical to the terms of the Series A Preferred Shares set forth in this description.</w:t>
      </w:r>
    </w:p>
    <w:p>
      <w:pPr>
        <w:sectPr>
          <w:pgSz w:w="11900" w:h="16838" w:orient="portrait"/>
          <w:cols w:equalWidth="0" w:num="1">
            <w:col w:w="11420"/>
          </w:cols>
          <w:pgMar w:left="240" w:top="1440" w:right="239" w:bottom="1440" w:gutter="0" w:footer="0" w:header="0"/>
        </w:sectPr>
      </w:pPr>
    </w:p>
    <w:bookmarkStart w:id="118" w:name="page119"/>
    <w:bookmarkEnd w:id="118"/>
    <w:p>
      <w:pPr>
        <w:spacing w:after="0" w:line="90"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Because we are a holding company, our rights and the rights of our creditors and our shareholders, including the holders of the Series A Preferred Shares, to participate in the distribution of assets of any of our subsidiaries upon that subsidiary’s voluntary or involuntary liquidation, dissolution or winding up will be subject to the prior claims of that subsidiary’s creditors, except to the extent that we are a creditor with recognized claims against that subsidiary.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121"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 Series A Preferred Shares are not entitled to any preemptive rights or other rights to purchase or subscribe for our common shares or any other security, and are not convertible into or exchangeable for our common shares or any other security or property at the option of the holder.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A Preferred Shares are not subject to any mandatory redemption, sinking fund or other similar provisions.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A Preferred Shares do not have the right to require the redemption or repurchase of the Series A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September 15, 2024</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may redeem the Series A Preferred Shares, in whole or in part, at our option, at any time or from time to time on or after September 15, 2024 (“Series A Optional Redemption”), at the redemption price equal to $25.00 per Series A Preferred Share, plus an amount equal to all accumulated and unpaid distributions thereon, if any, to, but excluding, the date of redemption, whether or not declared. We may undertake multiple Series A Optional Redemptions. Any such redemption would be effected only out of funds legally available for such purpose and would be subject to compliance with the provisions of the instruments governing our outstanding indebtedness.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11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A Rating Event (as defined below), we may, at our option, redeem the Series A Preferred Shares in whole, but not in part, prior to September 15, 2024, at a redemption price per Series A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“Series A Rating Event” means a change by any rating agency to the criteria employed by such rating agency as of the date of original issuance of the Series A Preferred Shares for purposes of assigning ratings to securities with features similar to the Series A Preferred Shares, which change results in (i) any shortening of the length of time for which the current criteria are scheduled to be in effect with respect to the Series A Preferred Shares, or (ii) a lower equity credit being given to the Series A Preferred Shares than the equity credit that would have been assigned to the Series A Preferred Shares by such rating agency pursuant to the current criteria.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a Change of Control (as defined below) occurs, we may, at our option, redeem the Series A Preferred Shares, in whole but not in part, prior to September 15, 2024 and within 60 days after the occurrence of such Change of Control, at a price of $25.25 per Series A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If (i) a Change of Control occurs (whether before, on or after September 15, 2024) and (ii) we do not give notice prior to the 31st day following the Change of Control to redeem all the outstanding Series A Preferred Shares, the distribution rate per annum on the Series A Preferred Shares will increase by 5.00%, beginning on the 31st day following such Change of Control.</w:t>
      </w:r>
    </w:p>
    <w:p>
      <w:pPr>
        <w:sectPr>
          <w:pgSz w:w="11900" w:h="16838" w:orient="portrait"/>
          <w:cols w:equalWidth="0" w:num="1">
            <w:col w:w="11420"/>
          </w:cols>
          <w:pgMar w:left="240" w:top="1440" w:right="239" w:bottom="1440" w:gutter="0" w:footer="0" w:header="0"/>
        </w:sectPr>
      </w:pPr>
    </w:p>
    <w:bookmarkStart w:id="119" w:name="page120"/>
    <w:bookmarkEnd w:id="119"/>
    <w:p>
      <w:pPr>
        <w:spacing w:after="0" w:line="9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63"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“Capital Stock” means (1) in the case of a corporation, corporate stock; (2) in the case of an association or business entity, any and all shares, interests, participations, rights or other equivalents (however designated) of corporate stock; (3) in the case of a partnership, limited liability company or business trust, partnership, membership or beneficial interests (whether general or limited) or shares in the capital of a company; and (4) 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 of Control” means the occurrence of the following:</w:t>
      </w:r>
    </w:p>
    <w:p>
      <w:pPr>
        <w:spacing w:after="0" w:line="117" w:lineRule="exact"/>
        <w:rPr>
          <w:sz w:val="20"/>
          <w:szCs w:val="20"/>
          <w:color w:val="auto"/>
        </w:rPr>
      </w:pPr>
    </w:p>
    <w:p>
      <w:pPr>
        <w:jc w:val="both"/>
        <w:ind w:firstLine="737"/>
        <w:spacing w:after="0" w:line="264" w:lineRule="auto"/>
        <w:tabs>
          <w:tab w:leader="none" w:pos="9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one or more Permitted Holders (as defined below), is or becomes the beneficial owner (as defined in Rules 13d-3 and 13d-5 under the Exchange Act), directly or indirectly, of shares representing more than 50.0% of the voting power of the Company’s Voting Stock (as defined below); or</w:t>
      </w:r>
    </w:p>
    <w:p>
      <w:pPr>
        <w:spacing w:after="0" w:line="73" w:lineRule="exact"/>
        <w:rPr>
          <w:rFonts w:ascii="Arial" w:cs="Arial" w:eastAsia="Arial" w:hAnsi="Arial"/>
          <w:sz w:val="18"/>
          <w:szCs w:val="18"/>
          <w:color w:val="auto"/>
        </w:rPr>
      </w:pPr>
    </w:p>
    <w:p>
      <w:pPr>
        <w:jc w:val="both"/>
        <w:ind w:firstLine="737"/>
        <w:spacing w:after="0" w:line="268" w:lineRule="auto"/>
        <w:tabs>
          <w:tab w:leader="none" w:pos="984"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 all or substantially all the assets of the Company and the Restricted Subsidiaries, taken as a whole, are sold or otherwise transferred to any person other than a Wholly-Owned Restricted Subsidiary (as defined below) or one or more Permitted Holders or (b) the Company consolidates, amalgamates or merges with or into another person or any person consolidates, amalgamates or merges with or into the Company, in either case under this clause (2), in one transaction or a series of related transactions in which immediately after the consummation thereof persons beneficially owning (as defined in Rules 13d-3 and 13d-5 under the Exchange Act) Voting Stock representing in the aggregate a majority of the total voting power of the Voting Stock of the Company immediately prior to such consummation do not beneficially own (as defined in Rules 13d-3 and 13d-5 under the Exchange Act) Voting Stock representing a majority of the total voting power of the Voting Stock of the Company, or the applicable surviving or transferee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shall not apply (i) in the case where immediately after the consummation of the transactions Permitted Holders, directly or indirectly, beneficially own Voting Stock representing in the aggregate a majority of the total voting power of the Company, or the applicable surviving or transferee person, or (ii) to any consolidation, amalgamation or merger of the Company with or into (x) a corporation, limited liability company or partnership or (y) a wholly-owned subsidiary of a corporation, limited liability company or partnership that, in either case, immediately following the transaction or series of transactions, has no person or group (other than Permitted Holders), which beneficially owns Voting Stock representing 50.0% or more of the voting power of the total outstanding Voting Stock of such entity.</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definition, any direct or indirect holding company of the Company shall not itself be considered a “person” or “group” for purposes of clause (1) above; provided that no “person” or “group” (other than the Permitted Holders) beneficially owns, directly or indirectly, more than 50.0% of the total voting power of the Voting Stock of such holding company.</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“Control Investment Affiliate” means,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“Exchange Act” means the Securities Exchange Act of 1934, as amended, and the rules and regulations of the Commission promulgated thereunder.</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“Fortress” means Fortress Investment Group LLC.</w:t>
      </w:r>
    </w:p>
    <w:p>
      <w:pPr>
        <w:sectPr>
          <w:pgSz w:w="11900" w:h="16838" w:orient="portrait"/>
          <w:cols w:equalWidth="0" w:num="1">
            <w:col w:w="11420"/>
          </w:cols>
          <w:pgMar w:left="240" w:top="1440" w:right="239" w:bottom="1440" w:gutter="0" w:footer="0" w:header="0"/>
        </w:sectPr>
      </w:pPr>
    </w:p>
    <w:bookmarkStart w:id="120" w:name="page121"/>
    <w:bookmarkEnd w:id="120"/>
    <w:p>
      <w:pPr>
        <w:spacing w:after="0" w:line="9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“Management Group” means at any time, the Chairman of our board of directors, any President, any Executive Vice President, any Managing Director, any Treasurer and any Secretary or other executive officer of the Company or any of our subsidiaries at such time.</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 xml:space="preserve">“Permitted Holders” means, collectively, Fortress, its Affiliates and the Management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definition of “Permitted Holders” shall not include any Control Investment Affiliate whose primary purpose is the operation of an ongoing business (excluding any business whose primary purpose is the investment of capital or assets).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government or any agency or political subdivision thereof or any other entity.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“Restricted Subsidiary” means any “Restricted Subsidiary” under the Company’s senior unsecured notes.</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“Wholly-Owned Restricted Subsidiary” means any wholly-owned subsidiary that is a Restricted Subsidiary.</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Change of Control redemption feature of the Series A Preferred Shares may, in certain circumstances, make more difficult or discourage a sale or takeover of our limited liability company or a member of the Company and, thus, the removal of incumbent management. We have no present intention to engage in a transaction involving a Change of Control, although it is possible that we could decide to do so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a Series A Tax Redemption Event (as defined below) occurs, we may, at our option, redeem the Series A Preferred Shares, in whole but not in part, prior to September 15, 2024 and within 60 days after the occurrence of such Series A Tax Redemption Event, at a price of $25.25 per Series A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“Series A Tax Redemption Event” means, after the date the Series A Preferred Shares are first issued, due to (a) an amendment to, or a change in official interpretation of, the U.S. Internal Revenue Code of 1986, as amended (the “Code”), Treasury Regulations promulgated thereunder, or administrative guidance or (b) an administrative or judicial determination, (i) we are advised by nationally recognized counsel or a “Big Four” accounting firm that we will be treated as an association taxable as a corporation for U.S. Federal income tax purposes or otherwise subject to U.S. Federal income tax (other than any tax imposed pursuant to Section 6225 of the Code, as amended by the Bipartisan Budget Act of 2015), or (ii) we file an IRS Form 8832 (or successor form) electing that we be treated as an association taxable as a corporation for U.S. Federal income tax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we elect to redeem any Series A Preferred Shares, we will provide notice to the holders of record of the Series A Preferred Shares to be redeemed, not less than 30 days and not more than 60 days before the date fixed for redemption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Series A Preferred Shares are held in book-entry form through a Securities Depositary, we may give this notice in any manner permitted by such Securities Depositary). Any notice given as provided in this paragraph will be conclusively presumed to have been duly given, whether or not the holder receives such notice, and any defect in such notice or in the provision of such notice to any holder of Series A Preferred Shares designated for redemption will not affect the redemption of any other Series A Preferred Shares. Each notice of redemption shall state:</w:t>
      </w:r>
    </w:p>
    <w:p>
      <w:pPr>
        <w:spacing w:after="0" w:line="85" w:lineRule="exact"/>
        <w:rPr>
          <w:sz w:val="20"/>
          <w:szCs w:val="20"/>
          <w:color w:val="auto"/>
        </w:rPr>
      </w:pPr>
    </w:p>
    <w:p>
      <w:pPr>
        <w:ind w:left="840" w:hanging="103"/>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fewer than all Series A Preferred Shares are to be redeemed, the number of Series A Preferred Shares to be redeemed; and</w:t>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9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the manner in which holders of Series A Preferred Shares called for redemption may obtain payment of the redemption price in respect of those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0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notice of redemption of any Series A Preferred Shares has been given and if the funds necessary for such redemption have been deposited by us in trust with a bank or a Securities Depositary for the benefit of the holders of any Series A Preferred Shares so called for redemption, then from and after the redemption date such Series A Preferred Shares will no longer be deemed outstanding for any purpose, all distributions with respect to such Series A Preferred Shares shall cease to accrue after the redemption date and all rights of the holders of such shares will terminate, except the right to receive the redemption price, without interest.</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the case of any redemption of only part of the Series A Preferred Shares at the time outstanding, the Series A Preferred Shares to be redeemed will be selected either pro rata or by lot. Subject to the provisions set forth in this description, the board of directors will have the full power and authority to prescribe the terms and conditions upon which Series A Preferred Shares may be redeemed from time to time.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Owners of Series A Preferred Shares do not have any voting rights, except as set forth below or as otherwise required by applicable law. To the extent that owners of Series A Preferred Shares are entitled to vote, each holder of Series A Preferred Shares will have one vote per share, except that when shares of any class or series of Parity Securities have the right to vote with the Series A Preferred Shares as a single class on any matter, the Series A Preferred Shares and the shares of each such Parity Securities will have one vote for each $25.00 of liquidation preference (for the avoidance of doubt, excluding accumulated distributions).</w:t>
      </w:r>
    </w:p>
    <w:p>
      <w:pPr>
        <w:spacing w:after="0" w:line="8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 xml:space="preserve">Whenever dividends on any shares of the Series A Preferred Shares are in arrears for six or more quarterly Distribution Periods, whether or not consecutive, the number of directors then constituting our board of directors will be automatically increased by two (if not already increased by two by reason of the election of directors by the holders of any Other Voting Preferred Shares (as defined below)). The holders of the Series A Preferred Shares, voting together as a single class with the holders of any series of Parity Securities then outstanding upon which like voting rights have been conferred and are exercisable (any such series, the “Other Voting Preferred Shares”), will be entitled to vote, by the affirmative vote of a majority of the votes entitled to be cast, for the election of those two additional directors at a special meeting of the holders of the Series A Preferred Shares and such Other Voting Preferred Shares and at each subsequent annual meeting of the holders of our common shares at which such directors are up for reelection;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all distributions accumulated on the Series A Preferred Shares for all past Distribution Periods and the then current Distribution Period shall have been fully paid, the right of holders of the Series A Preferred Shares to elect any directors will cease and, unless there are any Other Voting Preferred Shares entitled to vote for the election of directors, the term of office of those two directors will forthwith terminate, any directors elected by holders of the Series A Preferred Shares shall immediately resign and the number of directors constituting the board of directors shall be reduced accordingly. However, the right of the holders of the Series A Preferred Shares and any Other Voting Preferred Shares to elect two additional directors will again vest if and whenever six additional quarterly distributions have not been declared and paid, as described above. In no event shall the holders of the Series A Preferred Shares be entitled pursuant to these voting rights to elect a director that would cause us to fail to satisfy a requirement relating to director independence of any national securities exchange or quotation system on which any class or series of our Capital Stock is listed or quoted. For the avoidance of doubt, in no event shall the total number of directors elected by holders of the Series A Preferred Shares and any Other Voting Preferred Shares exceed two.</w:t>
      </w:r>
    </w:p>
    <w:p>
      <w:pPr>
        <w:spacing w:after="0" w:line="7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If, at any time when the voting rights conferred upon the Series A Preferred Shares (as described above) are exercisable, any vacancy in the office of a director elected pursuant to the procedures described above shall occur, then such vacancy may be filled only by the remaining director or by the affirmative vote of a majority of the votes entitled to be cast by the holders of record of the outstanding Series A Preferred Shares and all Other Voting Preferred Shares, acting as a single class at a special meeting of such holders. Any director elected or appointed pursuant to the procedures described above may be removed at any time, with or without cause, only by the affirmative vote of holders of the outstanding Series A Preferred Shares and all Other Voting Preferred Shares, acting as a single class at a meeting of shareholders, such removal to be effected by the affirmative vote of a majority of the votes entitled to be cast by the holders of the outstanding Series A Preferred Shares and Other Voting Preferred Shares, and may not be removed by the holders of our common shares.</w:t>
      </w:r>
    </w:p>
    <w:p>
      <w:pPr>
        <w:sectPr>
          <w:pgSz w:w="11900" w:h="16838" w:orient="portrait"/>
          <w:cols w:equalWidth="0" w:num="1">
            <w:col w:w="11420"/>
          </w:cols>
          <w:pgMar w:left="240" w:top="1440" w:right="239" w:bottom="1440" w:gutter="0" w:footer="0" w:header="0"/>
        </w:sectPr>
      </w:pPr>
    </w:p>
    <w:bookmarkStart w:id="122" w:name="page123"/>
    <w:bookmarkEnd w:id="122"/>
    <w:p>
      <w:pPr>
        <w:spacing w:after="0" w:line="2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7"/>
          <w:szCs w:val="17"/>
          <w:color w:val="auto"/>
        </w:rPr>
        <w:t>While any Series A Preferred Shares remain outstanding, we will not, without the affirmative vote or consent of holders of at least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in voting power of the Series A Preferred Shares and all Other Voting Preferred Shares, acting as a single class, (i) authorize, create or issue any Senior Securities or reclassify any authorized Capital Stock into any Senior Securities or issue any obligation or security convertible into or evidencing the right to purchase any Senior Securities or (ii) amend, alter or repeal any provision of the Operating Agreement, including by merger, consolidation or otherwise, so as to adversely affect the powers, preferences or special rights of the Series A Preferred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clause (ii) above, if such amendment affects materially and adversely the rights, designations, preferences, powers and duties of one or more but not all of the classes or series of the Other Voting Preferred Shares (including the Series A Preferred Shares for this purpose), only the consent of the holders of at least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in voting power of the outstanding shares of the classes or series so affected, voting as a class, is required in lieu of (or, if such consent is required by law, in addition to) the consent of the holders of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of the Other Voting Preferred Shares (including the Series A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A Preferred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Parity Securities, the full cumulative distributions for all past Distribution Periods on all outstanding Series A Preferred Shares shall have been or contemporaneously are declared and paid in full or declared and a sum sufficient for the payment of those distributions has been set aside.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foregoing, none of the following will be deemed to affect the powers, preferences or special rights of the Series A Preferred Shares:</w:t>
      </w:r>
    </w:p>
    <w:p>
      <w:pPr>
        <w:spacing w:after="0" w:line="140" w:lineRule="exact"/>
        <w:rPr>
          <w:sz w:val="20"/>
          <w:szCs w:val="20"/>
          <w:color w:val="auto"/>
        </w:rPr>
      </w:pPr>
    </w:p>
    <w:p>
      <w:pPr>
        <w:jc w:val="both"/>
        <w:ind w:firstLine="737"/>
        <w:spacing w:after="0" w:line="286" w:lineRule="auto"/>
        <w:tabs>
          <w:tab w:leader="none" w:pos="837"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increase in the amount of authorized common shares or authorized preferred shares, or any increase or decrease in the number of shares of any series of preferred stock, or the authorization, creation and issuance of other classes or series of Capital Stock, in each case ranking on parity with or junior to the Series A Preferred Shares as to distributions or distribution of assets upon our liquidation, dissolution or winding up;</w:t>
      </w:r>
    </w:p>
    <w:p>
      <w:pPr>
        <w:spacing w:after="0" w:line="57" w:lineRule="exact"/>
        <w:rPr>
          <w:rFonts w:ascii="Arial" w:cs="Arial" w:eastAsia="Arial" w:hAnsi="Arial"/>
          <w:sz w:val="17"/>
          <w:szCs w:val="17"/>
          <w:color w:val="auto"/>
        </w:rPr>
      </w:pPr>
    </w:p>
    <w:p>
      <w:pPr>
        <w:ind w:firstLine="737"/>
        <w:spacing w:after="0" w:line="277" w:lineRule="auto"/>
        <w:tabs>
          <w:tab w:leader="none" w:pos="8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A Preferred Shares remain outstanding with identical terms as existing immediately prior to such merger or consolidation; and</w:t>
      </w:r>
    </w:p>
    <w:p>
      <w:pPr>
        <w:spacing w:after="0" w:line="62" w:lineRule="exact"/>
        <w:rPr>
          <w:rFonts w:ascii="Arial" w:cs="Arial" w:eastAsia="Arial" w:hAnsi="Arial"/>
          <w:sz w:val="18"/>
          <w:szCs w:val="18"/>
          <w:color w:val="auto"/>
        </w:rPr>
      </w:pPr>
    </w:p>
    <w:p>
      <w:pPr>
        <w:jc w:val="both"/>
        <w:ind w:firstLine="737"/>
        <w:spacing w:after="0" w:line="264" w:lineRule="auto"/>
        <w:tabs>
          <w:tab w:leader="none" w:pos="8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A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A Preferred Shares.</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foregoing voting rights of the holders of Series A Preferred Shares shall not apply if, at or prior to the time when the act with respect to which the vote would otherwise be required shall be effected, all outstanding Series A Preferred Shares shall have been redeemed or called for redemption upon proper notice and we shall have set aside sufficient funds for the benefit of holders of Series A Preferred Shares to effect the redemption.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Each person that holds or has held a Series A Preferred Share and each person that holds or has held any beneficial interest in a Series A Preferred Share (whether through a broker, dealer, bank, trust company or clearing corporation or an agent of any of the foregoing or otherwise), to the fullest extent permitted by law, (i) irrevocably agrees that any claims, suits, actions or proceedings against us, or any director, officer, employee, control person, underwriter or agent of the Company or its affiliates, asserted under United States federal securities laws, otherwise arising under such laws, or that could have been asserted as a claim arising under such laws, shall be exclusively brought in the federal district courts of the United States of America (except, and only to the extent, that any such claims, actions or proceedings are of a type for which a member may not waive its right to maintain a legal action or proceeding in the courts of the State of Delaware with respect to matters relating to the organization or internal affairs of the Company as set forth under Section 18-109(d) of the Delaware Limited Liability Company Act); (ii) irrevocably submits to the exclusive jurisdiction of such courts in connection with any such claim, suit, action or proceeding; and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w:t>
      </w:r>
    </w:p>
    <w:p>
      <w:pPr>
        <w:sectPr>
          <w:pgSz w:w="11900" w:h="16838" w:orient="portrait"/>
          <w:cols w:equalWidth="0" w:num="1">
            <w:col w:w="11420"/>
          </w:cols>
          <w:pgMar w:left="240" w:top="1440" w:right="239" w:bottom="1440" w:gutter="0" w:footer="0" w:header="0"/>
        </w:sectPr>
      </w:pPr>
    </w:p>
    <w:bookmarkStart w:id="123" w:name="page124"/>
    <w:bookmarkEnd w:id="123"/>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All Series A Preferred Shares are represented by a single certificate issued to the Securities Depositary, and registered in the name of the Securities Depositary or its nominee, and no holder of the Series A Preferred Shares is entitled to receive a certificate evidencing Series A Preferred Shares unless otherwise required by law or the Securities Depositary gives notice of its intention to resign or is no longer eligible to act as such and we have not selected a substitute Securities Depositary within 60 calendar days thereafter. Payments and communications made by us to holders of the Series A Preferred Shares will be duly made by making payments to, and communicating with, the Securities Depositary. Accordingly, unless certificates are available to holders of the Series A Preferred Shares, each holder of Series A Preferred Shares must rely on (i) the procedures of the Securities Depositary and its participants to receive distributions, any redemption price, liquidation preference and notices, and to direct the exercise of any voting or nominating rights, with respect to such Series A Preferred Shares and (ii) the records of the Securities Depositary and its participants to evidence its ownership of such Series A Preferred Shares.</w:t>
      </w:r>
    </w:p>
    <w:p>
      <w:pPr>
        <w:spacing w:after="0" w:line="58"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So long as the Securities Depositary (or its nominee) is the sole holder of the Series A Preferred Shares, no beneficial holder of the Series A Preferred Shares will be deemed to be a holder of Series A Preferred Shares. The Depository Trust Company, the initial Securities Depositary, is a New York-chartered limited purpose trust company that performs services for its participants, some of whom (and/or their representatives) own The Depository Trust Company. The Securities Depositary maintains lists of its participants and will maintain the positions (i.e., ownership interests) held by its participants in the Series A Preferred Shares, whether as a holder of the Series A Preferred Shares for its own account or as a nominee for another holder of the Series A Preferred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B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Operating Agreement authorizes the Company to issue up to 200,000,000 preferred shares in one or more series, and the Company’s board of directors is authorized to fix the number of shares of each series and determine the rights, designations, preferences, powers and duties of any such series. The “8.00% Fixed-to-Floating Rate Series B Cumulative Perpetual Redeemable Preferred Shares” are designated as one series of our authorized preferred shares, consisting of 4,600,000 Series B Preferred Shares.</w:t>
      </w:r>
    </w:p>
    <w:p>
      <w:pPr>
        <w:spacing w:after="0" w:line="7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The Series B Preferred Shares represent perpetual equity interests in us and, unlike our indebtedness, do not give rise to a claim for payment of a principal amount at a particular date. As such, the Series B Preferred Shares rank junior to all of our current and future indebtedness and other liabilities with respect to assets available to satisfy claims against us. The Series B Preferred Shares have a fixed liquidation preference of $25.00 per Series B Preferred Share, plus an amount equal to accumulated and unpaid distributions thereon, if any, to, but excluding, the date of payment, whether or not declared;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rights of the holders of Series B Preferred Shares to receive the liquidation preference will be subject to the proportional rights of holders of Parity Securities (as defined below) and to the other matters described under “—Liquidation Rights”.</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All of the Series B Preferred Shares are represented by a single certificate issued to the Securities Depositary and registered in the name of its nominee. So long as a Securities Depositary has been appointed and is serving, no person acquiring Series B Preferred Shares will be entitled to receive a certificate representing such Series B Preferred Shares unless applicable law otherwise requires or the Securities Depositary resigns or is no longer eligible to act as such and a successor is not appointed. See “—Book-Entry System”.</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holder of Series B Preferred Shares is admitted as a member of our limited liability company and deemed to have agreed to be bound by the terms of the Operating Agreement. Pursuant to the Operating Agreement, each holder of Series B Preferred Shares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the Operating Agreement.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B Preferred Shares trade on the NYSE under the symbol “FTAI PR B”.</w:t>
      </w:r>
    </w:p>
    <w:p>
      <w:pPr>
        <w:sectPr>
          <w:pgSz w:w="11900" w:h="16838" w:orient="portrait"/>
          <w:cols w:equalWidth="0" w:num="1">
            <w:col w:w="11420"/>
          </w:cols>
          <w:pgMar w:left="240" w:top="1440" w:right="239" w:bottom="1440" w:gutter="0" w:footer="0" w:header="0"/>
        </w:sectPr>
      </w:pPr>
    </w:p>
    <w:bookmarkStart w:id="124" w:name="page125"/>
    <w:bookmarkEnd w:id="124"/>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 xml:space="preserve">With respect to the payment of distributions and rights (including redemption rights) upon our liquidation, dissolution or winding up, the Series B Preferred Shares rank (i) senior and prior to our common shares and any class or series of preferred shares that by its terms is designated as ranking junior to the Series B Preferred Shares, (ii)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class or series of preferred shares that by its terms is designated as ranking equal to the Series B Preferred Shares or does not state it is junior or senior to the Series B Preferred Shares (including our Series A Preferred Shares), (iii) junior to any class or series of preferred shares that is expressly designated as ranking senior to the Series B Preferred Shares (subject to receipt of any requisite consents prior to issuance) and (iv) effectively junior to all of our existing and future indebtedness (including indebtedness convertible into our common shares or preferred shares) and other liabilities and to all liabilities and any preferred equity of our existing subsidiaries and any future subsidiaries.</w:t>
      </w:r>
    </w:p>
    <w:p>
      <w:pPr>
        <w:spacing w:after="0" w:line="5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Series B Preferred Shares are not convertible into, or exchangeable for, shares of any other class or series of our Capital Stock or other securities and will not be subject to any sinking fund or other obligation to redeem or repurchase the Series B Preferred Shares. The Series B Preferred Shares are not secured, are not guaranteed by us or any of our affiliates and are not subject to any other arrangement that legally or economically enhances the ranking of the Series B Preferred Shares.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Holders of the Series B Preferred Shares are entitled to receive, only when, as, and if declared by our board of directors, out of funds legally available for such purpose, cumulative cash distributions based on the stated liquidation preference of $25.00 per Series B Preferred Share at a rate equal to (i) from, and including, the original issue date of the Series B Preferred Shares to, but excluding, December 15, 2024 (the “Series B Fixed Rate Period”), 8.00% per annum, and (ii) beginning December 15, 2024 (the “Series B Floating Rate Period”), Three-Month LIBOR (as defined below) plus a spread of 644.7 basis points per annum. A “Distribution Period” means the period from, and including, each Distribution Payment Date to, but excluding, the next succeeding Distribution Payment Date, except for the initial Distribution Period, which is the period from, and including, the original issue date of the Series B Preferred Shares to, but excluding, the next succeeding Distribution Payment Date.</w:t>
      </w:r>
    </w:p>
    <w:p>
      <w:pPr>
        <w:spacing w:after="0" w:line="70" w:lineRule="exact"/>
        <w:rPr>
          <w:sz w:val="20"/>
          <w:szCs w:val="20"/>
          <w:color w:val="auto"/>
        </w:rPr>
      </w:pPr>
    </w:p>
    <w:p>
      <w:pPr>
        <w:jc w:val="both"/>
        <w:ind w:firstLine="360"/>
        <w:spacing w:after="0"/>
        <w:rPr>
          <w:sz w:val="20"/>
          <w:szCs w:val="20"/>
          <w:color w:val="auto"/>
        </w:rPr>
      </w:pPr>
      <w:r>
        <w:rPr>
          <w:rFonts w:ascii="Arial" w:cs="Arial" w:eastAsia="Arial" w:hAnsi="Arial"/>
          <w:sz w:val="18"/>
          <w:szCs w:val="18"/>
          <w:color w:val="auto"/>
        </w:rPr>
        <w:t>When, as, and if declared by our board of directors, we pay cash distributions on the Series B Preferred Shares quarterly, in arrears, on each Distribution Payment Date, beginning on March 15, 2020. We pay cash distributions to the holders of record of Series B Preferred Shares as they appear on our share register on the applicable record date, which for any Distribution Payment Date shall be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9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So long as the Series B Preferred Shares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B Preferred Shares in accordance with the instructions of such beneficial owners.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If any Distribution Payment Date on or prior to December 15, 2024 is a day that is not a business day (as defined below), then declared distributions with respect to that Distribution Payment Date will instead be paid on the immediately succeeding business day, without interest or other payment in respect of such delayed payment. If any Distribution Payment Date after December 15, 2024 is a day that is not a business day, then the Distribution Payment Date will be the immediately succeeding business day, and distributions will accrue to the Distribution Payment Date. A “business day” for the Series B Fixed Rate Period means any weekday in New York, New York that is not a day on which banking institutions in that city are authorized or required by law, regulation, or executive order to be closed. A “business day” for the Series B Floating Rate Period means any weekday in New York, New York that is not a day on which banking institutions in that city are authorized or required by law, regulation, or executive order to be closed, and additionally, is a London banking day (as defined below).</w:t>
      </w:r>
    </w:p>
    <w:p>
      <w:pPr>
        <w:spacing w:after="0" w:line="8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calculate distributions on the Series B Preferred Shares for the Series B Fixed Rate Period on the basis of a 360-day year consisting of twelve 30-day months. We calculate distributions on the Series B Preferred Shares for the Series B Floating Rate Period on the basis of the actual number of days in a Distribution Period and a 360-day year.</w:t>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Dollar amounts resulting from that calculation are rounded to the nearest cent, with one-half cent being rounded upward. Distributions on the Series B Preferred Shares will cease to accrue after the redemption date, as described below under “—Redemption”, unless we default in the payment of the redemption price of the Series B Preferred Shares called for redemption.</w:t>
      </w:r>
    </w:p>
    <w:p>
      <w:pPr>
        <w:spacing w:after="0" w:line="73"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Distributions on the Series B Preferred Shares are not mandatory. However, distributions on the Series B Preferred Shares accrue from the original issue date, or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B Preferred Shares which may be in arrears, and holders of the Series B Preferred Shares are not entitled to any distribution, whether payable in cash, property, or shares, in excess of full cumulative distributions described above.</w:t>
      </w:r>
    </w:p>
    <w:p>
      <w:pPr>
        <w:spacing w:after="0" w:line="5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If in the future we issue additional shares of the Series B Preferred Shares, distributions on those additional shares will accrue from the most recent Distribution Payment Date at the then-applicable distribution rate.</w:t>
      </w:r>
    </w:p>
    <w:p>
      <w:pPr>
        <w:spacing w:after="0" w:line="62"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distribution rate for each Distribution Period in the Series B Floating Rate Period will be determined by the calculation agent using Three-Month LIBOR as in effect on the second London banking day prior to the beginning of the Distribution Period, which date is referred to as the “distribution determination date” for the relevant Distribution Period. The calculation agent then will add Three-Month LIBOR as determined on the distribution determination date and the spread of 644.7 basis points per annum, and that sum will be the distribution rate for the applicable Distribution Period. Once the distribution rate for the Series B Preferred Shares is determined, the calculation agent will deliver that information to us and the transfer agent for the Series B Preferred Shares. Absent manifest error, the calculation agent’s determination of the distribution rate for a Distribution Period for the Series B Preferred Shares will be final. A “London banking day” is any day on which commercial banks are open for dealings in deposits in U.S. dollars in the London interbank market.</w:t>
      </w:r>
    </w:p>
    <w:p>
      <w:pPr>
        <w:spacing w:after="0" w:line="8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 xml:space="preserve">As used in this description of Series B Preferred Shares, the term “Three-Month LIBOR” means the London interbank offered rate for deposits in U.S. dollars for a three month period (the “three-month LIBOR rate”), as that rate is displayed on Bloomberg on page BBAM1 (or any successor or replacement page) at approximately 11:00 a.m., London time, on the relevant distribution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jc w:val="both"/>
        <w:ind w:firstLine="737"/>
        <w:spacing w:after="0" w:line="297" w:lineRule="auto"/>
        <w:tabs>
          <w:tab w:leader="none" w:pos="944"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50" w:lineRule="exact"/>
        <w:rPr>
          <w:rFonts w:ascii="Arial" w:cs="Arial" w:eastAsia="Arial" w:hAnsi="Arial"/>
          <w:sz w:val="16"/>
          <w:szCs w:val="16"/>
          <w:color w:val="auto"/>
        </w:rPr>
      </w:pPr>
    </w:p>
    <w:p>
      <w:pPr>
        <w:jc w:val="both"/>
        <w:ind w:firstLine="737"/>
        <w:spacing w:after="0" w:line="302" w:lineRule="auto"/>
        <w:tabs>
          <w:tab w:leader="none" w:pos="994"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46" w:lineRule="exact"/>
        <w:rPr>
          <w:rFonts w:ascii="Arial" w:cs="Arial" w:eastAsia="Arial" w:hAnsi="Arial"/>
          <w:sz w:val="16"/>
          <w:szCs w:val="16"/>
          <w:color w:val="auto"/>
        </w:rPr>
      </w:pPr>
    </w:p>
    <w:p>
      <w:pPr>
        <w:jc w:val="both"/>
        <w:ind w:firstLine="737"/>
        <w:spacing w:after="0" w:line="259" w:lineRule="auto"/>
        <w:tabs>
          <w:tab w:leader="none" w:pos="10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Otherwise, Three-Month LIBOR for the next Distribution Period will be equal to Three-Month LIBOR in effect for the then-current Distribution Period or, in the case of the first Distribution Period in the Series B Floating Rate Period, the most recent three-month LIBOR rate on which Three-Month LIBOR could have been determined in accordance with the first sentence of this paragraph had the distribution rate been a floating rate during the Series B Fixed Rate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Three-Month LIBOR is less than zero, Three-Month LIBOR shall be deemed to be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clauses (i), (ii) and (iii):</w:t>
      </w:r>
    </w:p>
    <w:p>
      <w:pPr>
        <w:spacing w:after="0" w:line="117" w:lineRule="exact"/>
        <w:rPr>
          <w:sz w:val="20"/>
          <w:szCs w:val="20"/>
          <w:color w:val="auto"/>
        </w:rPr>
      </w:pPr>
    </w:p>
    <w:p>
      <w:pPr>
        <w:ind w:right="20" w:firstLine="737"/>
        <w:spacing w:after="0" w:line="277" w:lineRule="auto"/>
        <w:tabs>
          <w:tab w:leader="none" w:pos="9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calculation agent determines on the relevant distribution determination date that LIBOR has been discontinued or is no longer viewed as an acceptable benchmark for securities like the Series B Preferred</w:t>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Shares (a “Series B LIBOR Event”), then the calculation agent will use a substitute or successor base rate that it has determined, in consultation with us, is the most comparable to LIBOR;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agent determines there is an industry-accepted substitute or successor base rate, then the calculation agent shall use such substitute or successor base rate.</w:t>
      </w:r>
    </w:p>
    <w:p>
      <w:pPr>
        <w:spacing w:after="0" w:line="73" w:lineRule="exact"/>
        <w:rPr>
          <w:sz w:val="20"/>
          <w:szCs w:val="20"/>
          <w:color w:val="auto"/>
        </w:rPr>
      </w:pPr>
    </w:p>
    <w:p>
      <w:pPr>
        <w:jc w:val="both"/>
        <w:ind w:firstLine="737"/>
        <w:spacing w:after="0" w:line="257" w:lineRule="auto"/>
        <w:tabs>
          <w:tab w:leader="none" w:pos="9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Notwithstanding the foregoing, if the calculation agent determines in its sole discretion that there is no alternative rate that is a substitute or successor base rate for LIBOR, the calculation agent may, in its sole discretion, or if the calculation agent fails to do so, the Company may, appoint an IFA to determine an appropriate alternative rate and any adjustments, and the decision of the IFA will be binding on the Company, the calculation agent and the holders of Series B Preferred Shares. If a Series B LIBOR Event has occurred, but for any reason an alternative rate has not been determined, an IFA has not determined an appropriate alternative rate and adjustments or an IFA has not been appointed, Three-Month LIBOR for the next Distribution Period to which the determination date relates shall be Three-Month LIBOR as in effect for the then-current Distribution Period; provided, that if this sentence is applicable with respect to the first Distribution Period in the Series B Floating Rate Period, the interest rate, business day convention and manner of calculating interest applicable during the Series B Fixed Rate Period will remain in effect during the Series B Floating Rate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Regarding Distributions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While any Series B Preferred Shares remain outstanding, unless the full cumulative distributions for all past Distribution Periods on all outstanding Series B Preferred Shares have been or contemporaneously are declared and paid in full or declared and a sum sufficient for the payment of those distributions has been set aside:</w:t>
      </w:r>
    </w:p>
    <w:p>
      <w:pPr>
        <w:spacing w:after="0" w:line="73" w:lineRule="exact"/>
        <w:rPr>
          <w:sz w:val="20"/>
          <w:szCs w:val="20"/>
          <w:color w:val="auto"/>
        </w:rPr>
      </w:pPr>
    </w:p>
    <w:p>
      <w:pPr>
        <w:ind w:right="20" w:firstLine="737"/>
        <w:spacing w:after="0" w:line="277" w:lineRule="auto"/>
        <w:tabs>
          <w:tab w:leader="none" w:pos="9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distribution will be declared and paid or set aside for payment on any Junior Securities (as defined below) (other than a distribution payable solely in shares of Junior Securities);</w:t>
      </w:r>
    </w:p>
    <w:p>
      <w:pPr>
        <w:spacing w:after="0" w:line="62" w:lineRule="exact"/>
        <w:rPr>
          <w:rFonts w:ascii="Arial" w:cs="Arial" w:eastAsia="Arial" w:hAnsi="Arial"/>
          <w:sz w:val="18"/>
          <w:szCs w:val="18"/>
          <w:color w:val="auto"/>
        </w:rPr>
      </w:pPr>
    </w:p>
    <w:p>
      <w:pPr>
        <w:jc w:val="both"/>
        <w:ind w:firstLine="737"/>
        <w:spacing w:after="0" w:line="297" w:lineRule="auto"/>
        <w:tabs>
          <w:tab w:leader="none" w:pos="9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B Preferred Shares), nor will any monies be paid to or made available for a sinking fund for the redemption of any such securities by the Company or any of its subsidiaries; and</w:t>
      </w:r>
    </w:p>
    <w:p>
      <w:pPr>
        <w:spacing w:after="0" w:line="50" w:lineRule="exact"/>
        <w:rPr>
          <w:rFonts w:ascii="Arial" w:cs="Arial" w:eastAsia="Arial" w:hAnsi="Arial"/>
          <w:sz w:val="16"/>
          <w:szCs w:val="16"/>
          <w:color w:val="auto"/>
        </w:rPr>
      </w:pPr>
    </w:p>
    <w:p>
      <w:pPr>
        <w:jc w:val="both"/>
        <w:ind w:firstLine="737"/>
        <w:spacing w:after="0" w:line="312" w:lineRule="auto"/>
        <w:tabs>
          <w:tab w:leader="none" w:pos="9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shares of Parity Securities will be repurchased, redeemed or otherwise acquired for consideration by the Company or any of its subsidiaries (other than pursuant to pro rata offers to purchase or exchange all, or a pro rata portion of Series B Preferred Shares and such Parity Securities or as a result of a reclassification of Parity Securities for or into other Parity Securities, or by conversion into or exchange for other Parity Securities or Junior Securities).</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7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Accumulated distributions in arrears for any past Distribution Period may be declared by the board of directors and paid on any date fixed by the board of directors, whether or not a Distribution Payment Date, to holders of the Series B Preferred Shares on the record date for such payment, which may not be less than 10 days before such distribution. To the extent a distribution period applicable to a class of Junior Securities or Parity Securities is shorter than the Distribution Period applicable to the Series B Preferred Shares (e.g., monthly rather than quarterly),</w:t>
      </w:r>
    </w:p>
    <w:p>
      <w:pPr>
        <w:sectPr>
          <w:pgSz w:w="11900" w:h="16838" w:orient="portrait"/>
          <w:cols w:equalWidth="0" w:num="1">
            <w:col w:w="11420"/>
          </w:cols>
          <w:pgMar w:left="240" w:top="1440" w:right="239" w:bottom="1440" w:gutter="0" w:footer="0" w:header="0"/>
        </w:sectPr>
      </w:pPr>
    </w:p>
    <w:bookmarkStart w:id="127" w:name="page128"/>
    <w:bookmarkEnd w:id="127"/>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B Preferred Shares on the next Distribution Payment Date.</w:t>
      </w:r>
    </w:p>
    <w:p>
      <w:pPr>
        <w:spacing w:after="0" w:line="7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Subject to the next succeeding sentence, if all accumulated distributions in arrears on all outstanding Series B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B Preferred Shares and any Parity Securities are paid, any partial payment will be made pro rata with respect to the Series B Preferred Shares and any Parity Securities entitled to a distribution payment at such time in proportion to the aggregate amounts remaining due in respect of such Series B Preferred Shares and Parity Securities at such time.</w:t>
      </w:r>
    </w:p>
    <w:p>
      <w:pPr>
        <w:spacing w:after="0" w:line="8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As used in this description of Series B Preferred Shares, (i) “Junior Securities” means our common shares and any other class or series of our Capital Stock over which the Series B Preferred Shares has preference or priority in the payment of distributions or in the distribution of assets on our liquidation, dissolution or winding up, (ii) “Parity Securities” means any other class or series of our Capital Stock that ranks equally with the Series B Preferred Shares in the payment of distributions and in the distribution of assets on our liquidation, dissolution or winding up (including our Series A Preferred Shares) and (iii) “Senior Securities” means any other class or series of our Capital Stock that has preference or priority over the Series B Preferred Shares in the payment of distributions or in the distribution of assets on our liquidation, dissolution or winding up.</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Subject to the conditions described above, and not otherwise, distributions (payable in cash, shares, or otherwise), as may be determined by our board of directors, may be declared and paid on our common shares and any Junior Securities from time to time out of any funds legally available for such payment, and the holders of the Series B Preferred Shares will not be entitled to participate in those distributions.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Upon our voluntary or involuntary Liquidation, the holders of the outstanding Series B Preferred Shares are entitled to be paid out of our assets legally available for distribution to our shareholders, before any distribution of assets is made to holders of common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 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B Preferred Shares will have no right or claim to any of our remaining assets.</w:t>
      </w:r>
    </w:p>
    <w:p>
      <w:pPr>
        <w:spacing w:after="0" w:line="59"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Distributions will be made only to the extent that our assets are available after satisfaction of all liabilities to creditors and subject to the rights of holders of any securities ranking senior to the Series B Preferred Shares. If, in the event of a Liquidation, we are unable to pay full liquidating distributions to the holders of all outstanding Series B Preferred Shares in accordance with the foregoing and to all Parity Securities in accordance with the terms thereof, then we will distribute our assets to those holders ratably in proportion to the liquidating distributions to which they would otherwise have received.</w:t>
      </w:r>
    </w:p>
    <w:p>
      <w:pPr>
        <w:spacing w:after="0" w:line="4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merger or consolidation with or into any other entity or by another entity with or into us or the sale, lease, exchange or other transfer of all or substantially all of our assets (for cash, securities or other consideration) will not be deemed to be a liquidation, dissolution or winding up. If we enter into any merger or consolidation transaction with or into any other entity and we are not the surviving entity in such transaction, the Series B Preferred Shares may be converted into shares of the surviving or successor entity or the direct or indirect parent of the surviving or successor entity having terms identical to the terms of the Series B Preferred Shares set forth in this description.</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Because we are a holding company, our rights and the rights of our creditors and our shareholders, including the holders of the Series B Preferred Shares, to participate in the distribution of assets of any of our subsidiaries upon that subsidiary’s voluntary or involuntary liquidation, dissolution or winding up will be subject to the prior</w:t>
      </w:r>
    </w:p>
    <w:p>
      <w:pPr>
        <w:sectPr>
          <w:pgSz w:w="11900" w:h="16838" w:orient="portrait"/>
          <w:cols w:equalWidth="0" w:num="1">
            <w:col w:w="11420"/>
          </w:cols>
          <w:pgMar w:left="240" w:top="1440" w:right="239" w:bottom="1440" w:gutter="0" w:footer="0" w:header="0"/>
        </w:sectPr>
      </w:pPr>
    </w:p>
    <w:bookmarkStart w:id="128" w:name="page129"/>
    <w:bookmarkEnd w:id="128"/>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claims of that subsidiary’s creditors, except to the extent that we are a creditor with recognized claims against that subsidiary.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Preemptive Rights</w:t>
      </w:r>
    </w:p>
    <w:p>
      <w:pPr>
        <w:spacing w:after="0" w:line="121"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Series B Preferred Shares are not entitled to any preemptive rights or other rights to purchase or subscribe for our common shares or any other security, and are not convertible into or exchangeable for our common shares or any other security or property at the option of the holder.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Preferred Shares are not subject to any mandatory redemption, sinking fund or other similar provisions.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B Preferred Shares do not have the right to require the redemption or repurchase of the Series B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December 15, 2024</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may redeem the Series B Preferred Shares, in whole or in part, at our option, at any time or from time to time on or after December 15, 2024 (“Series B Optional Redemption”), at the redemption price equal to $25.00 per Series B Preferred Share, plus an amount equal to all accumulated and unpaid distributions thereon, if any, to, but excluding, the date of redemption, whether or not declared. We may undertake multiple Series B Optional Redemptions. Any such redemption would be effected only out of funds legally available for such purpose and would be subject to compliance with the provisions of the instruments governing our outstanding indebtedness.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 Event</w:t>
      </w:r>
    </w:p>
    <w:p>
      <w:pPr>
        <w:spacing w:after="0" w:line="11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Series B Rating Event (as defined below), we may, at our option, redeem the Series B Preferred Shares in whole, but not in part, prior to December 15, 2024, at a redemption price per Series B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“Series B Rating Event” means a change by any rating agency to the criteria employed by such rating agency as of the date of original issuance of the Series B Preferred Shares for purposes of assigning ratings to securities with features similar to the Series B Preferred Shares, which change results in (i) any shortening of the length of time for which the current criteria are scheduled to be in effect with respect to the Series B Preferred Shares, or (ii) a lower equity credit being given to the Series B Preferred Shares than the equity credit that would have been assigned to the Series B Preferred Shares by such rating agency pursuant to the current criteria.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Change of Control</w:t>
      </w:r>
    </w:p>
    <w:p>
      <w:pPr>
        <w:spacing w:after="0" w:line="11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If a Change of Control occurs, we may, at our option, redeem the Series B Preferred Shares, in whole but not in part, prior to December 15, 2024 and within 60 days after the occurrence of such Change of Control,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46"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18"/>
          <w:szCs w:val="18"/>
          <w:color w:val="auto"/>
        </w:rPr>
        <w:t>If (i) a Change of Control occurs (whether before, on or after December 15, 2024) and (ii) we do not give notice prior to the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following the Change of Control to redeem all the outstanding Series B Preferred Shares, the distribution rate per annum on the Series B Preferred Shares will increase by 5.00%, beginning on the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following such Change of Control.</w:t>
      </w:r>
    </w:p>
    <w:p>
      <w:pPr>
        <w:spacing w:after="0" w:line="8"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Change of Control redemption feature of the Series B Preferred Shares may, in certain circumstances, make more difficult or discourage a sale or takeover of our limited liability company or a member of the Company and, thus, the removal of incumbent management. We have no present intention to engage in a transaction involving a Change of Control, although it is possible that we could decide to do so in the future.</w:t>
      </w:r>
    </w:p>
    <w:p>
      <w:pPr>
        <w:sectPr>
          <w:pgSz w:w="11900" w:h="16838" w:orient="portrait"/>
          <w:cols w:equalWidth="0" w:num="1">
            <w:col w:w="11420"/>
          </w:cols>
          <w:pgMar w:left="240" w:top="1440" w:right="239" w:bottom="1440" w:gutter="0" w:footer="0" w:header="0"/>
        </w:sectPr>
      </w:pPr>
    </w:p>
    <w:bookmarkStart w:id="129" w:name="page130"/>
    <w:bookmarkEnd w:id="129"/>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Tax Redemption Event</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a Series B Tax Redemption Event (as defined below) occurs, we may, at our option, redeem the Series B Preferred Shares, in whole but not in part, prior to December 15, 2024, and within 60 days after the occurrence of such Series B Tax Redemption Event,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“Series B Tax Redemption Event” means, after the date the Series B Preferred Shares are first issued, due to (a) an amendment to, or a change in official interpretation of the Code, Treasury Regulations promulgated thereunder, or administrative guidance or (b) an administrative or judicial determination, (i) we are advised by nationally recognized counsel or a “Big Four” accounting firm that we will be treated as an association taxable as a corporation for U.S. Federal income tax purposes or otherwise subject to U.S. Federal income tax (other than any tax imposed pursuant to Section 6225 of the Code, as amended by the Bipartisan Budget Act of 2015), or (ii) we file an IRS Form 8832 (or successor form) electing that we be treated as an association taxable as a corporation for U.S. Federal income tax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we elect to redeem any Series B Preferred Shares, we will provide notice to the holders of record of the Series B Preferred Shares to be redeemed, not less than 30 days and not more than 60 days before the date fixed for redemption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Series B Preferred Shares are held in book-entry form through a Securities Depositary, we may give this notice in any manner permitted by such Securities Depositary). Any notice given as provided in this paragraph will be conclusively presumed to have been duly given, whether or not the holder receives such notice, and any defect in such notice or in the provision of such notice to any holder of Series B Preferred Shares designated for redemption will not affect the redemption of any other Series B Preferred Shares. Each notice of redemption shall state:</w:t>
      </w:r>
    </w:p>
    <w:p>
      <w:pPr>
        <w:spacing w:after="0" w:line="85" w:lineRule="exact"/>
        <w:rPr>
          <w:sz w:val="20"/>
          <w:szCs w:val="20"/>
          <w:color w:val="auto"/>
        </w:rPr>
      </w:pPr>
    </w:p>
    <w:p>
      <w:pPr>
        <w:ind w:left="840" w:hanging="103"/>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fewer than all Series B Preferred Shares are to be redeemed, the number of Series B Preferred Shares to be redeemed; and</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manner in which holders of Series B Preferred Shares called for redemption may obtain payment of the redemption price in respect of those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0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notice of redemption of any Series B Preferred Shares has been given and if the funds necessary for such redemption have been deposited by us in trust with a bank or a Securities Depositary for the benefit of the holders of any Series B Preferred Shares so called for redemption, then from and after the redemption date such Series B Preferred Shares will no longer be deemed outstanding for any purpose, all distributions with respect to such Series B Preferred Shares shall cease to accrue after the redemption date and all rights of the holders of such shares will terminate, except the right to receive the redemption price, without interest.</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the case of any redemption of only part of the Series B Preferred Shares at the time outstanding, the Series B Preferred Shares to be redeemed will be selected either pro rata or by lot. Subject to the provisions set forth in this description, the board of directors will have the full power and authority to prescribe the terms and conditions upon which Series B Preferred Shares may be redeemed from time to time.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Owners of Series B Preferred Shares do not have any voting rights, except as set forth below or as otherwise required by applicable law. To the extent that owners of Series B Preferred Shares are entitled to vote, each holder of Series B Preferred Shares will have one vote per share, except that when shares of any class or series of Parity Securities have the right to vote with the Series B Preferred Shares as a single class on any matter, the Series B Preferred Shares and the shares of each such Parity Securities will have one vote for each $25.00 of liquidation preference (for the avoidance of doubt, excluding accumulated distributions).</w:t>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9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 xml:space="preserve">Whenever dividends on any shares of the Series B Preferred Shares are in arrears for six or more quarterly Distribution Periods, whether or not consecutive, the number of directors then constituting our board of directors will be automatically increased by two (if not already increased by two by reason of the election of directors by the holders of any Other Voting Preferred Shares). The holders of Other Voting Preferred Shares and the holders of the Series B Preferred Shares will be entitled to vote, by the affirmative vote of a majority of the votes entitled to be cast, for the election of those two additional directors at a special meeting of the holders of the Series B Preferred Shares and such Other Voting Preferred Shares and at each subsequent annual meeting of the holders of our common shares at which such directors are up for reelection;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all distributions accumulated on the Series B Preferred Shares for all past Distribution Periods and the then current Distribution Period shall have been fully paid, the right of holders of the Series B Preferred Shares to elect any directors will cease and, unless there are any Other Voting Preferred Shares entitled to vote for the election of directors, the term of office of those two directors will forthwith terminate, any directors elected by holders of the Series B Preferred Shares shall immediately resign and the number of directors constituting the board of directors shall be reduced accordingly. However, the right of the holders of the Series B Preferred Shares and any Other Voting Preferred Shares to elect two additional directors will again vest if and whenever six additional quarterly distributions have not been declared and paid, as described above. In no event shall the holders of the Series B Preferred Shares be entitled pursuant to these voting rights to elect a director that would cause us to fail to satisfy a requirement relating to director independence of any national securities exchange or quotation system on which any class or series of our Capital Stock is listed or quoted. For the avoidance of doubt, in no event shall the total number of directors elected by holders of the Series B Preferred Shares and any Other Voting Preferred Shares exceed two.</w:t>
      </w:r>
    </w:p>
    <w:p>
      <w:pPr>
        <w:spacing w:after="0" w:line="61"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If, at any time when the voting rights conferred upon the Series B Preferred Shares (as described above) are exercisable, any vacancy in the office of a director elected pursuant to the procedures described above shall occur, then such vacancy may be filled only by the remaining director or by the affirmative vote of a majority of the votes entitled to be cast by the holders of record of the outstanding Series B Preferred Shares and all Other Voting Preferred Shares, acting as a single class at a special meeting of such holders. Any director elected or appointed pursuant to the procedures described above may be removed at any time, with or without cause, only by the affirmative vote of holders of the outstanding Series B Preferred Shares and all Other Voting Preferred Shares, acting as a single class at a meeting of shareholders, such removal to be effected by the affirmative vote of a majority of the votes entitled to be cast by the holders of the outstanding Series B Preferred Shares and Other Voting Preferred Shares, and may not be removed by the holders of our common shares.</w:t>
      </w:r>
    </w:p>
    <w:p>
      <w:pPr>
        <w:spacing w:after="0" w:line="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7"/>
          <w:szCs w:val="17"/>
          <w:color w:val="auto"/>
        </w:rPr>
        <w:t>While any Series B Preferred Shares remain outstanding, we will not, without the affirmative vote or consent of holders of at least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in voting power of the Series B Preferred Shares and all Other Voting Preferred Shares, acting as a single class, (i) authorize, create or issue any Senior Securities or reclassify any authorized Capital Stock into any Senior Securities or issue any obligation or security convertible into or evidencing the right to purchase any Senior Securities or (ii) amend, alter or repeal any provision of the Operating Agreement, including by merger, consolidation or otherwise, so as to adversely affect the powers, preferences or special rights of the Series B Preferred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clause (ii) above, if such amendment affects materially and adversely the rights, designations, preferences, powers and duties of one or more but not all of the classes or series of the Other Voting Preferred Shares (including the Series B Preferred Shares for this purpose), only the consent of the holders of at least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in voting power of the outstanding shares of the classes or series so affected, voting as a class, is required in lieu of (or, if such consent is required by law, in addition to) the consent of the holders of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of the Other Voting Preferred Shares (including the Series B Preferred Shares for this purpose) as a class. However, we may create additional series or classes of Parity Securities and Junior Securities and issue additional classes or series of Parity Securities and Junior Securities without notice to or the consent of any holder of the Series B Preferred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Parity Securities, the full cumulative distributions for all past Distribution Periods on all outstanding Series B Preferred Shares shall have been or contemporaneously are declared and paid in full or declared and a sum sufficient for the payment of those distributions has been set aside.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foregoing, none of the following will be deemed to affect the powers, preferences or special rights of the Series B Preferred Shares:</w:t>
      </w:r>
    </w:p>
    <w:p>
      <w:pPr>
        <w:spacing w:after="0" w:line="140" w:lineRule="exact"/>
        <w:rPr>
          <w:sz w:val="20"/>
          <w:szCs w:val="20"/>
          <w:color w:val="auto"/>
        </w:rPr>
      </w:pPr>
    </w:p>
    <w:p>
      <w:pPr>
        <w:ind w:firstLine="737"/>
        <w:spacing w:after="0" w:line="277" w:lineRule="auto"/>
        <w:tabs>
          <w:tab w:leader="none" w:pos="8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increase in the amount of authorized common shares or authorized preferred shares, or any increase or decrease in the number of shares of any series of preferred stock, or the authorization, creation and</w:t>
      </w:r>
    </w:p>
    <w:p>
      <w:pPr>
        <w:sectPr>
          <w:pgSz w:w="11900" w:h="16838" w:orient="portrait"/>
          <w:cols w:equalWidth="0" w:num="1">
            <w:col w:w="11420"/>
          </w:cols>
          <w:pgMar w:left="240" w:top="1440" w:right="239" w:bottom="1440" w:gutter="0" w:footer="0" w:header="0"/>
        </w:sectPr>
      </w:pPr>
    </w:p>
    <w:bookmarkStart w:id="131" w:name="page132"/>
    <w:bookmarkEnd w:id="131"/>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issuance of other classes or series of Capital Stock, in each case ranking on parity with or junior to the Series B Preferred Shares as to distributions or distribution of assets upon our liquidation, dissolution or winding up;</w:t>
      </w:r>
    </w:p>
    <w:p>
      <w:pPr>
        <w:spacing w:after="0" w:line="62" w:lineRule="exact"/>
        <w:rPr>
          <w:sz w:val="20"/>
          <w:szCs w:val="20"/>
          <w:color w:val="auto"/>
        </w:rPr>
      </w:pPr>
    </w:p>
    <w:p>
      <w:pPr>
        <w:ind w:right="20" w:firstLine="737"/>
        <w:spacing w:after="0" w:line="277" w:lineRule="auto"/>
        <w:tabs>
          <w:tab w:leader="none" w:pos="85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B Preferred Shares remain outstanding with identical terms as existing immediately prior to such merger or consolidation; and</w:t>
      </w:r>
    </w:p>
    <w:p>
      <w:pPr>
        <w:spacing w:after="0" w:line="62" w:lineRule="exact"/>
        <w:rPr>
          <w:rFonts w:ascii="Arial" w:cs="Arial" w:eastAsia="Arial" w:hAnsi="Arial"/>
          <w:sz w:val="18"/>
          <w:szCs w:val="18"/>
          <w:color w:val="auto"/>
        </w:rPr>
      </w:pPr>
    </w:p>
    <w:p>
      <w:pPr>
        <w:jc w:val="both"/>
        <w:ind w:firstLine="737"/>
        <w:spacing w:after="0" w:line="264" w:lineRule="auto"/>
        <w:tabs>
          <w:tab w:leader="none" w:pos="8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 or consolidation of us with or into another entity in which the Series B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B Preferred Shares.</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foregoing voting rights of the holders of Series B Preferred Shares shall not apply if, at or prior to the time when the act with respect to which the vote would otherwise be required shall be effected, all outstanding Series B Preferred Shares shall have been redeemed or called for redemption upon proper notice and we shall have set aside sufficient funds for the benefit of holders of Series B Preferred Shares to effect the redemption.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Each person that holds or has held a Series B Preferred Share and each person that holds or has held any beneficial interest in a Series B Preferred Share (whether through a broker, dealer, bank, trust company or clearing corporation or an agent of any of the foregoing or otherwise), to the fullest extent permitted by law, (i) irrevocably agrees that any claims, suits, actions or proceedings against us, or any director, officer, employee, control person, underwriter or agent of the Company or its affiliates, asserted under United States federal securities laws, otherwise arising under such laws, or that could have been asserted as a claim arising under such laws, shall be exclusively brought in the federal district courts of the United States of America (except, and only to the extent, that any such claims, actions or proceedings are of a type for which a member may not waive its right to maintain a legal action or proceeding in the courts of the State of Delaware with respect to matters relating to the organization or internal affairs of the Company as set forth under Section 18-109(d) of the Delaware Limited Liability Company Act); (ii) irrevocably submits to the exclusive jurisdiction of such courts in connection with any such claim, suit, action or proceeding; and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All Series B Preferred Shares are represented by a single certificate issued to the Securities Depositary, and registered in the name of the Securities Depositary or its nominee, and no holder of the Series B Preferred Shares is entitled to receive a certificate evidencing Series B Preferred Shares unless otherwise required by law or the Securities Depositary gives notice of its intention to resign or is no longer eligible to act as such and we have not selected a substitute Securities Depositary within 60 calendar days thereafter. Payments and communications made by us to holders of the Series B Preferred Shares will be duly made by making payments to, and communicating with, the Securities Depositary. Accordingly, unless certificates are available to holders of the Series B Preferred Shares, each holder of Series B Preferred Shares must rely on (i) the procedures of the Securities Depositary and its participants to receive distributions, any redemption price, liquidation preference and notices, and to direct the exercise of any voting or nominating rights, with respect to such Series B Preferred Shares and (ii) the records of the Securities Depositary and its participants to evidence its ownership of such Series B Preferred Shares.</w:t>
      </w:r>
    </w:p>
    <w:p>
      <w:pPr>
        <w:spacing w:after="0" w:line="58"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So long as the Securities Depositary (or its nominee) is the sole holder of the Series B Preferred Shares, no beneficial holder of the Series B Preferred Shares will be deemed to be a holder of Series B Preferred Shares. The Depository Trust Company, the initial Securities Depositary, is a New York-chartered limited purpose trust company that performs services for its participants, some of whom (and/or their representatives) own The Depository Trust Company. The Securities Depositary maintains lists of its participants and will maintain the positions (i.e., ownership interests) held by its participants in the Series B Preferred Shares, whether as a holder of the Series B Preferred Shares for its own account or as a nominee for another holder of the Series B Preferred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Provisions of Delaware Law and Our Operating Agreement</w:t>
      </w:r>
    </w:p>
    <w:p>
      <w:pPr>
        <w:sectPr>
          <w:pgSz w:w="11900" w:h="16838" w:orient="portrait"/>
          <w:cols w:equalWidth="0" w:num="1">
            <w:col w:w="11420"/>
          </w:cols>
          <w:pgMar w:left="240" w:top="1440" w:right="239" w:bottom="1440" w:gutter="0" w:footer="0" w:header="0"/>
        </w:sectPr>
      </w:pPr>
    </w:p>
    <w:bookmarkStart w:id="132" w:name="page133"/>
    <w:bookmarkEnd w:id="13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 Under the Delaware LLC Act, an assignee who becomes a substituted member of a company is liable for the obligations of his assignor to make contributions to the company, except the assignee is not obligated for liabilities unknown to him at the time the assignee became a member and that could not be ascertained from the Operating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Our Operating Agreement</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total outstanding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Prohibited Amendments. No amendment may be made that would:</w:t>
      </w:r>
    </w:p>
    <w:p>
      <w:pPr>
        <w:spacing w:after="0" w:line="117" w:lineRule="exact"/>
        <w:rPr>
          <w:sz w:val="20"/>
          <w:szCs w:val="20"/>
          <w:color w:val="auto"/>
        </w:rPr>
      </w:pPr>
    </w:p>
    <w:p>
      <w:pPr>
        <w:ind w:left="840" w:hanging="103"/>
        <w:spacing w:after="0"/>
        <w:tabs>
          <w:tab w:leader="none" w:pos="8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enlarge the obligations of any shareholder without such shareholder's consent, unless approved by at least a majority of the type or class of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 affected;</w:t>
      </w:r>
    </w:p>
    <w:p>
      <w:pPr>
        <w:spacing w:after="0" w:line="102" w:lineRule="exact"/>
        <w:rPr>
          <w:rFonts w:ascii="Arial" w:cs="Arial" w:eastAsia="Arial" w:hAnsi="Arial"/>
          <w:sz w:val="16"/>
          <w:szCs w:val="16"/>
          <w:color w:val="auto"/>
        </w:rPr>
      </w:pPr>
    </w:p>
    <w:p>
      <w:pPr>
        <w:ind w:firstLine="737"/>
        <w:spacing w:after="0" w:line="277" w:lineRule="auto"/>
        <w:tabs>
          <w:tab w:leader="none" w:pos="8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840" w:hanging="103"/>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ind w:firstLine="737"/>
        <w:spacing w:after="0" w:line="277" w:lineRule="auto"/>
        <w:tabs>
          <w:tab w:leader="none" w:pos="8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Shareholder Approval.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Operating Agreement without the approval of any shareholder or assignee to reflect:</w:t>
      </w:r>
    </w:p>
    <w:p>
      <w:pPr>
        <w:spacing w:after="0" w:line="140" w:lineRule="exact"/>
        <w:rPr>
          <w:sz w:val="20"/>
          <w:szCs w:val="20"/>
          <w:color w:val="auto"/>
        </w:rPr>
      </w:pPr>
    </w:p>
    <w:p>
      <w:pPr>
        <w:ind w:left="840" w:hanging="103"/>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117" w:lineRule="exact"/>
        <w:rPr>
          <w:rFonts w:ascii="Arial" w:cs="Arial" w:eastAsia="Arial" w:hAnsi="Arial"/>
          <w:sz w:val="18"/>
          <w:szCs w:val="18"/>
          <w:color w:val="auto"/>
        </w:rPr>
      </w:pPr>
    </w:p>
    <w:p>
      <w:pPr>
        <w:ind w:firstLine="737"/>
        <w:spacing w:after="0" w:line="277" w:lineRule="auto"/>
        <w:tabs>
          <w:tab w:leader="none" w:pos="8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62" w:lineRule="exact"/>
        <w:rPr>
          <w:rFonts w:ascii="Arial" w:cs="Arial" w:eastAsia="Arial" w:hAnsi="Arial"/>
          <w:sz w:val="18"/>
          <w:szCs w:val="18"/>
          <w:color w:val="auto"/>
        </w:rPr>
      </w:pPr>
    </w:p>
    <w:p>
      <w:pPr>
        <w:jc w:val="both"/>
        <w:ind w:firstLine="737"/>
        <w:spacing w:after="0" w:line="264" w:lineRule="auto"/>
        <w:tabs>
          <w:tab w:leader="none" w:pos="8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continue our qualification as a company in which our members have limited liability under the laws of any state or to ensure that we will not be treated as an association taxable as a corporation or otherwise taxed as an entity for U.S. federal income tax purposes other than as we specifically so designate;</w:t>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90" w:lineRule="exact"/>
        <w:rPr>
          <w:sz w:val="20"/>
          <w:szCs w:val="20"/>
          <w:color w:val="auto"/>
        </w:rPr>
      </w:pPr>
    </w:p>
    <w:p>
      <w:pPr>
        <w:jc w:val="both"/>
        <w:ind w:firstLine="737"/>
        <w:spacing w:after="0" w:line="259" w:lineRule="auto"/>
        <w:tabs>
          <w:tab w:leader="none" w:pos="8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78" w:lineRule="exact"/>
        <w:rPr>
          <w:rFonts w:ascii="Arial" w:cs="Arial" w:eastAsia="Arial" w:hAnsi="Arial"/>
          <w:sz w:val="18"/>
          <w:szCs w:val="18"/>
          <w:color w:val="auto"/>
        </w:rPr>
      </w:pPr>
    </w:p>
    <w:p>
      <w:pPr>
        <w:ind w:left="840" w:hanging="103"/>
        <w:spacing w:after="0"/>
        <w:tabs>
          <w:tab w:leader="none" w:pos="8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amendment or issuance that our board of directors determines to be necessary or appropriate for the authorization of additional securities;</w:t>
      </w:r>
    </w:p>
    <w:p>
      <w:pPr>
        <w:spacing w:after="0" w:line="140" w:lineRule="exact"/>
        <w:rPr>
          <w:rFonts w:ascii="Arial" w:cs="Arial" w:eastAsia="Arial" w:hAnsi="Arial"/>
          <w:sz w:val="16"/>
          <w:szCs w:val="16"/>
          <w:color w:val="auto"/>
        </w:rPr>
      </w:pPr>
    </w:p>
    <w:p>
      <w:pPr>
        <w:ind w:left="840" w:hanging="103"/>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Operating Agreement;</w:t>
      </w:r>
    </w:p>
    <w:p>
      <w:pPr>
        <w:spacing w:after="0" w:line="140" w:lineRule="exact"/>
        <w:rPr>
          <w:rFonts w:ascii="Arial" w:cs="Arial" w:eastAsia="Arial" w:hAnsi="Arial"/>
          <w:sz w:val="16"/>
          <w:szCs w:val="16"/>
          <w:color w:val="auto"/>
        </w:rPr>
      </w:pPr>
    </w:p>
    <w:p>
      <w:pPr>
        <w:ind w:right="20" w:firstLine="737"/>
        <w:spacing w:after="0" w:line="277" w:lineRule="auto"/>
        <w:tabs>
          <w:tab w:leader="none" w:pos="8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62" w:lineRule="exact"/>
        <w:rPr>
          <w:rFonts w:ascii="Arial" w:cs="Arial" w:eastAsia="Arial" w:hAnsi="Arial"/>
          <w:sz w:val="18"/>
          <w:szCs w:val="18"/>
          <w:color w:val="auto"/>
        </w:rPr>
      </w:pPr>
    </w:p>
    <w:p>
      <w:pPr>
        <w:ind w:left="840" w:hanging="103"/>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840" w:hanging="103"/>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840" w:hanging="103"/>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ind w:firstLine="737"/>
        <w:spacing w:after="0" w:line="277" w:lineRule="auto"/>
        <w:tabs>
          <w:tab w:leader="none" w:pos="8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2" w:lineRule="exact"/>
        <w:rPr>
          <w:rFonts w:ascii="Arial" w:cs="Arial" w:eastAsia="Arial" w:hAnsi="Arial"/>
          <w:sz w:val="18"/>
          <w:szCs w:val="18"/>
          <w:color w:val="auto"/>
        </w:rPr>
      </w:pPr>
    </w:p>
    <w:p>
      <w:pPr>
        <w:jc w:val="both"/>
        <w:ind w:firstLine="737"/>
        <w:spacing w:after="0" w:line="264" w:lineRule="auto"/>
        <w:tabs>
          <w:tab w:leader="none" w:pos="8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3" w:lineRule="exact"/>
        <w:rPr>
          <w:rFonts w:ascii="Arial" w:cs="Arial" w:eastAsia="Arial" w:hAnsi="Arial"/>
          <w:sz w:val="18"/>
          <w:szCs w:val="18"/>
          <w:color w:val="auto"/>
        </w:rPr>
      </w:pPr>
    </w:p>
    <w:p>
      <w:pPr>
        <w:ind w:firstLine="737"/>
        <w:spacing w:after="0" w:line="277" w:lineRule="auto"/>
        <w:tabs>
          <w:tab w:leader="none" w:pos="8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2" w:lineRule="exact"/>
        <w:rPr>
          <w:rFonts w:ascii="Arial" w:cs="Arial" w:eastAsia="Arial" w:hAnsi="Arial"/>
          <w:sz w:val="18"/>
          <w:szCs w:val="18"/>
          <w:color w:val="auto"/>
        </w:rPr>
      </w:pPr>
    </w:p>
    <w:p>
      <w:pPr>
        <w:ind w:firstLine="737"/>
        <w:spacing w:after="0" w:line="277" w:lineRule="auto"/>
        <w:tabs>
          <w:tab w:leader="none" w:pos="8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description or the intent of the provisions of our Operating Agreement or are otherwise contemplated by our Operating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shares held by shareholders.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authorized but unissued common shares and preferred shares will be available for future issuance without obtaining shareholder approval. These additional shares may be utilized for a variety of corporate purposes, including future offerings to raise additional capital and corporate acquisitions. The existence of authorized but unissued common shares and preferred shares could render more difficult or discourage an attempt to obtain control over us by means of a proxy contest, tender offer, merger or otherwise.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ectPr>
          <w:pgSz w:w="11900" w:h="16838" w:orient="portrait"/>
          <w:cols w:equalWidth="0" w:num="1">
            <w:col w:w="11420"/>
          </w:cols>
          <w:pgMar w:left="240" w:top="1440" w:right="239" w:bottom="1440" w:gutter="0" w:footer="0" w:header="0"/>
        </w:sectPr>
      </w:pPr>
    </w:p>
    <w:bookmarkStart w:id="134" w:name="page135"/>
    <w:bookmarkEnd w:id="134"/>
    <w:p>
      <w:pPr>
        <w:spacing w:after="0" w:line="9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Our Operating Agreement provides that our board shall consist of not fewer than three and not more than nine directors as the board of directors may from time to time determine. Our board of directors consists of five directors and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are generally required to effect a change in a majority of our board of directors.</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 addition, our Operating Agreement provides that a director may be removed, only for cause, and only by the affirmative vote of at least 80% of the then issued and outstanding common shares entitled to vote in the election of directors.</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 addition, our board of directors has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Our Operating Agreement does not provide our shareholders with the ability to call a special meeting of the shareholders.</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See also, “Series A Preferred Shares—Optional Redemption upon a Change of Control” and “Series B Preferred Shares—Optional Redemption upon a Change of Control.”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1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6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w:t>
      </w:r>
    </w:p>
    <w:p>
      <w:pPr>
        <w:ind w:firstLine="8"/>
        <w:spacing w:after="0" w:line="261" w:lineRule="auto"/>
        <w:tabs>
          <w:tab w:leader="none" w:pos="2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certain shareholders. In addition to any other applicable requirements, for business to be properly brought before an annual meeting by a shareholder, such shareholder must have given timely notice thereof in proper written form to our Secretary. To be timely, a</w:t>
      </w:r>
    </w:p>
    <w:p>
      <w:pPr>
        <w:sectPr>
          <w:pgSz w:w="11900" w:h="16838" w:orient="portrait"/>
          <w:cols w:equalWidth="0" w:num="1">
            <w:col w:w="11420"/>
          </w:cols>
          <w:pgMar w:left="240" w:top="1440" w:right="239" w:bottom="1440" w:gutter="0" w:footer="0" w:header="0"/>
        </w:sectPr>
      </w:pPr>
    </w:p>
    <w:bookmarkStart w:id="135" w:name="page136"/>
    <w:bookmarkEnd w:id="135"/>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shareholder's notice must be delivered to or mailed and received at our principal executive offices (i) in the case of an annual meeting, not less than 90 days nor more than 120 days prior to the anniversary date of the immediately preceding annual meeting of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annual meeting is called for a date that is not within 25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Directors and Officers</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Operating Agreement provides that our directors will not be personally liable to us or our shareholders for monetary damages for breach of a fiduciary duty as a director, except to the extent such exemption is not permitted under the Delaware Limited Liability Company Act.</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Each indemnification agreement provides,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provide for the advancement or payment of all expenses to the indemnitee and for reimbursement to us if it is found that such indemnitee is not entitled to such indemnification under applicable law and our Operating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jc w:val="both"/>
        <w:ind w:firstLine="737"/>
        <w:spacing w:after="0" w:line="264" w:lineRule="auto"/>
        <w:tabs>
          <w:tab w:leader="none" w:pos="8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Fortress and its respective affiliates, including the Manager and General Partner,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73" w:lineRule="exact"/>
        <w:rPr>
          <w:rFonts w:ascii="Arial" w:cs="Arial" w:eastAsia="Arial" w:hAnsi="Arial"/>
          <w:sz w:val="18"/>
          <w:szCs w:val="18"/>
          <w:color w:val="auto"/>
        </w:rPr>
      </w:pPr>
    </w:p>
    <w:p>
      <w:pPr>
        <w:jc w:val="both"/>
        <w:ind w:firstLine="737"/>
        <w:spacing w:after="0" w:line="264" w:lineRule="auto"/>
        <w:tabs>
          <w:tab w:leader="none" w:pos="8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Fortress and its respective affiliates, including the Manager and General Partner, or any of their officers, directors or employees acquire knowledge of a potential transaction that could be a corporate opportunity, it has no duty to offer such corporate opportunity to us, our shareholders or affiliates;</w:t>
      </w:r>
    </w:p>
    <w:p>
      <w:pPr>
        <w:spacing w:after="0" w:line="73" w:lineRule="exact"/>
        <w:rPr>
          <w:rFonts w:ascii="Arial" w:cs="Arial" w:eastAsia="Arial" w:hAnsi="Arial"/>
          <w:sz w:val="18"/>
          <w:szCs w:val="18"/>
          <w:color w:val="auto"/>
        </w:rPr>
      </w:pPr>
    </w:p>
    <w:p>
      <w:pPr>
        <w:ind w:left="840" w:hanging="103"/>
        <w:spacing w:after="0"/>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have renounced any interest or expectancy in, or in being offered an opportunity to participate in, such corporate opportunities; and</w:t>
      </w:r>
    </w:p>
    <w:p>
      <w:pPr>
        <w:spacing w:after="0" w:line="128" w:lineRule="exact"/>
        <w:rPr>
          <w:rFonts w:ascii="Arial" w:cs="Arial" w:eastAsia="Arial" w:hAnsi="Arial"/>
          <w:sz w:val="17"/>
          <w:szCs w:val="17"/>
          <w:color w:val="auto"/>
        </w:rPr>
      </w:pPr>
    </w:p>
    <w:p>
      <w:pPr>
        <w:jc w:val="both"/>
        <w:ind w:firstLine="737"/>
        <w:spacing w:after="0" w:line="276" w:lineRule="auto"/>
        <w:tabs>
          <w:tab w:leader="none" w:pos="837"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in the event that any of our directors and officers who is also a director, officer or employee of Fortress and their respective affiliates, including the Manager and General Partner, acquire knowledge of a corporate opportunity or is offered a corporate opportunity,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Manager and General Partner, pursues or acquires the corporate opportunity or if such person did not present the corporate opportunity to us.</w:t>
      </w:r>
    </w:p>
    <w:p>
      <w:pPr>
        <w:sectPr>
          <w:pgSz w:w="11900" w:h="16838" w:orient="portrait"/>
          <w:cols w:equalWidth="0" w:num="1">
            <w:col w:w="11420"/>
          </w:cols>
          <w:pgMar w:left="240" w:top="1440"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6400" w:type="dxa"/>
            <w:vAlign w:val="bottom"/>
          </w:tcPr>
          <w:p>
            <w:pPr>
              <w:ind w:left="260"/>
              <w:spacing w:after="0"/>
              <w:rPr>
                <w:sz w:val="20"/>
                <w:szCs w:val="20"/>
                <w:color w:val="auto"/>
              </w:rPr>
            </w:pPr>
            <w:r>
              <w:rPr>
                <w:rFonts w:ascii="Arial" w:cs="Arial" w:eastAsia="Arial" w:hAnsi="Arial"/>
                <w:sz w:val="16"/>
                <w:szCs w:val="16"/>
                <w:b w:val="1"/>
                <w:bCs w:val="1"/>
                <w:color w:val="auto"/>
              </w:rPr>
              <w:t>Exhibit 21.1</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640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State of Incorporation/Formation</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1ASL Bermuda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Bermuda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AirOpCo 1ET Bermuda Ltd.</w:t>
            </w:r>
          </w:p>
        </w:tc>
        <w:tc>
          <w:tcPr>
            <w:tcW w:w="6400" w:type="dxa"/>
            <w:vAlign w:val="bottom"/>
          </w:tcPr>
          <w:p>
            <w:pPr>
              <w:ind w:left="2820"/>
              <w:spacing w:after="0"/>
              <w:rPr>
                <w:sz w:val="20"/>
                <w:szCs w:val="20"/>
                <w:color w:val="auto"/>
              </w:rPr>
            </w:pPr>
            <w:r>
              <w:rPr>
                <w:rFonts w:ascii="Arial" w:cs="Arial" w:eastAsia="Arial" w:hAnsi="Arial"/>
                <w:sz w:val="14"/>
                <w:szCs w:val="14"/>
                <w:color w:val="auto"/>
              </w:rPr>
              <w:t>Bermuda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1JT Bermuda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Bermuda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AirOpCo 2 UZ Ireland DAC</w:t>
            </w:r>
          </w:p>
        </w:tc>
        <w:tc>
          <w:tcPr>
            <w:tcW w:w="6400" w:type="dxa"/>
            <w:vAlign w:val="bottom"/>
          </w:tcPr>
          <w:p>
            <w:pPr>
              <w:ind w:left="2820"/>
              <w:spacing w:after="0"/>
              <w:rPr>
                <w:sz w:val="20"/>
                <w:szCs w:val="20"/>
                <w:color w:val="auto"/>
              </w:rPr>
            </w:pPr>
            <w:r>
              <w:rPr>
                <w:rFonts w:ascii="Arial" w:cs="Arial" w:eastAsia="Arial" w:hAnsi="Arial"/>
                <w:sz w:val="14"/>
                <w:szCs w:val="14"/>
                <w:color w:val="auto"/>
              </w:rPr>
              <w:t>Ireland</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 SD Ireland DAC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Ireland</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AirOpCo II KO Ireland DAC</w:t>
            </w:r>
          </w:p>
        </w:tc>
        <w:tc>
          <w:tcPr>
            <w:tcW w:w="6400" w:type="dxa"/>
            <w:vAlign w:val="bottom"/>
          </w:tcPr>
          <w:p>
            <w:pPr>
              <w:ind w:left="2820"/>
              <w:spacing w:after="0"/>
              <w:rPr>
                <w:sz w:val="20"/>
                <w:szCs w:val="20"/>
                <w:color w:val="auto"/>
              </w:rPr>
            </w:pPr>
            <w:r>
              <w:rPr>
                <w:rFonts w:ascii="Arial" w:cs="Arial" w:eastAsia="Arial" w:hAnsi="Arial"/>
                <w:sz w:val="14"/>
                <w:szCs w:val="14"/>
                <w:color w:val="auto"/>
              </w:rPr>
              <w:t>Ireland</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II ME Ireland DAC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Ireland</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Delaware River Partners Holdco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River Partners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DRP Trading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1,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New Jersey</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DRP Urban Renewal 2, LLC</w:t>
            </w:r>
          </w:p>
        </w:tc>
        <w:tc>
          <w:tcPr>
            <w:tcW w:w="6400" w:type="dxa"/>
            <w:vAlign w:val="bottom"/>
          </w:tcPr>
          <w:p>
            <w:pPr>
              <w:ind w:left="2820"/>
              <w:spacing w:after="0"/>
              <w:rPr>
                <w:sz w:val="20"/>
                <w:szCs w:val="20"/>
                <w:color w:val="auto"/>
              </w:rPr>
            </w:pPr>
            <w:r>
              <w:rPr>
                <w:rFonts w:ascii="Arial" w:cs="Arial" w:eastAsia="Arial" w:hAnsi="Arial"/>
                <w:sz w:val="14"/>
                <w:szCs w:val="14"/>
                <w:color w:val="auto"/>
              </w:rPr>
              <w:t>New Jersey</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Worldwide Transportation and Infrastructure General Partnership</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AirOpCo UK Ltd.</w:t>
            </w:r>
          </w:p>
        </w:tc>
        <w:tc>
          <w:tcPr>
            <w:tcW w:w="6400" w:type="dxa"/>
            <w:vAlign w:val="bottom"/>
          </w:tcPr>
          <w:p>
            <w:pPr>
              <w:ind w:left="2820"/>
              <w:spacing w:after="0"/>
              <w:rPr>
                <w:sz w:val="20"/>
                <w:szCs w:val="20"/>
                <w:color w:val="auto"/>
              </w:rPr>
            </w:pPr>
            <w:r>
              <w:rPr>
                <w:rFonts w:ascii="Arial" w:cs="Arial" w:eastAsia="Arial" w:hAnsi="Arial"/>
                <w:sz w:val="14"/>
                <w:szCs w:val="14"/>
                <w:color w:val="auto"/>
              </w:rPr>
              <w:t>England and Wales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OpCo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CHR JV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Co 1 Ltd. (process of dissolution – postponed by KK)</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Bermuda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Co1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Development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Downstream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Marketing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Partners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Finance Holdco Ltd.</w:t>
            </w:r>
          </w:p>
        </w:tc>
        <w:tc>
          <w:tcPr>
            <w:tcW w:w="6400" w:type="dxa"/>
            <w:vAlign w:val="bottom"/>
          </w:tcPr>
          <w:p>
            <w:pPr>
              <w:ind w:left="2820"/>
              <w:spacing w:after="0"/>
              <w:rPr>
                <w:sz w:val="20"/>
                <w:szCs w:val="20"/>
                <w:color w:val="auto"/>
              </w:rPr>
            </w:pPr>
            <w:r>
              <w:rPr>
                <w:rFonts w:ascii="Arial" w:cs="Arial" w:eastAsia="Arial" w:hAnsi="Arial"/>
                <w:sz w:val="14"/>
                <w:szCs w:val="14"/>
                <w:color w:val="auto"/>
              </w:rPr>
              <w:t>Cayman Islands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JV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IES Pioneer Ltd.</w:t>
            </w:r>
          </w:p>
        </w:tc>
        <w:tc>
          <w:tcPr>
            <w:tcW w:w="6400" w:type="dxa"/>
            <w:vAlign w:val="bottom"/>
          </w:tcPr>
          <w:p>
            <w:pPr>
              <w:ind w:left="2820"/>
              <w:spacing w:after="0"/>
              <w:rPr>
                <w:sz w:val="20"/>
                <w:szCs w:val="20"/>
                <w:color w:val="auto"/>
              </w:rPr>
            </w:pPr>
            <w:r>
              <w:rPr>
                <w:rFonts w:ascii="Arial" w:cs="Arial" w:eastAsia="Arial" w:hAnsi="Arial"/>
                <w:sz w:val="14"/>
                <w:szCs w:val="14"/>
                <w:color w:val="auto"/>
              </w:rPr>
              <w:t>Malaysia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GP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Midstream GP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Ocean LLC</w:t>
            </w:r>
          </w:p>
        </w:tc>
        <w:tc>
          <w:tcPr>
            <w:tcW w:w="6400" w:type="dxa"/>
            <w:vAlign w:val="bottom"/>
          </w:tcPr>
          <w:p>
            <w:pPr>
              <w:ind w:left="2820"/>
              <w:spacing w:after="0"/>
              <w:rPr>
                <w:sz w:val="20"/>
                <w:szCs w:val="20"/>
                <w:color w:val="auto"/>
              </w:rPr>
            </w:pPr>
            <w:r>
              <w:rPr>
                <w:rFonts w:ascii="Arial" w:cs="Arial" w:eastAsia="Arial" w:hAnsi="Arial"/>
                <w:sz w:val="14"/>
                <w:szCs w:val="14"/>
                <w:color w:val="auto"/>
              </w:rPr>
              <w:t>Marshall Islands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Holdco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Offshore Holdings L.P.</w:t>
            </w:r>
          </w:p>
        </w:tc>
        <w:tc>
          <w:tcPr>
            <w:tcW w:w="6400" w:type="dxa"/>
            <w:vAlign w:val="bottom"/>
          </w:tcPr>
          <w:p>
            <w:pPr>
              <w:ind w:left="2820"/>
              <w:spacing w:after="0"/>
              <w:rPr>
                <w:sz w:val="20"/>
                <w:szCs w:val="20"/>
                <w:color w:val="auto"/>
              </w:rPr>
            </w:pPr>
            <w:r>
              <w:rPr>
                <w:rFonts w:ascii="Arial" w:cs="Arial" w:eastAsia="Arial" w:hAnsi="Arial"/>
                <w:sz w:val="14"/>
                <w:szCs w:val="14"/>
                <w:color w:val="auto"/>
              </w:rPr>
              <w:t>Cayman Islands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Pte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Singapore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Partners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Malaysia Shareholder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Pioneer MI LLC</w:t>
            </w:r>
          </w:p>
        </w:tc>
        <w:tc>
          <w:tcPr>
            <w:tcW w:w="6400" w:type="dxa"/>
            <w:vAlign w:val="bottom"/>
          </w:tcPr>
          <w:p>
            <w:pPr>
              <w:ind w:left="2820"/>
              <w:spacing w:after="0"/>
              <w:rPr>
                <w:sz w:val="20"/>
                <w:szCs w:val="20"/>
                <w:color w:val="auto"/>
              </w:rPr>
            </w:pPr>
            <w:r>
              <w:rPr>
                <w:rFonts w:ascii="Arial" w:cs="Arial" w:eastAsia="Arial" w:hAnsi="Arial"/>
                <w:sz w:val="14"/>
                <w:szCs w:val="14"/>
                <w:color w:val="auto"/>
              </w:rPr>
              <w:t>Marshall Islands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SDN Bhd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Malaysia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Pride Chartering LLC</w:t>
            </w:r>
          </w:p>
        </w:tc>
        <w:tc>
          <w:tcPr>
            <w:tcW w:w="6400" w:type="dxa"/>
            <w:vAlign w:val="bottom"/>
          </w:tcPr>
          <w:p>
            <w:pPr>
              <w:ind w:left="2820"/>
              <w:spacing w:after="0"/>
              <w:rPr>
                <w:sz w:val="20"/>
                <w:szCs w:val="20"/>
                <w:color w:val="auto"/>
              </w:rPr>
            </w:pPr>
            <w:r>
              <w:rPr>
                <w:rFonts w:ascii="Arial" w:cs="Arial" w:eastAsia="Arial" w:hAnsi="Arial"/>
                <w:sz w:val="14"/>
                <w:szCs w:val="14"/>
                <w:color w:val="auto"/>
              </w:rPr>
              <w:t>Marshall Islands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Labuan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Malaysia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Pride LLC</w:t>
            </w:r>
          </w:p>
        </w:tc>
        <w:tc>
          <w:tcPr>
            <w:tcW w:w="6400" w:type="dxa"/>
            <w:vAlign w:val="bottom"/>
          </w:tcPr>
          <w:p>
            <w:pPr>
              <w:ind w:left="2820"/>
              <w:spacing w:after="0"/>
              <w:rPr>
                <w:sz w:val="20"/>
                <w:szCs w:val="20"/>
                <w:color w:val="auto"/>
              </w:rPr>
            </w:pPr>
            <w:r>
              <w:rPr>
                <w:rFonts w:ascii="Arial" w:cs="Arial" w:eastAsia="Arial" w:hAnsi="Arial"/>
                <w:sz w:val="14"/>
                <w:szCs w:val="14"/>
                <w:color w:val="auto"/>
              </w:rPr>
              <w:t>Marshall Islands</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Malaysia SDN BHD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Malaysia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Railcar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Subsea 88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Bermuda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High Turbine Technologies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1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Cayman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JCCOM Holdco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2010 Bond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360"/>
          </w:cols>
          <w:pgMar w:left="280" w:top="891" w:right="25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Entity Name</w:t>
            </w:r>
          </w:p>
        </w:tc>
        <w:tc>
          <w:tcPr>
            <w:tcW w:w="5400" w:type="dxa"/>
            <w:vAlign w:val="bottom"/>
          </w:tcPr>
          <w:p>
            <w:pPr>
              <w:ind w:left="1820"/>
              <w:spacing w:after="0"/>
              <w:rPr>
                <w:sz w:val="20"/>
                <w:szCs w:val="20"/>
                <w:color w:val="auto"/>
              </w:rPr>
            </w:pPr>
            <w:r>
              <w:rPr>
                <w:rFonts w:ascii="Arial" w:cs="Arial" w:eastAsia="Arial" w:hAnsi="Arial"/>
                <w:sz w:val="14"/>
                <w:szCs w:val="14"/>
                <w:b w:val="1"/>
                <w:bCs w:val="1"/>
                <w:color w:val="auto"/>
              </w:rPr>
              <w:t>State of Incorporation/Formation</w:t>
            </w:r>
          </w:p>
        </w:tc>
      </w:tr>
      <w:tr>
        <w:trPr>
          <w:trHeight w:val="222"/>
        </w:trPr>
        <w:tc>
          <w:tcPr>
            <w:tcW w:w="5960" w:type="dxa"/>
            <w:vAlign w:val="bottom"/>
          </w:tcPr>
          <w:p>
            <w:pPr>
              <w:ind w:left="20"/>
              <w:spacing w:after="0"/>
              <w:rPr>
                <w:sz w:val="20"/>
                <w:szCs w:val="20"/>
                <w:color w:val="auto"/>
              </w:rPr>
            </w:pPr>
            <w:r>
              <w:rPr>
                <w:rFonts w:ascii="Arial" w:cs="Arial" w:eastAsia="Arial" w:hAnsi="Arial"/>
                <w:sz w:val="14"/>
                <w:szCs w:val="14"/>
                <w:color w:val="auto"/>
              </w:rPr>
              <w:t>Jefferson 2012 Bond Holdings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2019 Bond Borrower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2019 Bond Lessee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Canadian Oil Marketing ULC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Canada</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Cross Channel Pipeline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Docks I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DRE Liabilities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Canada ULC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Canada</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Energy Canco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Marketing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Ethanol Holdings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Gas Processing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Gulf Coast Energy Holdings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Energy Partners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Gulf Coast Management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Real Estate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Investment Holdings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LNG Holdings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Pipeline I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 (Texas)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Texas</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Railport Terminal I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II Holdings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Railport Terminal II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Southern Star Pipeline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Storage I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Terminal Logistics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Jefferson Truck Terminal I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Investment Holdings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JGC Management Holdings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 (f/k/a Jefferson Ethanol Partners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KAT Holdco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Katahdin Railcar Services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La Victoire Holdings Sarl</w:t>
            </w:r>
          </w:p>
        </w:tc>
        <w:tc>
          <w:tcPr>
            <w:tcW w:w="5400" w:type="dxa"/>
            <w:vAlign w:val="bottom"/>
          </w:tcPr>
          <w:p>
            <w:pPr>
              <w:ind w:left="1820"/>
              <w:spacing w:after="0"/>
              <w:rPr>
                <w:sz w:val="20"/>
                <w:szCs w:val="20"/>
                <w:color w:val="auto"/>
              </w:rPr>
            </w:pPr>
            <w:r>
              <w:rPr>
                <w:rFonts w:ascii="Arial" w:cs="Arial" w:eastAsia="Arial" w:hAnsi="Arial"/>
                <w:sz w:val="14"/>
                <w:szCs w:val="14"/>
                <w:color w:val="auto"/>
              </w:rPr>
              <w:t>France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Generation LLC f/k/a Ohio Powerco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Gasco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Ohio River Partners Finance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Partners Holdco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Ohio River Partners Shareholder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PP Holdco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WWTAI AirOpCo 1 USA Sub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1Bermuda Ltd.</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Bermuda</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WWTAI AirOpCo 2 Bermuda Ltd.</w:t>
            </w:r>
          </w:p>
        </w:tc>
        <w:tc>
          <w:tcPr>
            <w:tcW w:w="5400" w:type="dxa"/>
            <w:vAlign w:val="bottom"/>
          </w:tcPr>
          <w:p>
            <w:pPr>
              <w:ind w:left="1820"/>
              <w:spacing w:after="0"/>
              <w:rPr>
                <w:sz w:val="20"/>
                <w:szCs w:val="20"/>
                <w:color w:val="auto"/>
              </w:rPr>
            </w:pPr>
            <w:r>
              <w:rPr>
                <w:rFonts w:ascii="Arial" w:cs="Arial" w:eastAsia="Arial" w:hAnsi="Arial"/>
                <w:sz w:val="14"/>
                <w:szCs w:val="14"/>
                <w:color w:val="auto"/>
              </w:rPr>
              <w:t>Bermuda</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2 USA LLC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Delaware</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WWTAI AirOpCo 3 Bermuda Ltd.</w:t>
            </w:r>
          </w:p>
        </w:tc>
        <w:tc>
          <w:tcPr>
            <w:tcW w:w="5400" w:type="dxa"/>
            <w:vAlign w:val="bottom"/>
          </w:tcPr>
          <w:p>
            <w:pPr>
              <w:ind w:left="1820"/>
              <w:spacing w:after="0"/>
              <w:rPr>
                <w:sz w:val="20"/>
                <w:szCs w:val="20"/>
                <w:color w:val="auto"/>
              </w:rPr>
            </w:pPr>
            <w:r>
              <w:rPr>
                <w:rFonts w:ascii="Arial" w:cs="Arial" w:eastAsia="Arial" w:hAnsi="Arial"/>
                <w:sz w:val="14"/>
                <w:szCs w:val="14"/>
                <w:color w:val="auto"/>
              </w:rPr>
              <w:t>Bermuda</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BPA Ireland Limited</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Ireland</w:t>
            </w: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WWTAI AirOpCo I USA LLC</w:t>
            </w:r>
          </w:p>
        </w:tc>
        <w:tc>
          <w:tcPr>
            <w:tcW w:w="5400" w:type="dxa"/>
            <w:vAlign w:val="bottom"/>
          </w:tcPr>
          <w:p>
            <w:pPr>
              <w:ind w:left="1820"/>
              <w:spacing w:after="0"/>
              <w:rPr>
                <w:sz w:val="20"/>
                <w:szCs w:val="20"/>
                <w:color w:val="auto"/>
              </w:rPr>
            </w:pPr>
            <w:r>
              <w:rPr>
                <w:rFonts w:ascii="Arial" w:cs="Arial" w:eastAsia="Arial" w:hAnsi="Arial"/>
                <w:sz w:val="14"/>
                <w:szCs w:val="14"/>
                <w:color w:val="auto"/>
              </w:rPr>
              <w:t>Delaware</w:t>
            </w:r>
          </w:p>
        </w:tc>
      </w:tr>
      <w:tr>
        <w:trPr>
          <w:trHeight w:val="22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II DAC</w:t>
            </w:r>
          </w:p>
        </w:tc>
        <w:tc>
          <w:tcPr>
            <w:tcW w:w="540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Ireland</w:t>
            </w:r>
          </w:p>
        </w:tc>
      </w:tr>
    </w:tbl>
    <w:p>
      <w:pPr>
        <w:sectPr>
          <w:pgSz w:w="11900" w:h="16838" w:orient="portrait"/>
          <w:cols w:equalWidth="0" w:num="1">
            <w:col w:w="11360"/>
          </w:cols>
          <w:pgMar w:left="280" w:top="950" w:right="25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Entity Name</w:t>
            </w:r>
          </w:p>
        </w:tc>
        <w:tc>
          <w:tcPr>
            <w:tcW w:w="5380" w:type="dxa"/>
            <w:vAlign w:val="bottom"/>
          </w:tcPr>
          <w:p>
            <w:pPr>
              <w:ind w:left="1800"/>
              <w:spacing w:after="0"/>
              <w:rPr>
                <w:sz w:val="20"/>
                <w:szCs w:val="20"/>
                <w:color w:val="auto"/>
              </w:rPr>
            </w:pPr>
            <w:r>
              <w:rPr>
                <w:rFonts w:ascii="Arial" w:cs="Arial" w:eastAsia="Arial" w:hAnsi="Arial"/>
                <w:sz w:val="14"/>
                <w:szCs w:val="14"/>
                <w:b w:val="1"/>
                <w:bCs w:val="1"/>
                <w:color w:val="auto"/>
              </w:rPr>
              <w:t>State of Incorporation/Formation</w:t>
            </w:r>
          </w:p>
        </w:tc>
      </w:tr>
      <w:tr>
        <w:trPr>
          <w:trHeight w:val="222"/>
        </w:trPr>
        <w:tc>
          <w:tcPr>
            <w:tcW w:w="5980" w:type="dxa"/>
            <w:vAlign w:val="bottom"/>
          </w:tcPr>
          <w:p>
            <w:pPr>
              <w:ind w:left="20"/>
              <w:spacing w:after="0"/>
              <w:rPr>
                <w:sz w:val="20"/>
                <w:szCs w:val="20"/>
                <w:color w:val="auto"/>
              </w:rPr>
            </w:pPr>
            <w:r>
              <w:rPr>
                <w:rFonts w:ascii="Arial" w:cs="Arial" w:eastAsia="Arial" w:hAnsi="Arial"/>
                <w:sz w:val="14"/>
                <w:szCs w:val="14"/>
                <w:color w:val="auto"/>
              </w:rPr>
              <w:t>WWTAI AirOpCo Malta Limited</w:t>
            </w:r>
          </w:p>
        </w:tc>
        <w:tc>
          <w:tcPr>
            <w:tcW w:w="5380" w:type="dxa"/>
            <w:vAlign w:val="bottom"/>
          </w:tcPr>
          <w:p>
            <w:pPr>
              <w:ind w:left="1800"/>
              <w:spacing w:after="0"/>
              <w:rPr>
                <w:sz w:val="20"/>
                <w:szCs w:val="20"/>
                <w:color w:val="auto"/>
              </w:rPr>
            </w:pPr>
            <w:r>
              <w:rPr>
                <w:rFonts w:ascii="Arial" w:cs="Arial" w:eastAsia="Arial" w:hAnsi="Arial"/>
                <w:sz w:val="14"/>
                <w:szCs w:val="14"/>
                <w:color w:val="auto"/>
              </w:rPr>
              <w:t>Malta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Container 1 Ltd.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Bermuda</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Container Holdco Ltd. (f/k/a WWTAI Container GP 1 Ltd.)</w:t>
            </w:r>
          </w:p>
        </w:tc>
        <w:tc>
          <w:tcPr>
            <w:tcW w:w="5380" w:type="dxa"/>
            <w:vAlign w:val="bottom"/>
          </w:tcPr>
          <w:p>
            <w:pPr>
              <w:ind w:left="1800"/>
              <w:spacing w:after="0"/>
              <w:rPr>
                <w:sz w:val="20"/>
                <w:szCs w:val="20"/>
                <w:color w:val="auto"/>
              </w:rPr>
            </w:pPr>
            <w:r>
              <w:rPr>
                <w:rFonts w:ascii="Arial" w:cs="Arial" w:eastAsia="Arial" w:hAnsi="Arial"/>
                <w:sz w:val="14"/>
                <w:szCs w:val="14"/>
                <w:color w:val="auto"/>
              </w:rPr>
              <w:t>Bermuda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Finance Ltd.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Bermuda</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IES MT6015 Ltd.</w:t>
            </w:r>
          </w:p>
        </w:tc>
        <w:tc>
          <w:tcPr>
            <w:tcW w:w="5380" w:type="dxa"/>
            <w:vAlign w:val="bottom"/>
          </w:tcPr>
          <w:p>
            <w:pPr>
              <w:ind w:left="1800"/>
              <w:spacing w:after="0"/>
              <w:rPr>
                <w:sz w:val="20"/>
                <w:szCs w:val="20"/>
                <w:color w:val="auto"/>
              </w:rPr>
            </w:pPr>
            <w:r>
              <w:rPr>
                <w:rFonts w:ascii="Arial" w:cs="Arial" w:eastAsia="Arial" w:hAnsi="Arial"/>
                <w:sz w:val="14"/>
                <w:szCs w:val="14"/>
                <w:color w:val="auto"/>
              </w:rPr>
              <w:t>Malaysia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Offshore Co 1 Ltd.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360"/>
          </w:cols>
          <w:pgMar w:left="280" w:top="950" w:right="2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33333"/>
        </w:rPr>
        <w:t>Consent of Independent Registered Public Accounting Firm</w:t>
      </w: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333333"/>
        </w:rPr>
        <w:t>We consent to the incorporation by reference in the Registration Statement (Form S-3 No. 333-216247) of Fortress Transportation and Infrastructure Investors LLC and in the related Prospectus of our reports dated February 28, 2020, with respect to the consolidated financial statements of Fortress Transportation and Infrastructure Investors LLC and the effectiveness of internal control over financial reporting of Fortress Transportation and Infrastructure Investors LLC, included in this Annual Report (Form 10-K) for the year ended December 31, 2019.</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ectPr>
          <w:pgSz w:w="11900" w:h="16838" w:orient="portrait"/>
          <w:cols w:equalWidth="0" w:num="1">
            <w:col w:w="11420"/>
          </w:cols>
          <w:pgMar w:left="240" w:top="89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48"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2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1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18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902"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1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924"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893"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2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902"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897"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700" w:type="dxa"/>
            <w:vAlign w:val="bottom"/>
          </w:tcPr>
          <w:p>
            <w:pPr>
              <w:spacing w:after="0"/>
              <w:rPr>
                <w:sz w:val="20"/>
                <w:szCs w:val="20"/>
                <w:color w:val="auto"/>
              </w:rPr>
            </w:pPr>
            <w:r>
              <w:rPr>
                <w:rFonts w:ascii="Arial" w:cs="Arial" w:eastAsia="Arial" w:hAnsi="Arial"/>
                <w:sz w:val="16"/>
                <w:szCs w:val="16"/>
                <w:color w:val="auto"/>
              </w:rPr>
              <w:t>February 28, 2020</w:t>
            </w:r>
          </w:p>
        </w:tc>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Joseph P. Adams, Jr.</w:t>
            </w:r>
          </w:p>
        </w:tc>
      </w:tr>
      <w:tr>
        <w:trPr>
          <w:trHeight w:val="224"/>
        </w:trPr>
        <w:tc>
          <w:tcPr>
            <w:tcW w:w="5700" w:type="dxa"/>
            <w:vAlign w:val="bottom"/>
          </w:tcPr>
          <w:p>
            <w:pPr>
              <w:spacing w:after="0"/>
              <w:rPr>
                <w:sz w:val="20"/>
                <w:szCs w:val="20"/>
                <w:color w:val="auto"/>
              </w:rPr>
            </w:pPr>
            <w:r>
              <w:rPr>
                <w:rFonts w:ascii="Arial" w:cs="Arial" w:eastAsia="Arial" w:hAnsi="Arial"/>
                <w:sz w:val="16"/>
                <w:szCs w:val="16"/>
                <w:color w:val="auto"/>
              </w:rPr>
              <w:t>(Date)</w:t>
            </w:r>
          </w:p>
        </w:tc>
        <w:tc>
          <w:tcPr>
            <w:tcW w:w="5660" w:type="dxa"/>
            <w:vAlign w:val="bottom"/>
          </w:tcPr>
          <w:p>
            <w:pPr>
              <w:spacing w:after="0"/>
              <w:rPr>
                <w:sz w:val="20"/>
                <w:szCs w:val="20"/>
                <w:color w:val="auto"/>
              </w:rPr>
            </w:pPr>
            <w:r>
              <w:rPr>
                <w:rFonts w:ascii="Arial" w:cs="Arial" w:eastAsia="Arial" w:hAnsi="Arial"/>
                <w:sz w:val="16"/>
                <w:szCs w:val="16"/>
                <w:color w:val="auto"/>
              </w:rPr>
              <w:t>Joseph P. Adams, Jr.</w:t>
            </w:r>
          </w:p>
        </w:tc>
      </w:tr>
      <w:tr>
        <w:trPr>
          <w:trHeight w:val="243"/>
        </w:trPr>
        <w:tc>
          <w:tcPr>
            <w:tcW w:w="570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886"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248"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2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19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1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902"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1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924"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893"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2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902"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8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700" w:type="dxa"/>
            <w:vAlign w:val="bottom"/>
          </w:tcPr>
          <w:p>
            <w:pPr>
              <w:spacing w:after="0"/>
              <w:rPr>
                <w:sz w:val="20"/>
                <w:szCs w:val="20"/>
                <w:color w:val="auto"/>
              </w:rPr>
            </w:pPr>
            <w:r>
              <w:rPr>
                <w:rFonts w:ascii="Arial" w:cs="Arial" w:eastAsia="Arial" w:hAnsi="Arial"/>
                <w:sz w:val="16"/>
                <w:szCs w:val="16"/>
                <w:color w:val="auto"/>
              </w:rPr>
              <w:t>February 28, 2020</w:t>
            </w:r>
          </w:p>
        </w:tc>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Scott Christopher</w:t>
            </w:r>
          </w:p>
        </w:tc>
      </w:tr>
      <w:tr>
        <w:trPr>
          <w:trHeight w:val="224"/>
        </w:trPr>
        <w:tc>
          <w:tcPr>
            <w:tcW w:w="5700" w:type="dxa"/>
            <w:vAlign w:val="bottom"/>
          </w:tcPr>
          <w:p>
            <w:pPr>
              <w:spacing w:after="0"/>
              <w:rPr>
                <w:sz w:val="20"/>
                <w:szCs w:val="20"/>
                <w:color w:val="auto"/>
              </w:rPr>
            </w:pPr>
            <w:r>
              <w:rPr>
                <w:rFonts w:ascii="Arial" w:cs="Arial" w:eastAsia="Arial" w:hAnsi="Arial"/>
                <w:sz w:val="16"/>
                <w:szCs w:val="16"/>
                <w:color w:val="auto"/>
              </w:rPr>
              <w:t>(Date)</w:t>
            </w:r>
          </w:p>
        </w:tc>
        <w:tc>
          <w:tcPr>
            <w:tcW w:w="5660" w:type="dxa"/>
            <w:vAlign w:val="bottom"/>
          </w:tcPr>
          <w:p>
            <w:pPr>
              <w:spacing w:after="0"/>
              <w:rPr>
                <w:sz w:val="20"/>
                <w:szCs w:val="20"/>
                <w:color w:val="auto"/>
              </w:rPr>
            </w:pPr>
            <w:r>
              <w:rPr>
                <w:rFonts w:ascii="Arial" w:cs="Arial" w:eastAsia="Arial" w:hAnsi="Arial"/>
                <w:sz w:val="16"/>
                <w:szCs w:val="16"/>
                <w:color w:val="auto"/>
              </w:rPr>
              <w:t>Scott Christopher</w:t>
            </w:r>
          </w:p>
        </w:tc>
      </w:tr>
      <w:tr>
        <w:trPr>
          <w:trHeight w:val="243"/>
        </w:trPr>
        <w:tc>
          <w:tcPr>
            <w:tcW w:w="570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887"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2019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40" w:hanging="232"/>
        <w:spacing w:after="0"/>
        <w:tabs>
          <w:tab w:leader="none" w:pos="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188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2020</w:t>
      </w:r>
    </w:p>
    <w:p>
      <w:pPr>
        <w:spacing w:after="0" w:line="3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886"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2019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230"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188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2020</w:t>
      </w:r>
    </w:p>
    <w:p>
      <w:pPr>
        <w:spacing w:after="0" w:line="3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8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lvl w:ilvl="1">
      <w:lvlJc w:val="left"/>
      <w:lvlText w:val="(%2)"/>
      <w:numFmt w:val="lowerRoman"/>
      <w:start w:val="2"/>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Roman"/>
      <w:start w:val="3"/>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lowerRoman"/>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101"/>
    </w:lvl>
  </w:abstractNum>
  <w:abstractNum w:abstractNumId="50">
    <w:nsid w:val="579BE4F1"/>
    <w:multiLevelType w:val="hybridMultilevel"/>
    <w:lvl w:ilvl="0">
      <w:lvlJc w:val="left"/>
      <w:lvlText w:val="†"/>
      <w:numFmt w:val="bullet"/>
      <w:start w:val="1"/>
    </w:lvl>
    <w:lvl w:ilvl="1">
      <w:lvlJc w:val="left"/>
      <w:lvlText w:val="%2"/>
      <w:numFmt w:val="decimal"/>
      <w:start w:val="104"/>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lowerRoman"/>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lowerRoman"/>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lowerLetter"/>
      <w:start w:val="2"/>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2" Type="http://schemas.openxmlformats.org/officeDocument/2006/relationships/image" Target="media/image155.png"/><Relationship Id="rId185" Type="http://schemas.openxmlformats.org/officeDocument/2006/relationships/image" Target="media/image156.png"/><Relationship Id="rId188" Type="http://schemas.openxmlformats.org/officeDocument/2006/relationships/image" Target="media/image157.png"/><Relationship Id="rId191" Type="http://schemas.openxmlformats.org/officeDocument/2006/relationships/image" Target="media/image158.png"/><Relationship Id="rId194" Type="http://schemas.openxmlformats.org/officeDocument/2006/relationships/image" Target="media/image159.png"/><Relationship Id="rId198" Type="http://schemas.openxmlformats.org/officeDocument/2006/relationships/image" Target="media/image160.png"/><Relationship Id="rId200"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148" Type="http://schemas.openxmlformats.org/officeDocument/2006/relationships/hyperlink" Target="http://www.sec.gov/Archives/edgar/data/1590364/000114036120000280/ex2_1.htm" TargetMode="External"/><Relationship Id="rId149" Type="http://schemas.openxmlformats.org/officeDocument/2006/relationships/hyperlink" Target="http://www.sec.gov/Archives/edgar/data/1590364/000119312515163776/d616610dex31.htm" TargetMode="External"/><Relationship Id="rId150" Type="http://schemas.openxmlformats.org/officeDocument/2006/relationships/hyperlink" Target="http://www.sec.gov/Archives/edgar/data/1590364/000114036119021576/nc10006381x2_ex3-2.htm" TargetMode="External"/><Relationship Id="rId151" Type="http://schemas.openxmlformats.org/officeDocument/2006/relationships/hyperlink" Target="http://www.sec.gov/Archives/edgar/data/1590364/000114036119016562/ex3_2.htm" TargetMode="External"/><Relationship Id="rId152" Type="http://schemas.openxmlformats.org/officeDocument/2006/relationships/hyperlink" Target="http://www.sec.gov/Archives/edgar/data/1590364/000095015717000381/ex4-1.htm" TargetMode="External"/><Relationship Id="rId153" Type="http://schemas.openxmlformats.org/officeDocument/2006/relationships/hyperlink" Target="http://www.sec.gov/Archives/edgar/data/1590364/000159036418000003/ftai12312017exhibit43.htm" TargetMode="External"/><Relationship Id="rId154" Type="http://schemas.openxmlformats.org/officeDocument/2006/relationships/hyperlink" Target="http://www.sec.gov/Archives/edgar/data/1590364/000095015717001232/ex4-1.htm" TargetMode="External"/><Relationship Id="rId155" Type="http://schemas.openxmlformats.org/officeDocument/2006/relationships/hyperlink" Target="http://www.sec.gov/Archives/edgar/data/1590364/000114036117046889/s001999x5_ex4-1.htm" TargetMode="External"/><Relationship Id="rId156" Type="http://schemas.openxmlformats.org/officeDocument/2006/relationships/hyperlink" Target="http://www.sec.gov/Archives/edgar/data/1590364/000114036118026546/ex4_1.htm" TargetMode="External"/><Relationship Id="rId157" Type="http://schemas.openxmlformats.org/officeDocument/2006/relationships/hyperlink" Target="http://www.sec.gov/Archives/edgar/data/1590364/000114036119002776/s002571x8_ex4-1.htm" TargetMode="External"/><Relationship Id="rId158" Type="http://schemas.openxmlformats.org/officeDocument/2006/relationships/hyperlink" Target="http://www.sec.gov/Archives/edgar/data/1590364/000114036118038650/ex4_1.htm" TargetMode="External"/><Relationship Id="rId159" Type="http://schemas.openxmlformats.org/officeDocument/2006/relationships/hyperlink" Target="http://www.sec.gov/Archives/edgar/data/1590364/000114036119009546/nc10001919x3_ex4-1.htm" TargetMode="External"/><Relationship Id="rId160" Type="http://schemas.openxmlformats.org/officeDocument/2006/relationships/hyperlink" Target="http://www.sec.gov/Archives/edgar/data/1590364/000119312515197222/d931434dex101.htm" TargetMode="External"/><Relationship Id="rId161" Type="http://schemas.openxmlformats.org/officeDocument/2006/relationships/hyperlink" Target="http://www.sec.gov/Archives/edgar/data/1590364/000119312515197222/d931434dex102.htm" TargetMode="External"/><Relationship Id="rId162" Type="http://schemas.openxmlformats.org/officeDocument/2006/relationships/hyperlink" Target="http://www.sec.gov/Archives/edgar/data/1590364/000119312515163776/d616610dex103.htm" TargetMode="External"/><Relationship Id="rId163" Type="http://schemas.openxmlformats.org/officeDocument/2006/relationships/hyperlink" Target="http://www.sec.gov/Archives/edgar/data/1590364/000119312515197222/d931434dex103.htm" TargetMode="External"/><Relationship Id="rId164" Type="http://schemas.openxmlformats.org/officeDocument/2006/relationships/hyperlink" Target="http://www.sec.gov/Archives/edgar/data/1590364/000119312515163776/d616610dex105.htm" TargetMode="External"/><Relationship Id="rId165" Type="http://schemas.openxmlformats.org/officeDocument/2006/relationships/hyperlink" Target="http://www.sec.gov/Archives/edgar/data/1590364/000119312515163776/d616610dex106.htm" TargetMode="External"/><Relationship Id="rId180" Type="http://schemas.openxmlformats.org/officeDocument/2006/relationships/hyperlink" Target="http://www.sec.gov/Archives/edgar/data/1590364/000159036416000014/ftai12312015exhibit107.htm" TargetMode="External"/><Relationship Id="rId181" Type="http://schemas.openxmlformats.org/officeDocument/2006/relationships/hyperlink" Target="http://www.sec.gov/Archives/edgar/data/1590364/000159036416000014/ftai12312015exhibit108.htm" TargetMode="External"/><Relationship Id="rId183" Type="http://schemas.openxmlformats.org/officeDocument/2006/relationships/hyperlink" Target="http://www.sec.gov/Archives/edgar/data/1590364/000159036416000014/ftai12312015exhibit109.htm" TargetMode="External"/><Relationship Id="rId184" Type="http://schemas.openxmlformats.org/officeDocument/2006/relationships/hyperlink" Target="http://www.sec.gov/Archives/edgar/data/1590364/000159036416000014/ftai12312015exhibit1010.htm" TargetMode="External"/><Relationship Id="rId186" Type="http://schemas.openxmlformats.org/officeDocument/2006/relationships/hyperlink" Target="http://www.sec.gov/Archives/edgar/data/1590364/000159036416000014/0001590364-16-000014-index.htm" TargetMode="External"/><Relationship Id="rId187" Type="http://schemas.openxmlformats.org/officeDocument/2006/relationships/hyperlink" Target="http://www.sec.gov/Archives/edgar/data/1590364/000159036416000014/ftai12312015exhibit1012.htm" TargetMode="External"/><Relationship Id="rId189" Type="http://schemas.openxmlformats.org/officeDocument/2006/relationships/hyperlink" Target="http://www.sec.gov/Archives/edgar/data/1590364/000156761917000090/s001516x1_ex10-1.htm" TargetMode="External"/><Relationship Id="rId190" Type="http://schemas.openxmlformats.org/officeDocument/2006/relationships/hyperlink" Target="http://www.sec.gov/Archives/edgar/data/1590364/000156761917001299/s001761x1_ex10-1.htm" TargetMode="External"/><Relationship Id="rId192" Type="http://schemas.openxmlformats.org/officeDocument/2006/relationships/hyperlink" Target="http://www.sec.gov/Archives/edgar/data/1590364/000159036418000010/creditagreement-exhibit1015.htm" TargetMode="External"/><Relationship Id="rId193" Type="http://schemas.openxmlformats.org/officeDocument/2006/relationships/hyperlink" Target="http://www.sec.gov/Archives/edgar/data/1590364/000114036119002813/s002571x9_ex10-1.htm" TargetMode="External"/><Relationship Id="rId195" Type="http://schemas.openxmlformats.org/officeDocument/2006/relationships/hyperlink" Target="http://www.sec.gov/Archives/edgar/data/1590364/000114036119014758/ex10_1.htm" TargetMode="External"/><Relationship Id="rId196" Type="http://schemas.openxmlformats.org/officeDocument/2006/relationships/hyperlink" Target="http://www.sec.gov/Archives/edgar/data/1590364/000159036419000004/epccontract-exhibit1017.htm" TargetMode="External"/><Relationship Id="rId197" Type="http://schemas.openxmlformats.org/officeDocument/2006/relationships/hyperlink" Target="http://www.sec.gov/Archives/edgar/data/1590364/000159036419000004/geequipmentsupplyagreement.htm" TargetMode="External"/><Relationship Id="rId199" Type="http://schemas.openxmlformats.org/officeDocument/2006/relationships/hyperlink" Target="http://www.sec.gov/Archives/edgar/data/1590364/000159036419000004/firstliencreditagreement-e.htm" TargetMode="External"/><Relationship Id="rId201" Type="http://schemas.openxmlformats.org/officeDocument/2006/relationships/hyperlink" Target="http://www.sec.gov/Archives/edgar/data/1590364/000159036419000004/secondliencreditagreement-.htm" TargetMode="External"/><Relationship Id="rId202"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2020-02-28T15:08:17Z</dcterms:created>
  <dcterms:modified xsi:type="dcterms:W3CDTF">2020-02-28T15:08:17Z</dcterms:modified>
</cp:coreProperties>
</file>