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6"/>
          <w:szCs w:val="16"/>
          <w:b w:val="1"/>
          <w:bCs w:val="1"/>
          <w:color w:val="auto"/>
        </w:rPr>
        <w:t>March 31, 2015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left="4300" w:right="1700" w:hanging="2595"/>
        <w:spacing w:after="0" w:line="685" w:lineRule="auto"/>
        <w:tabs>
          <w:tab w:leader="none" w:pos="18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rPr>
      </w:pPr>
    </w:p>
    <w:p>
      <w:pPr>
        <w:ind w:left="45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55880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FORTRESS TRANSPORTATION AND INFRASTRUCTURE INVESTORS LLC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40" w:type="dxa"/>
            <w:vAlign w:val="bottom"/>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17"/>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1345 Avenue of the Americas, 46th Floor,</w:t>
            </w:r>
          </w:p>
        </w:tc>
        <w:tc>
          <w:tcPr>
            <w:tcW w:w="5240" w:type="dxa"/>
            <w:vAlign w:val="bottom"/>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10105</w:t>
            </w:r>
          </w:p>
        </w:tc>
      </w:tr>
      <w:tr>
        <w:trPr>
          <w:trHeight w:val="212"/>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798-6100</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ind w:right="18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4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2" w:right="239" w:bottom="1440" w:gutter="0" w:footer="0" w:header="0"/>
        </w:sectPr>
      </w:pPr>
    </w:p>
    <w:p>
      <w:pPr>
        <w:spacing w:after="0" w:line="205"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220" w:space="720"/>
            <w:col w:w="3480"/>
          </w:cols>
          <w:pgMar w:left="240" w:top="232" w:right="239" w:bottom="1440" w:gutter="0" w:footer="0" w:header="0"/>
          <w:type w:val="continuous"/>
        </w:sectPr>
      </w:pPr>
    </w:p>
    <w:p>
      <w:pPr>
        <w:spacing w:after="0" w:line="26"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3">
            <w:col w:w="3440" w:space="80"/>
            <w:col w:w="3340" w:space="720"/>
            <w:col w:w="3840"/>
          </w:cols>
          <w:pgMar w:left="240" w:top="232" w:right="239" w:bottom="1440" w:gutter="0" w:footer="0" w:header="0"/>
          <w:type w:val="continuous"/>
        </w:sectPr>
      </w:pPr>
    </w:p>
    <w:p>
      <w:pPr>
        <w:spacing w:after="0" w:line="9" w:lineRule="exact"/>
        <w:rPr>
          <w:sz w:val="24"/>
          <w:szCs w:val="24"/>
          <w:color w:val="auto"/>
        </w:rPr>
      </w:pPr>
    </w:p>
    <w:p>
      <w:pPr>
        <w:ind w:right="31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There were 73,502,873 common shares representing limited liability company interests outstanding at June 3, 2015.</w:t>
      </w:r>
    </w:p>
    <w:p>
      <w:pPr>
        <w:sectPr>
          <w:pgSz w:w="11900" w:h="16838" w:orient="portrait"/>
          <w:cols w:equalWidth="0" w:num="1">
            <w:col w:w="11420"/>
          </w:cols>
          <w:pgMar w:left="240" w:top="232"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80" w:type="dxa"/>
            <w:vAlign w:val="bottom"/>
            <w:tcBorders>
              <w:bottom w:val="single" w:sz="8" w:color="0000EE"/>
            </w:tcBorders>
            <w:gridSpan w:val="8"/>
          </w:tcPr>
          <w:p>
            <w:pPr>
              <w:jc w:val="cente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PART I—FINANCIAL INFORMATION</w:t>
              </w:r>
            </w:hyperlink>
          </w:p>
        </w:tc>
        <w:tc>
          <w:tcPr>
            <w:tcW w:w="3140" w:type="dxa"/>
            <w:vAlign w:val="bottom"/>
            <w:gridSpan w:val="5"/>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9180" w:type="dxa"/>
            <w:vAlign w:val="bottom"/>
            <w:gridSpan w:val="20"/>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Unaudited Consolidated Financial Statements and Supplementary Data</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5680" w:type="dxa"/>
            <w:vAlign w:val="bottom"/>
            <w:gridSpan w:val="12"/>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Balance Sheets (unaudited) as of March 31, 2015 and December 31, 2014</w:t>
              </w:r>
            </w:hyperlink>
          </w:p>
        </w:tc>
        <w:tc>
          <w:tcPr>
            <w:tcW w:w="3500" w:type="dxa"/>
            <w:vAlign w:val="bottom"/>
            <w:gridSpan w:val="8"/>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580" w:type="dxa"/>
            <w:vAlign w:val="bottom"/>
            <w:gridSpan w:val="16"/>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Statements of Income (unaudited) for the three months ended March 31, 2015 and 2014</w:t>
              </w:r>
            </w:hyperlink>
          </w:p>
        </w:tc>
        <w:tc>
          <w:tcPr>
            <w:tcW w:w="2600" w:type="dxa"/>
            <w:vAlign w:val="bottom"/>
            <w:gridSpan w:val="4"/>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00" w:type="dxa"/>
            <w:vAlign w:val="bottom"/>
            <w:gridSpan w:val="19"/>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Statements of Comprehensive Income (Loss) (unaudited) for the three months ended March 31, 2015 and 2014</w:t>
              </w:r>
            </w:hyperlink>
          </w:p>
        </w:tc>
        <w:tc>
          <w:tcPr>
            <w:tcW w:w="1080" w:type="dxa"/>
            <w:vAlign w:val="bottom"/>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00" w:type="dxa"/>
            <w:vAlign w:val="bottom"/>
            <w:gridSpan w:val="19"/>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 of Changes in Members' Equity (unaudited) for the three months ended March 31, 2015</w:t>
              </w:r>
            </w:hyperlink>
          </w:p>
        </w:tc>
        <w:tc>
          <w:tcPr>
            <w:tcW w:w="1080" w:type="dxa"/>
            <w:vAlign w:val="bottom"/>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860" w:type="dxa"/>
            <w:vAlign w:val="bottom"/>
            <w:gridSpan w:val="17"/>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Statements of Cash Flows (unaudited) for the three months ended March 31, 2015 and 2014</w:t>
              </w:r>
            </w:hyperlink>
          </w:p>
        </w:tc>
        <w:tc>
          <w:tcPr>
            <w:tcW w:w="400" w:type="dxa"/>
            <w:vAlign w:val="bottom"/>
          </w:tcPr>
          <w:p>
            <w:pPr>
              <w:spacing w:after="0"/>
              <w:rPr>
                <w:sz w:val="21"/>
                <w:szCs w:val="21"/>
                <w:color w:val="auto"/>
              </w:rPr>
            </w:pPr>
          </w:p>
        </w:tc>
        <w:tc>
          <w:tcPr>
            <w:tcW w:w="1920" w:type="dxa"/>
            <w:vAlign w:val="bottom"/>
            <w:gridSpan w:val="2"/>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340" w:type="dxa"/>
            <w:vAlign w:val="bottom"/>
            <w:gridSpan w:val="10"/>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Notes to Unaudited Consolidated Financial Statements (unaudited)</w:t>
              </w:r>
            </w:hyperlink>
          </w:p>
        </w:tc>
        <w:tc>
          <w:tcPr>
            <w:tcW w:w="2520" w:type="dxa"/>
            <w:vAlign w:val="bottom"/>
            <w:gridSpan w:val="7"/>
          </w:tcPr>
          <w:p>
            <w:pPr>
              <w:spacing w:after="0"/>
              <w:rPr>
                <w:sz w:val="21"/>
                <w:szCs w:val="21"/>
                <w:color w:val="auto"/>
              </w:rPr>
            </w:pPr>
          </w:p>
        </w:tc>
        <w:tc>
          <w:tcPr>
            <w:tcW w:w="2320" w:type="dxa"/>
            <w:vAlign w:val="bottom"/>
            <w:gridSpan w:val="3"/>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180" w:type="dxa"/>
            <w:vAlign w:val="bottom"/>
            <w:gridSpan w:val="20"/>
          </w:tcPr>
          <w:p>
            <w:pPr>
              <w:spacing w:after="0"/>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37</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w w:val="99"/>
              </w:rPr>
            </w:pPr>
            <w:hyperlink w:anchor="page67">
              <w:r>
                <w:rPr>
                  <w:rFonts w:ascii="Times New Roman" w:cs="Times New Roman" w:eastAsia="Times New Roman" w:hAnsi="Times New Roman"/>
                  <w:sz w:val="16"/>
                  <w:szCs w:val="16"/>
                  <w:color w:val="0000EE"/>
                  <w:w w:val="99"/>
                </w:rPr>
                <w:t>Quantitative and Qualitative Disclosures About Market Risk</w:t>
              </w:r>
            </w:hyperlink>
          </w:p>
        </w:tc>
        <w:tc>
          <w:tcPr>
            <w:tcW w:w="1900" w:type="dxa"/>
            <w:vAlign w:val="bottom"/>
            <w:gridSpan w:val="4"/>
          </w:tcPr>
          <w:p>
            <w:pPr>
              <w:spacing w:after="0"/>
              <w:rPr>
                <w:sz w:val="20"/>
                <w:szCs w:val="20"/>
                <w:color w:val="auto"/>
              </w:rPr>
            </w:pPr>
          </w:p>
        </w:tc>
        <w:tc>
          <w:tcPr>
            <w:tcW w:w="3380" w:type="dxa"/>
            <w:vAlign w:val="bottom"/>
            <w:gridSpan w:val="7"/>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7">
              <w:r>
                <w:rPr>
                  <w:rFonts w:ascii="Times New Roman" w:cs="Times New Roman" w:eastAsia="Times New Roman" w:hAnsi="Times New Roman"/>
                  <w:sz w:val="16"/>
                  <w:szCs w:val="16"/>
                  <w:color w:val="0000EE"/>
                </w:rPr>
                <w:t>67</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5"/>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Controls and Procedures</w:t>
              </w:r>
            </w:hyperlink>
          </w:p>
        </w:tc>
        <w:tc>
          <w:tcPr>
            <w:tcW w:w="5280" w:type="dxa"/>
            <w:vAlign w:val="bottom"/>
            <w:gridSpan w:val="11"/>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68</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Borders>
              <w:bottom w:val="single" w:sz="8" w:color="0000EE"/>
            </w:tcBorders>
            <w:gridSpan w:val="6"/>
          </w:tcPr>
          <w:p>
            <w:pPr>
              <w:jc w:val="center"/>
              <w:spacing w:after="0"/>
              <w:rPr>
                <w:rFonts w:ascii="Times New Roman" w:cs="Times New Roman" w:eastAsia="Times New Roman" w:hAnsi="Times New Roman"/>
                <w:sz w:val="16"/>
                <w:szCs w:val="16"/>
                <w:color w:val="0000EE"/>
                <w:w w:val="99"/>
              </w:rPr>
            </w:pPr>
            <w:hyperlink w:anchor="page68">
              <w:r>
                <w:rPr>
                  <w:rFonts w:ascii="Times New Roman" w:cs="Times New Roman" w:eastAsia="Times New Roman" w:hAnsi="Times New Roman"/>
                  <w:sz w:val="16"/>
                  <w:szCs w:val="16"/>
                  <w:color w:val="0000EE"/>
                  <w:w w:val="99"/>
                </w:rPr>
                <w:t>PART II—OTHER INFORMATION</w:t>
              </w:r>
            </w:hyperlink>
          </w:p>
        </w:tc>
        <w:tc>
          <w:tcPr>
            <w:tcW w:w="328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180" w:type="dxa"/>
            <w:vAlign w:val="bottom"/>
            <w:gridSpan w:val="4"/>
          </w:tcPr>
          <w:p>
            <w:pPr>
              <w:spacing w:after="0"/>
              <w:rPr>
                <w:rFonts w:ascii="Times New Roman" w:cs="Times New Roman" w:eastAsia="Times New Roman" w:hAnsi="Times New Roman"/>
                <w:sz w:val="16"/>
                <w:szCs w:val="16"/>
                <w:color w:val="0000EE"/>
                <w:w w:val="96"/>
              </w:rPr>
            </w:pPr>
            <w:hyperlink w:anchor="page68">
              <w:r>
                <w:rPr>
                  <w:rFonts w:ascii="Times New Roman" w:cs="Times New Roman" w:eastAsia="Times New Roman" w:hAnsi="Times New Roman"/>
                  <w:sz w:val="16"/>
                  <w:szCs w:val="16"/>
                  <w:color w:val="0000EE"/>
                  <w:w w:val="96"/>
                </w:rPr>
                <w:t>Legal Proceedings</w:t>
              </w:r>
            </w:hyperlink>
          </w:p>
        </w:tc>
        <w:tc>
          <w:tcPr>
            <w:tcW w:w="8000" w:type="dxa"/>
            <w:vAlign w:val="bottom"/>
            <w:gridSpan w:val="16"/>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68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Risk Factors</w:t>
              </w:r>
            </w:hyperlink>
          </w:p>
        </w:tc>
        <w:tc>
          <w:tcPr>
            <w:tcW w:w="8000" w:type="dxa"/>
            <w:vAlign w:val="bottom"/>
            <w:gridSpan w:val="16"/>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68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180" w:type="dxa"/>
            <w:vAlign w:val="bottom"/>
            <w:gridSpan w:val="20"/>
          </w:tcPr>
          <w:p>
            <w:pPr>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Unregistered Sales of Equity Securities and Use of Proceeds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Defaults Upon Senior Securities</w:t>
              </w:r>
            </w:hyperlink>
          </w:p>
        </w:tc>
        <w:tc>
          <w:tcPr>
            <w:tcW w:w="5280" w:type="dxa"/>
            <w:vAlign w:val="bottom"/>
            <w:gridSpan w:val="11"/>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6"/>
          </w:tcPr>
          <w:p>
            <w:pPr>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(Reserved)</w:t>
              </w:r>
            </w:hyperlink>
          </w:p>
        </w:tc>
        <w:tc>
          <w:tcPr>
            <w:tcW w:w="7100" w:type="dxa"/>
            <w:vAlign w:val="bottom"/>
            <w:gridSpan w:val="14"/>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w w:val="97"/>
              </w:rPr>
            </w:pPr>
            <w:hyperlink w:anchor="page90">
              <w:r>
                <w:rPr>
                  <w:rFonts w:ascii="Times New Roman" w:cs="Times New Roman" w:eastAsia="Times New Roman" w:hAnsi="Times New Roman"/>
                  <w:sz w:val="16"/>
                  <w:szCs w:val="16"/>
                  <w:color w:val="0000EE"/>
                  <w:w w:val="97"/>
                </w:rPr>
                <w:t>Other Information</w:t>
              </w:r>
            </w:hyperlink>
          </w:p>
        </w:tc>
        <w:tc>
          <w:tcPr>
            <w:tcW w:w="8000" w:type="dxa"/>
            <w:vAlign w:val="bottom"/>
            <w:gridSpan w:val="16"/>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tcPr>
          <w:p>
            <w:pPr>
              <w:spacing w:after="0"/>
              <w:rPr>
                <w:rFonts w:ascii="Times New Roman" w:cs="Times New Roman" w:eastAsia="Times New Roman" w:hAnsi="Times New Roman"/>
                <w:sz w:val="16"/>
                <w:szCs w:val="16"/>
                <w:color w:val="0000EE"/>
                <w:w w:val="97"/>
              </w:rPr>
            </w:pPr>
            <w:hyperlink w:anchor="page90">
              <w:r>
                <w:rPr>
                  <w:rFonts w:ascii="Times New Roman" w:cs="Times New Roman" w:eastAsia="Times New Roman" w:hAnsi="Times New Roman"/>
                  <w:sz w:val="16"/>
                  <w:szCs w:val="16"/>
                  <w:color w:val="0000EE"/>
                  <w:w w:val="97"/>
                </w:rPr>
                <w:t>Exhibits</w:t>
              </w:r>
            </w:hyperlink>
          </w:p>
        </w:tc>
        <w:tc>
          <w:tcPr>
            <w:tcW w:w="640" w:type="dxa"/>
            <w:vAlign w:val="bottom"/>
            <w:gridSpan w:val="3"/>
          </w:tcPr>
          <w:p>
            <w:pPr>
              <w:spacing w:after="0"/>
              <w:rPr>
                <w:sz w:val="20"/>
                <w:szCs w:val="20"/>
                <w:color w:val="auto"/>
              </w:rPr>
            </w:pPr>
          </w:p>
        </w:tc>
        <w:tc>
          <w:tcPr>
            <w:tcW w:w="8000" w:type="dxa"/>
            <w:vAlign w:val="bottom"/>
            <w:gridSpan w:val="16"/>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80" w:top="657"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share and per share amounts)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132080</wp:posOffset>
            </wp:positionV>
            <wp:extent cx="582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520" w:space="380"/>
            <w:col w:w="3520"/>
          </w:cols>
          <w:pgMar w:left="240" w:top="1009"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8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22,125</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Restricted cash</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21,084</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9,588</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Leasing equipment, net</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4</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502,945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509,379</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Finance leases, net</w:t>
            </w:r>
          </w:p>
        </w:tc>
        <w:tc>
          <w:tcPr>
            <w:tcW w:w="9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5</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102,813</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6</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264,421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228,328</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Investments in and advances to unconsolidated entities</w:t>
            </w:r>
          </w:p>
        </w:tc>
        <w:tc>
          <w:tcPr>
            <w:tcW w:w="9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7</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21,569</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Tendered bonds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298,000</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Intangible assets, net</w:t>
            </w:r>
          </w:p>
        </w:tc>
        <w:tc>
          <w:tcPr>
            <w:tcW w:w="9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8</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52,041</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Goodwill</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115,226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115,226</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23,461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24,048</w:t>
            </w:r>
          </w:p>
        </w:tc>
      </w:tr>
      <w:tr>
        <w:trPr>
          <w:trHeight w:val="21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1,438,619</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1,404,201</w:t>
            </w:r>
          </w:p>
        </w:tc>
      </w:tr>
      <w:tr>
        <w:trPr>
          <w:trHeight w:val="33"/>
        </w:trPr>
        <w:tc>
          <w:tcPr>
            <w:tcW w:w="6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6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8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42,784</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Debt</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9</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588,603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592,867</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deposits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35,575</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Security deposits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12,790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13,622</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5,856</w:t>
            </w:r>
          </w:p>
        </w:tc>
      </w:tr>
      <w:tr>
        <w:trPr>
          <w:trHeight w:val="21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671,815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690,704</w:t>
            </w:r>
          </w:p>
        </w:tc>
      </w:tr>
      <w:tr>
        <w:trPr>
          <w:trHeight w:val="33"/>
        </w:trPr>
        <w:tc>
          <w:tcPr>
            <w:tcW w:w="6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6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17</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Common Shares ($.01 par value per share; 2,000,000,000 shares authorized; 53,502,873 shares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issued and outstanding)</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r>
      <w:tr>
        <w:trPr>
          <w:trHeight w:val="23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657,404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613,683</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r>
      <w:tr>
        <w:trPr>
          <w:trHeight w:val="21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Members' equity</w:t>
            </w:r>
          </w:p>
        </w:tc>
        <w:tc>
          <w:tcPr>
            <w:tcW w:w="9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658,014</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614,432</w:t>
            </w:r>
          </w:p>
        </w:tc>
      </w:tr>
      <w:tr>
        <w:trPr>
          <w:trHeight w:val="3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Non-controlling interest in equity of consolidated subsidiaries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108,790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99,065</w:t>
            </w:r>
          </w:p>
        </w:tc>
      </w:tr>
      <w:tr>
        <w:trPr>
          <w:trHeight w:val="217"/>
        </w:trPr>
        <w:tc>
          <w:tcPr>
            <w:tcW w:w="6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members' equity</w:t>
            </w:r>
          </w:p>
        </w:tc>
        <w:tc>
          <w:tcPr>
            <w:tcW w:w="9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766,804</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713,497</w:t>
            </w:r>
          </w:p>
        </w:tc>
      </w:tr>
      <w:tr>
        <w:trPr>
          <w:trHeight w:val="33"/>
        </w:trPr>
        <w:tc>
          <w:tcPr>
            <w:tcW w:w="6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148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1,438,619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1,404,201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009"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09"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68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Notes</w:t>
            </w:r>
          </w:p>
        </w:tc>
        <w:tc>
          <w:tcPr>
            <w:tcW w:w="400" w:type="dxa"/>
            <w:vAlign w:val="bottom"/>
          </w:tcPr>
          <w:p>
            <w:pPr>
              <w:spacing w:after="0"/>
              <w:rPr>
                <w:sz w:val="20"/>
                <w:szCs w:val="20"/>
                <w:color w:val="auto"/>
              </w:rPr>
            </w:pPr>
          </w:p>
        </w:tc>
        <w:tc>
          <w:tcPr>
            <w:tcW w:w="1320" w:type="dxa"/>
            <w:vAlign w:val="bottom"/>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Equipment leasing revenues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23,038</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7,696</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Infrastructure revenues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10,935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33,973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7,696</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537</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3,333</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Management fees to affiliate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751</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4, 6, 8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1,831</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817</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33,226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7,496</w:t>
            </w:r>
          </w:p>
        </w:tc>
      </w:tr>
      <w:tr>
        <w:trPr>
          <w:trHeight w:val="291"/>
        </w:trPr>
        <w:tc>
          <w:tcPr>
            <w:tcW w:w="6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1,604</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Gain (loss) on sale of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income (expense)</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income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1,561</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2,172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1,761</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159</w:t>
            </w: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1,942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1,602</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6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6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176</w:t>
            </w:r>
          </w:p>
        </w:tc>
      </w:tr>
      <w:tr>
        <w:trPr>
          <w:trHeight w:val="284"/>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5,448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1,426</w:t>
            </w:r>
          </w:p>
        </w:tc>
      </w:tr>
      <w:tr>
        <w:trPr>
          <w:trHeight w:val="284"/>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53,502,873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53,502,873</w:t>
            </w:r>
          </w:p>
        </w:tc>
      </w:tr>
      <w:tr>
        <w:trPr>
          <w:trHeight w:val="27"/>
        </w:trPr>
        <w:tc>
          <w:tcPr>
            <w:tcW w:w="6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cash flow hedge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1,803</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1,585</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members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5,309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1,409</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MEMBERS’ EQUITY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Non-controlling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in equity of</w:t>
            </w:r>
          </w:p>
        </w:tc>
        <w:tc>
          <w:tcPr>
            <w:tcW w:w="16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Members'</w:t>
            </w:r>
          </w:p>
        </w:tc>
      </w:t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 - December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613,683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713,497</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for the period</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7"/>
        </w:trPr>
        <w:tc>
          <w:tcPr>
            <w:tcW w:w="4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1,803</w:t>
            </w: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73,913</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distributions</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(23,829)</w:t>
            </w: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1,420</w:t>
            </w:r>
          </w:p>
        </w:tc>
      </w:tr>
      <w:tr>
        <w:trPr>
          <w:trHeight w:val="24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 - March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657,404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108,790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766,804</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62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1,942</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activities: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(Gain) loss on sale of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Income from forfeiture of security deposit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Equity based compensation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1,831</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Change in current and deferred income taxes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Change in fair value of non-hedge derivative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Amortization of lease intangibles and incentives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Operating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Bad debt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Change in: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Other liabilities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4,624</w:t>
            </w:r>
          </w:p>
        </w:tc>
      </w:tr>
      <w:tr>
        <w:trPr>
          <w:trHeight w:val="291"/>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Acquisition of other investment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(27,600)</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Principal collections on finance leases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2,698</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Acquisition of leasing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(25,411)</w:t>
            </w:r>
          </w:p>
        </w:tc>
      </w:tr>
      <w:tr>
        <w:trPr>
          <w:trHeight w:val="237"/>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Acquisition of lease intangibles</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Proceeds from sale of equipment held for sale</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Return of capital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(35,681)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(52,636)</w:t>
            </w:r>
          </w:p>
        </w:tc>
      </w:tr>
      <w:tr>
        <w:trPr>
          <w:trHeight w:val="20"/>
        </w:trPr>
        <w:tc>
          <w:tcPr>
            <w:tcW w:w="7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Proceeds from debt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Repayment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Receipt of security deposits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Return of security deposits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Receipt of maintenance deposits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Release of maintenance deposits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Capital contributions from members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61,991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98,000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Capital distributions to members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11,922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Capital distributions to non-controlling interests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44,626</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92,054</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15,167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44,042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22,125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7,236</w:t>
            </w:r>
          </w:p>
        </w:tc>
      </w:tr>
      <w:tr>
        <w:trPr>
          <w:trHeight w:val="284"/>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37,292</w:t>
            </w:r>
          </w:p>
        </w:tc>
        <w:tc>
          <w:tcPr>
            <w:tcW w:w="12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51,278</w:t>
            </w:r>
          </w:p>
        </w:tc>
      </w:tr>
      <w:tr>
        <w:trPr>
          <w:trHeight w:val="284"/>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Cash paid for interest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Cash paid for taxes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97"/>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Acquisition of leasing equipment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Settled and assumed security deposits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Billed and assumed maintenance deposits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5,495</w:t>
            </w:r>
          </w:p>
        </w:tc>
      </w:tr>
      <w:tr>
        <w:trPr>
          <w:trHeight w:val="250"/>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Change in fair value of cash flow hedge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Fortress Transportation and Infrastructure Investors LLC (the “Company”) is a Delaware limited liability company which, through its subsidiary, Fortress Transportation and Infrastructure General Partnership (the “Partnership”), is engaged in the ownership and leasing of aviation equipment, offshore energy equipment and shipping containers, and also owns and operates a short line railroad in North America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15).</w:t>
      </w:r>
    </w:p>
    <w:p>
      <w:pPr>
        <w:spacing w:after="0" w:line="79"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March 31, 2015 and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Investment Group LLC (“Fortress”). The Onshore Fund and the Offshore Fund (collectively the "Initial Shareholders") are investment vehicles which are sponsored by Fortress. The general partner of the Onshore Fund and the Offshore Fund is owned by an affiliate of Fortress.</w:t>
      </w:r>
    </w:p>
    <w:p>
      <w:pPr>
        <w:spacing w:after="0" w:line="79"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Master GP is entitled to an incentive return (the “Incentive Return”) generally equal to 10% of the Partnership’s returns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75"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2015, the Company was managed by FIG Transportation Fund Management LLC (the “Manager”), an affiliate of Fortress, pursuant to a management agreement (the “Management Agreement”) which provides for the Partnership to bear obligations for management fees and expense reimbursements payable to the Manager (Note 14). In May 2015, in connection with its initial public offering (the "IPO"), the Company entered into a new management agreement with FIG LLC, which replaced the existing management agreement. Pursuant to the new management agreement, FIG LLC or its affiliate will receive a monthly management fee and reimbursement for certain expenses incurred (Note 14). Additionally, in May 2015, the partnership agreement of the Partnership was amended whereby, among other things, the existing Incentive Return arrangement for the Master GP was revised to specify that the entitlement to certain incentive distributions be based on the consolidated net income in excess of certain hurdle return targets and capital gains income of the Partnership, subject to certain adjustments, as defined, before any amounts are distributed to the Company (Note 18).</w:t>
      </w:r>
    </w:p>
    <w:p>
      <w:pPr>
        <w:spacing w:after="0" w:line="81"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March 31, 2015, the aggregate capital commitments of the investors of the Onshore Fund, Offshore Fund and Master GP, which are designated for investment in the Partnership, were approximately $995,497, of which approximately $761,180 had been called.</w:t>
      </w:r>
    </w:p>
    <w:p>
      <w:pPr>
        <w:spacing w:after="0" w:line="53"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and May 2015, the remaining capital commitments of the investors of the Onshore Fund, Offshore Fund and Master GP were called. In May 2015, 53,502,873 common shares were issued to the Onshore Fund and Offshore Fund based on their relative interests in the Company. Immediately prior to the consummation of the IPO, the Master GP contributed its rights to previously undistributed incentive allocations pursuant to the Partnership Agreement in exchange for the limited partnership interest in each such partnership equal to the amount of any such undistributed incentive allocations. The limited partners of the Onshore Fund and Offshore Fund and the Master GP will receive the underlying value in common shares commensurate with their partnership interest inclusive, in the case of the Master GP, of any undistributed incentive allocations. Additionally, on May 20, 2015, the Company completed an IPO of 20 million common shares at a price to the public of $17.00 per share (Note 18).</w:t>
      </w:r>
    </w:p>
    <w:p>
      <w:pPr>
        <w:spacing w:after="0" w:line="18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660" w:right="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Basis of Accounting</w:t>
      </w:r>
      <w:r>
        <w:rPr>
          <w:rFonts w:ascii="Times New Roman" w:cs="Times New Roman" w:eastAsia="Times New Roman" w:hAnsi="Times New Roman"/>
          <w:sz w:val="18"/>
          <w:szCs w:val="18"/>
          <w:color w:val="auto"/>
        </w:rPr>
        <w:t>—-The unaudited consolidated financial statements have been prepared in accordance with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Principals (“GAAP”) in the United States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 for interim financial reporting. Accordingly, they do not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include all of the information and notes required by GAAP for complete financial statements. The consolidated balance sheet at December 31, 2014 has been derived from audited financial statements but does not include all of the information and notes required by GAAP for complete financial statements. The interim financial information contained herein should be read in conjunction with the consolidated financial statements and notes thereto for the year ended December 31, 2014 included in Amendment No. 7 to the Company’s Registration Statement on Form S-1, filed May 14, 2015.</w:t>
      </w:r>
    </w:p>
    <w:p>
      <w:pPr>
        <w:spacing w:after="0" w:line="72" w:lineRule="exact"/>
        <w:rPr>
          <w:sz w:val="20"/>
          <w:szCs w:val="20"/>
          <w:color w:val="auto"/>
        </w:rPr>
      </w:pPr>
    </w:p>
    <w:p>
      <w:pPr>
        <w:ind w:left="66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r>
        <w:rPr>
          <w:rFonts w:ascii="Times New Roman" w:cs="Times New Roman" w:eastAsia="Times New Roman" w:hAnsi="Times New Roman"/>
          <w:sz w:val="18"/>
          <w:szCs w:val="18"/>
          <w:color w:val="auto"/>
        </w:rPr>
        <w:t>—The Company consolidates all entities in which it has a controlling financial interest and in which it has control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73"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64"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r>
        <w:rPr>
          <w:rFonts w:ascii="Times New Roman" w:cs="Times New Roman" w:eastAsia="Times New Roman" w:hAnsi="Times New Roman"/>
          <w:sz w:val="18"/>
          <w:szCs w:val="18"/>
          <w:color w:val="auto"/>
        </w:rPr>
        <w:t>—The assessment of whether an entity is a VIE and the determination of whether to consolidate a VIE requires judgment.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9"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partner with a $3,725 loan which was utilized by the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81"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At March 31, 2015 and December 31, 2014, MT6015 had total assets of $7,533 and $7,450, respectively, which are available only to settle the obligations of MT6015. Other than entering into the above commitment, MT6015 has conducted no operations, and no creditors of MT6015 have recourse to any assets or to the general credit of the Company.</w:t>
      </w:r>
    </w:p>
    <w:p>
      <w:pPr>
        <w:spacing w:after="0" w:line="64" w:lineRule="exact"/>
        <w:rPr>
          <w:sz w:val="20"/>
          <w:szCs w:val="20"/>
          <w:color w:val="auto"/>
        </w:rPr>
      </w:pPr>
    </w:p>
    <w:p>
      <w:pPr>
        <w:ind w:left="6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color w:val="auto"/>
        </w:rPr>
        <w:t>—In the normal course of business, the Company encounters several significant types of economic risk including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75" w:lineRule="exact"/>
        <w:rPr>
          <w:sz w:val="20"/>
          <w:szCs w:val="20"/>
          <w:color w:val="auto"/>
        </w:rPr>
      </w:pPr>
    </w:p>
    <w:p>
      <w:pPr>
        <w:ind w:left="66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—Restricted cash of $16,431 and $21,084 at March 31, 2015 and December 31, 2014, respectively, consists of cash held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segregated accounts pursuant to the requirements of the Company’s debt agreements (Note 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—The Company reviews the carrying values of goodwill at least annually to assess impairment since these assets are not amortized.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 As of March 31, 2015, there was no impairment of goodwill.</w:t>
      </w:r>
    </w:p>
    <w:p>
      <w:pPr>
        <w:spacing w:after="0" w:line="69" w:lineRule="exact"/>
        <w:rPr>
          <w:sz w:val="20"/>
          <w:szCs w:val="20"/>
          <w:color w:val="auto"/>
        </w:rPr>
      </w:pPr>
    </w:p>
    <w:p>
      <w:pPr>
        <w:ind w:left="66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—The Company is subject to concentrations of credit risk with respect to amounts due from customers on its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and operating leases. The Company attempts to limit its credit risk by performing ongoing credit evaluations. During the three months ended March 31, 2015, the Company earned approximately 14% of its revenue from one lessee in the offshore energy segment. During the three months ended March 31, 2014, the Company earned approximately 58% of its revenue from three lessees; one each in the aviation leasing, shipping containers and offshore energy segments.</w:t>
      </w:r>
    </w:p>
    <w:p>
      <w:pPr>
        <w:spacing w:after="0" w:line="76"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64" w:lineRule="exact"/>
        <w:rPr>
          <w:sz w:val="20"/>
          <w:szCs w:val="20"/>
          <w:color w:val="auto"/>
        </w:rPr>
      </w:pPr>
    </w:p>
    <w:p>
      <w:pPr>
        <w:ind w:left="6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 for Doubtful Accounts</w:t>
      </w:r>
      <w:r>
        <w:rPr>
          <w:rFonts w:ascii="Times New Roman" w:cs="Times New Roman" w:eastAsia="Times New Roman" w:hAnsi="Times New Roman"/>
          <w:sz w:val="18"/>
          <w:szCs w:val="18"/>
          <w:color w:val="auto"/>
        </w:rPr>
        <w:t>—The Company determines the provision for doubtful accounts based on its assessment of the collectability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on a customer-by-customer basis. The provision for doubtful accounts at both March 31, 2015 and December 31, 2014 was $111. Bad debt expense was $4 and $43 for the three months ended March 31, 2015 and 2014, respectively.</w:t>
      </w:r>
    </w:p>
    <w:p>
      <w:pPr>
        <w:spacing w:after="0" w:line="63" w:lineRule="exact"/>
        <w:rPr>
          <w:sz w:val="20"/>
          <w:szCs w:val="20"/>
          <w:color w:val="auto"/>
        </w:rPr>
      </w:pPr>
    </w:p>
    <w:p>
      <w:pPr>
        <w:ind w:left="660"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Comprehensive Income (Loss)</w:t>
      </w:r>
      <w:r>
        <w:rPr>
          <w:rFonts w:ascii="Times New Roman" w:cs="Times New Roman" w:eastAsia="Times New Roman" w:hAnsi="Times New Roman"/>
          <w:sz w:val="18"/>
          <w:szCs w:val="18"/>
          <w:color w:val="auto"/>
        </w:rPr>
        <w:t>—Comprehensive income (loss) is defined as the change in equity of a business enterprise during a period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income, adjusted for fair value changes related to derivatives accounted for as cash flow hedges and the Company’s pro-rata share of items of comprehensive income derived from investments in unconsolidated entities.</w:t>
      </w:r>
    </w:p>
    <w:p>
      <w:pPr>
        <w:spacing w:after="0" w:line="76"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 had reclassification adjustments of $37 and $44, which impacted accumulated other comprehensive income during the three months ended March 31, 2015 and 2014, respectively.</w:t>
      </w:r>
    </w:p>
    <w:p>
      <w:pPr>
        <w:spacing w:after="0" w:line="50"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r>
        <w:rPr>
          <w:rFonts w:ascii="Times New Roman" w:cs="Times New Roman" w:eastAsia="Times New Roman" w:hAnsi="Times New Roman"/>
          <w:sz w:val="18"/>
          <w:szCs w:val="18"/>
          <w:color w:val="auto"/>
        </w:rPr>
        <w:t>In the normal course of business the Company may utilize interest rate derivatives to manage its exposure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(Note 9), the Company has entered into one interest rate derivative designated as a cash flow hedge and one non-hedge derivative. The Company does not enter into speculative derivative transactions. Derivative assets of $85 and $232, as of March 31, 2015 and December 31, 2014, respectively, were recorded within other assets in the Consolidated Balance Sheet.</w:t>
      </w:r>
    </w:p>
    <w:p>
      <w:pPr>
        <w:spacing w:after="0" w:line="7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hedge accounting would be discontinued prospectively.</w:t>
      </w:r>
    </w:p>
    <w:p>
      <w:pPr>
        <w:spacing w:after="0" w:line="76" w:lineRule="exact"/>
        <w:rPr>
          <w:sz w:val="20"/>
          <w:szCs w:val="20"/>
          <w:color w:val="auto"/>
        </w:rPr>
      </w:pPr>
    </w:p>
    <w:p>
      <w:pPr>
        <w:jc w:val="both"/>
        <w:ind w:left="660" w:right="200"/>
        <w:spacing w:after="0" w:line="256" w:lineRule="auto"/>
        <w:rPr>
          <w:sz w:val="20"/>
          <w:szCs w:val="20"/>
          <w:color w:val="auto"/>
        </w:rPr>
      </w:pPr>
      <w:r>
        <w:rPr>
          <w:rFonts w:ascii="Times New Roman" w:cs="Times New Roman" w:eastAsia="Times New Roman" w:hAnsi="Times New Roman"/>
          <w:sz w:val="18"/>
          <w:szCs w:val="18"/>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 The estimated net amount of existing gains/losses reported in accumulated other comprehensive income at March 31, 2015 expected to be reclassified into earnings within the next 12 months is approximately $86.</w:t>
      </w:r>
    </w:p>
    <w:p>
      <w:pPr>
        <w:spacing w:after="0" w:line="80"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68" w:lineRule="exact"/>
        <w:rPr>
          <w:sz w:val="20"/>
          <w:szCs w:val="20"/>
          <w:color w:val="auto"/>
        </w:rPr>
      </w:pPr>
    </w:p>
    <w:p>
      <w:pPr>
        <w:ind w:left="6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r>
        <w:rPr>
          <w:rFonts w:ascii="Times New Roman" w:cs="Times New Roman" w:eastAsia="Times New Roman" w:hAnsi="Times New Roman"/>
          <w:sz w:val="18"/>
          <w:szCs w:val="18"/>
          <w:color w:val="auto"/>
        </w:rPr>
        <w:t>— In April 2014,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 2014-08 (ASU 2014-08), </w:t>
      </w:r>
      <w:r>
        <w:rPr>
          <w:rFonts w:ascii="Times New Roman" w:cs="Times New Roman" w:eastAsia="Times New Roman" w:hAnsi="Times New Roman"/>
          <w:sz w:val="18"/>
          <w:szCs w:val="18"/>
          <w:i w:val="1"/>
          <w:iCs w:val="1"/>
          <w:color w:val="auto"/>
        </w:rPr>
        <w:t>Reporting Discontinued Operations and Disclosures of</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17"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Disposals of Components of an Entity, </w:t>
      </w:r>
      <w:r>
        <w:rPr>
          <w:rFonts w:ascii="Times New Roman" w:cs="Times New Roman" w:eastAsia="Times New Roman" w:hAnsi="Times New Roman"/>
          <w:sz w:val="18"/>
          <w:szCs w:val="18"/>
          <w:color w:val="auto"/>
        </w:rPr>
        <w:t>which changes the criteria for determining which disposals can be presented as discontinued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standard states that a strategic shift should include a disposal of (i) major geographical area of operations, (ii) a major line of business, (iii) a major equity method investment, or (iv) other major parts of an entity. ASU 2014-08 is effective prospectively for new disposals (or classifications as held for sale) that occur within annual periods beginning on or after December 14, 2014, and interim periods within those annual periods. The Company adopted ASU 2014-08 beginning January 1, 2015.</w:t>
      </w:r>
    </w:p>
    <w:p>
      <w:pPr>
        <w:spacing w:after="0" w:line="73"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Unadopted Accounting Pronouncements</w:t>
      </w:r>
      <w:r>
        <w:rPr>
          <w:rFonts w:ascii="Times New Roman" w:cs="Times New Roman" w:eastAsia="Times New Roman" w:hAnsi="Times New Roman"/>
          <w:sz w:val="18"/>
          <w:szCs w:val="18"/>
          <w:color w:val="auto"/>
        </w:rPr>
        <w:t>—In May 2013, the FASB issued a revised exposure draft,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ED”), which would replace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existing guidance in the Accounting Standards Codification 840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Pursuant to the Lease ED, leases would be classified as either leases of property or leases of assets other than property. Leases of property will continue to use operating lease accounting. Leases of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the Company’s consolidated financial statements.</w:t>
      </w:r>
    </w:p>
    <w:p>
      <w:pPr>
        <w:spacing w:after="0" w:line="79"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As currently drafted, the new standard is expected to become effective for the Company beginning with the first quarter 2017 with early adoption not permitted, however the FASB has currently proposed to defer the effective date by one year with early adoption permitted. The Company is currently evaluating the impact of adopting this new guidance on its consolidated financial statements.</w:t>
      </w:r>
    </w:p>
    <w:p>
      <w:pPr>
        <w:spacing w:after="0" w:line="81" w:lineRule="exact"/>
        <w:rPr>
          <w:sz w:val="20"/>
          <w:szCs w:val="20"/>
          <w:color w:val="auto"/>
        </w:rPr>
      </w:pPr>
    </w:p>
    <w:p>
      <w:pPr>
        <w:ind w:left="660" w:right="18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is currently evaluating the impact of adopting this new guidance on the consolidated financial statements.</w:t>
      </w:r>
    </w:p>
    <w:p>
      <w:pPr>
        <w:spacing w:after="0" w:line="72" w:lineRule="exact"/>
        <w:rPr>
          <w:sz w:val="20"/>
          <w:szCs w:val="20"/>
          <w:color w:val="auto"/>
        </w:rPr>
      </w:pPr>
    </w:p>
    <w:p>
      <w:pPr>
        <w:ind w:left="660" w:right="10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Imputation of Interest: Simplifying the Presentation of Debt Issuance Costs,</w:t>
      </w:r>
      <w:r>
        <w:rPr>
          <w:rFonts w:ascii="Times New Roman" w:cs="Times New Roman" w:eastAsia="Times New Roman" w:hAnsi="Times New Roman"/>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is currently evaluating the impact of adopting this new guidance on the consolidated financial statements.</w:t>
      </w:r>
    </w:p>
    <w:p>
      <w:pPr>
        <w:spacing w:after="0" w:line="181" w:lineRule="exact"/>
        <w:rPr>
          <w:sz w:val="20"/>
          <w:szCs w:val="20"/>
          <w:color w:val="auto"/>
        </w:rPr>
      </w:pPr>
    </w:p>
    <w:p>
      <w:pPr>
        <w:ind w:left="660" w:right="9420" w:hanging="652"/>
        <w:spacing w:after="0" w:line="400" w:lineRule="auto"/>
        <w:tabs>
          <w:tab w:leader="none" w:pos="6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b w:val="1"/>
          <w:bCs w:val="1"/>
          <w:i w:val="1"/>
          <w:iCs w:val="1"/>
          <w:color w:val="auto"/>
        </w:rPr>
        <w:t>CMQR</w:t>
      </w:r>
    </w:p>
    <w:p>
      <w:pPr>
        <w:ind w:left="660"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through its subsidiaries, acquired certain assets and assumed certain liabilities of Montreal, Maine and Atlantic Railway Ltd. (“MM&amp;A—U.S.”) and Montreal, Maine and Atlantic Canada Co (“MM&amp;A—Canada”) for an aggregate purchase price of approximately $15.2 million, including assumed liabilities of approximately $3.2 million. The acquisitions were accounted for as business combinations pursuant to ASC 805 and the results of operations of the acquired businesses of MM&amp;A—U.S. and MM&amp;A—Canada have been included in the consolidated financial statements of the Company since their respective dates of acquisition. The closing of MM&amp;A—U.S. and MM&amp;A—Canada occurred on May 15, 2014 and June 30, 2014, respectively. Subsequent to the acquisitions, the acquired businesses were renamed as the Central Maine and Quebec Railway (“CMQR”). CMQR is headquartered in Maine,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employs approximately 110 employees, and owns and operates approximately 500 miles of track in the US and Canada. CMQR is reported within the Railroad segment.</w:t>
      </w:r>
    </w:p>
    <w:p>
      <w:pPr>
        <w:spacing w:after="0" w:line="54"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MM&amp;A—U.S. and MM&amp;A—Canada previously operated an integrated, international short-line freight railroad system in Maine, Vermont and Quebec, Canada and since mid-2013, had been operating under the respective bankruptcy protections in the US and Canada. Its assets were sold at auction to the Company, as supervised by the respective judicial courts in the U.S. and Canada. The Company viewed the acquisitions of MM&amp;A— U.S. and MM&amp;A—Canada as an opportunity to gain entry into the railroad industry.</w:t>
      </w:r>
    </w:p>
    <w:p>
      <w:pPr>
        <w:spacing w:after="0" w:line="72" w:lineRule="exact"/>
        <w:rPr>
          <w:sz w:val="20"/>
          <w:szCs w:val="20"/>
          <w:color w:val="auto"/>
        </w:rPr>
      </w:pPr>
    </w:p>
    <w:p>
      <w:pPr>
        <w:ind w:left="660" w:right="100"/>
        <w:spacing w:after="0" w:line="256" w:lineRule="auto"/>
        <w:rPr>
          <w:sz w:val="20"/>
          <w:szCs w:val="20"/>
          <w:color w:val="auto"/>
        </w:rPr>
      </w:pPr>
      <w:r>
        <w:rPr>
          <w:rFonts w:ascii="Times New Roman" w:cs="Times New Roman" w:eastAsia="Times New Roman" w:hAnsi="Times New Roman"/>
          <w:sz w:val="18"/>
          <w:szCs w:val="18"/>
          <w:color w:val="auto"/>
        </w:rPr>
        <w:t>The Company’s acquisition accounting for CMQR is still preliminary, pending the finalization of estimates used in the determination of fair values of fixed assets, environmental liabilities, and accrued expenses, as well as physical inspection of fixed assets. Subsequent to the acquisition during the year ended December 31, 2014, measurement period adjustments as of the acquisition date were made to the valuation of fixed assets acquired and employee and environmental liabilities assumed consisting of an increase to fixed assets of $679, an increase to assumed employee liabilities of $232, an increase to assumed environmental liabilities of $680, and additional goodwill recorded of $233. There were no additional measurement period adjustments recorded during the three months ended March 31, 2015.</w:t>
      </w:r>
    </w:p>
    <w:p>
      <w:pPr>
        <w:spacing w:after="0" w:line="80"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The property, plant and equipment acquired in connection with CMQR is being depreciated based on estimated remaining useful lives from the date of acquisition, which are 4 years for buildings, 2-5 years for track and track related assets, 4-6 years for railroad equipment, 2 years for vehicles and 5 years for freight cars and locomotives, as all of the acquired assets were near the end of their useful lives at the time of acquisition.</w:t>
      </w:r>
    </w:p>
    <w:p>
      <w:pPr>
        <w:spacing w:after="0" w:line="68"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the Company incurred and expensed transaction-related costs in 2014 of approximately $5,646, included within Acquisition and Transaction expenses, and general and administrative expenses and employee severance expenses of approximately $392, included within Operating Expenses. The goodwill recognized is comprised primarily of an assembled workforce and is expected to be deductible for tax purposes.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JEFFERSON TERMINAL</w:t>
      </w:r>
    </w:p>
    <w:p>
      <w:pPr>
        <w:spacing w:after="0" w:line="12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Prior to the acquisition, a subsidiary of the Company had several term loan agreements with Jefferson Refinery, LLC (“Pre-Existing Debt Relationships”) of $97.6 million. The acquisition of Jefferson was consummated on August 27, 2014. The Company viewed the acquisition of Jefferson Terminal as an opportunity to gain entry into this industry.</w:t>
      </w:r>
    </w:p>
    <w:p>
      <w:pPr>
        <w:spacing w:after="0" w:line="81"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Jefferson Terminal was purchased for an aggregate purchase price of approximately $607.8 million, including assumed liabilities of $522.0 million (of which $97.6 million relates to Pre-Existing Debt Relationships) and equity consideration of $38.2 million. The Company owns a 60% interest in Jefferson Terminal. The remaining 40% interest in Jefferson Terminal is owned by a portion of the retaining shareholders and a private equity fund sponsored by Fortress, each holding an interest of 20% and accounted for as non-controlling interests in the accompanying consolidated financial statements. In connection with the acquisition, a $100 million loan was also obtained (Note 9).</w:t>
      </w:r>
    </w:p>
    <w:p>
      <w:pPr>
        <w:spacing w:after="0" w:line="76"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and the results of operations of the acquired business of Jefferson Terminal have been included in the consolidated financial statements since the date of acquisition. In connection with the purchase, the Company incurred and expensed transaction related costs of approximately $5,494, included within Acquisition and Transaction expenses, in the Consolidated Statements of Income. The Company’s acquisition accounting for Jefferson Terminal is still preliminary, pending the final determination of certain estimated amounts for property, plant and equipment, construction in progress, and accrued liabilities. There were no measurement period adjustments recorded during the three months ended March 31, 2015. The goodwill recognized is attributable to strategic opportunities and expected future cash flows of the business and is expected to be deductible for tax purposes. Property, plant and equipment acquired in connection with Jefferson Terminal is being depreciated based on estimated remaining useful lives from the date of acquisition.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The fair values assigned to acquired assets and assumed liabilities of CMQR and Jefferson Terminal at their respective dates of acquisition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CMQR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Jefferson Terminal</w:t>
            </w:r>
          </w:p>
        </w:tc>
      </w:tr>
      <w:tr>
        <w:trPr>
          <w:trHeight w:val="33"/>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190,811</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and improvements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Track</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Crude oil terminal machinery and equipment</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47,286</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Railroad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Turnout and other track materials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Vehicles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Railcars and locomotives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86,223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Prepaids and other deposits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6,102</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Tendered bonds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115,000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lists and customer contracts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35,385</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114,633</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15,224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607,761</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79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Employee-related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Environmental remediation liabilities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 estate taxes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(56,150)</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loan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Bonds payable</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(348,788)</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 payable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33"/>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(521,983)</w:t>
            </w:r>
          </w:p>
        </w:tc>
      </w:tr>
      <w:tr>
        <w:trPr>
          <w:trHeight w:val="24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12,058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85,778</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During 2014, goodwill additions of $593 and $114,633 were attributed to the Railroad and Jefferson Terminal reportable segments, respectively. No additional goodwill was recorded during the three months ended March 31, 2015.</w:t>
      </w:r>
    </w:p>
    <w:p>
      <w:pPr>
        <w:spacing w:after="0" w:line="54"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In accordance with ASC 805, the acquired assets and assumed liabilities were recorded at their estimated fair values at the acquisition dates. During the measurement periods of up to one year, additional assets or liabilities may be recognized if new information is obtained about facts and circumstances that existed as of the acquisition date that, if known, would have resulted in the recognition of those assets or liabilities as of that date. The preliminary measurement of net assets acquired may be adjusted after obtaining additional information regarding, among other things, asset valuations (including market and other information with which to determine fair values), liabilities assumed, the analysis of assumed contracts, and revisions of previous estimates. These adjustments may be significant and will be accounted for retrospectively.</w:t>
      </w:r>
    </w:p>
    <w:p>
      <w:pPr>
        <w:spacing w:after="0" w:line="80"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preliminary fair values assigned to intangible assets were determined through the use of the replacement cost method and the income approach, specifically the multi-period excess earnings method. Both valuation methods rely on management’s judgments, including the cost to recreate the customer relationships, expected future cash flows resulting from existing customer relationships, customer attrition rates, contributory effects of other assets utilized in</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business, and peer group cost of capital as well as other factors. The valuation of tangible assets was derived using a combination of the income approach, the market approach and the cost approach. Significant judgments used in valuing tangible assets include estimated reproduction or replacement cost, useful lives of assets and estimated selling prices. The valuation of assumed liabilities, including bonds payable, was derived using the market approach, using quoted values as available and the income approach, comparing the stated interest rate on certain credit agreements to the market interest rate. The valuation of equity interests conveyed to retaining shareholders was derived using the market approach, as agreed between the parties, representing the cash that would have been offered on an arm’s length basis, on the acquisition date.</w:t>
      </w: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 EQUIPMENT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leasing equipment recorded on the Consolidated Balance Sheets: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298,792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525,473</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(22,528)</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502,945</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298,204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524,885</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509,379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2015, the Company did not acquire or sell any equipment held for lease. Depreciation expense for leasing equipment for the three months ended March 31, 2015 and 2014 was $7,022 and $1,831, respectively.</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LEASES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Finance leases are summarized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104,709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126,259</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(26,387)</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99,872</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131,537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(28,724)</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102,813</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2015, future minimum lease payments to be received under finance leases for the remainder of the lease terms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Shipping Containers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23,868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27,715</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53,316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7,352</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126,259</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consists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19,498</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2,663</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Crude oil terminal 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183,247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Track and track related assets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11,988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Railroad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48,376</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Railcars and locomotives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1,322</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21,576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247,597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269,173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264,421</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15,057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Crude oil terminal 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50,627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Track and track related assets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11,988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Railroad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1,268</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146,663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Railcars and locomotives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1,293</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20,824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209,611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230,435</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228,328</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80"/>
        <w:spacing w:after="0" w:line="261" w:lineRule="auto"/>
        <w:rPr>
          <w:sz w:val="20"/>
          <w:szCs w:val="20"/>
          <w:color w:val="auto"/>
        </w:rPr>
      </w:pPr>
      <w:r>
        <w:rPr>
          <w:rFonts w:ascii="Times New Roman" w:cs="Times New Roman" w:eastAsia="Times New Roman" w:hAnsi="Times New Roman"/>
          <w:sz w:val="18"/>
          <w:szCs w:val="18"/>
          <w:color w:val="auto"/>
        </w:rPr>
        <w:t>During three months ended March 31, 2015 additional property, plant and equipment of $38,857 was acquired, and is included within land and improvements, buildings and improvements, crude oil machinery and equipment, and construction in progress. During the three months ended March 31, 2015, disposals of railroad equipment totaled $119. Depreciation expense for property, plant and equipment was $2,645 and $0, for the three months ended March 31, 2015 and 2014, respectively.</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ENTITIES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ownership interest and carrying values of the Company’s investments in unconsolidated entities: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40" w:type="dxa"/>
            <w:vAlign w:val="bottom"/>
            <w:vMerge w:val="restart"/>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40" w:type="dxa"/>
            <w:vAlign w:val="bottom"/>
            <w:tcBorders>
              <w:bottom w:val="single" w:sz="8" w:color="auto"/>
            </w:tcBorders>
            <w:vMerge w:val="continue"/>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Acquired</w:t>
            </w:r>
          </w:p>
        </w:tc>
        <w:tc>
          <w:tcPr>
            <w:tcW w:w="14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Intermodal Finance I, Ltd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21,569</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21,569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Intermodal Finance I, Ltd</w:t>
      </w:r>
    </w:p>
    <w:p>
      <w:pPr>
        <w:spacing w:after="0" w:line="121"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The Company owns a 51% non-controlling interest in Intermodal Finance I, Ltd., a joint venture. Intermodal Finance I, Ltd owns a portfolio of multiple finance leases, representing 6 customers and comprising approximately 66,000 shipping containers as well as a portfolio of approximately 38,000 shipping containers subject to multiple operating leases.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financial information for Intermodal Finance I, Ltd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4,318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5,512</w:t>
            </w:r>
          </w:p>
        </w:tc>
        <w:tc>
          <w:tcPr>
            <w:tcW w:w="0" w:type="dxa"/>
            <w:vAlign w:val="bottom"/>
          </w:tcPr>
          <w:p>
            <w:pPr>
              <w:spacing w:after="0"/>
              <w:rPr>
                <w:sz w:val="1"/>
                <w:szCs w:val="1"/>
                <w:color w:val="auto"/>
              </w:rPr>
            </w:pPr>
          </w:p>
        </w:tc>
      </w:tr>
      <w:tr>
        <w:trPr>
          <w:trHeight w:val="291"/>
        </w:trPr>
        <w:tc>
          <w:tcPr>
            <w:tcW w:w="79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1,994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2,519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9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2,324</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2,993</w:t>
            </w:r>
          </w:p>
        </w:tc>
        <w:tc>
          <w:tcPr>
            <w:tcW w:w="0" w:type="dxa"/>
            <w:vAlign w:val="bottom"/>
          </w:tcPr>
          <w:p>
            <w:pPr>
              <w:spacing w:after="0"/>
              <w:rPr>
                <w:sz w:val="1"/>
                <w:szCs w:val="1"/>
                <w:color w:val="auto"/>
              </w:rPr>
            </w:pPr>
          </w:p>
        </w:tc>
      </w:tr>
      <w:tr>
        <w:trPr>
          <w:trHeight w:val="284"/>
        </w:trPr>
        <w:tc>
          <w:tcPr>
            <w:tcW w:w="79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Company's equity in earnings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5,214</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1,051</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assets, net of accumulated depreciation of $4,983 and $4,449,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74,045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 Leases, net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62,393</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costs, net of accumulated amortization of $640 and $602,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137,853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146,555</w:t>
            </w:r>
          </w:p>
        </w:tc>
      </w:tr>
      <w:tr>
        <w:trPr>
          <w:trHeight w:val="291"/>
        </w:trPr>
        <w:tc>
          <w:tcPr>
            <w:tcW w:w="7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Syndication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120,303</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114,970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125,995</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20,560</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22,883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20,560</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137,853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146,555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Company's investment in and advances to unconsolidated entities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21,569</w:t>
            </w:r>
          </w:p>
        </w:tc>
      </w:tr>
      <w:tr>
        <w:trPr>
          <w:trHeight w:val="20"/>
        </w:trPr>
        <w:tc>
          <w:tcPr>
            <w:tcW w:w="7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LIABILITIES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intangible assets and liabilities are summarized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favorable lease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15,518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15,518</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35,610</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33,321</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33,507</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15,518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33,321</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186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49,025</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favorable lease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17,639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17,639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1"/>
        </w:trPr>
        <w:tc>
          <w:tcPr>
            <w:tcW w:w="5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35,610</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34,205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34,402</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17,639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34,205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197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52,041</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acquired unfavorable lease intangibles,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Intangible liabilities relate to unfavorable lease intangibles and are included as a component of other liabilities in the accompanying Consolidated Balance Sheet. Amortization of intangibles for the three months ended March 31, 2015 and 2014 was $2,991 and $152, respectively. Amortization of lease intangibles of $2,096 and $152 for the three months ended March 31, 2015 and 2014, respectively, is included as a component of equipment leasing revenue in the Consolidated Statements of Income. Amortization of customer relationships of $895 and $0 for the three months ended March 31, 2015 and 2014, respectively, is included in depreciation and amortization in the Consolidated Statements of Income. As of March 31, 2015, estimated net annual amortization of intangibles is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2015</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6,975</w:t>
            </w:r>
          </w:p>
        </w:tc>
      </w:tr>
      <w:tr>
        <w:trPr>
          <w:trHeight w:val="224"/>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30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8,093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6,491</w:t>
            </w:r>
          </w:p>
        </w:tc>
      </w:tr>
      <w:tr>
        <w:trPr>
          <w:trHeight w:val="224"/>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30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6,142</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4,568</w:t>
            </w:r>
          </w:p>
        </w:tc>
      </w:tr>
      <w:tr>
        <w:trPr>
          <w:trHeight w:val="224"/>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16,544</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48,813</w:t>
            </w: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debt at March 31, 2015 and December 31, 2014 is summarized as follows: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Pr>
          <w:p>
            <w:pPr>
              <w:spacing w:after="0"/>
              <w:rPr>
                <w:sz w:val="24"/>
                <w:szCs w:val="24"/>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Loans payable</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Container Loan #1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40,220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42,040</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Container Loan #2</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19,115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FTAI Pride Credit Agreement</w:t>
            </w:r>
          </w:p>
        </w:tc>
        <w:tc>
          <w:tcPr>
            <w:tcW w:w="3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73,438</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CMQR Credit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9,416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Jefferson Terminal Credit Agreement</w:t>
            </w:r>
          </w:p>
        </w:tc>
        <w:tc>
          <w:tcPr>
            <w:tcW w:w="3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99,750</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loans payable</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239,599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243,759</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Bonds payable</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Series 2010 Bonds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Series 2012 Bonds (including unamortized premium of $1,788 and $1,791 at March 31, 2015 and December</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 2014, respectively)</w:t>
            </w:r>
          </w:p>
        </w:tc>
        <w:tc>
          <w:tcPr>
            <w:tcW w:w="36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48,521</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bonds payable</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346,518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346,521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 payable to non-controlling interest</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Note payable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note payable to non-controlling interest</w:t>
            </w:r>
          </w:p>
        </w:tc>
        <w:tc>
          <w:tcPr>
            <w:tcW w:w="3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440" w:type="dxa"/>
            <w:vAlign w:val="bottom"/>
            <w:gridSpan w:val="2"/>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588,603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592,867</w:t>
            </w:r>
          </w:p>
        </w:tc>
        <w:tc>
          <w:tcPr>
            <w:tcW w:w="0" w:type="dxa"/>
            <w:vAlign w:val="bottom"/>
          </w:tcPr>
          <w:p>
            <w:pPr>
              <w:spacing w:after="0"/>
              <w:rPr>
                <w:sz w:val="1"/>
                <w:szCs w:val="1"/>
                <w:color w:val="auto"/>
              </w:rPr>
            </w:pPr>
          </w:p>
        </w:tc>
      </w:tr>
      <w:tr>
        <w:trPr>
          <w:trHeight w:val="284"/>
        </w:trPr>
        <w:tc>
          <w:tcPr>
            <w:tcW w:w="220" w:type="dxa"/>
            <w:vAlign w:val="bottom"/>
            <w:shd w:val="clear" w:color="auto" w:fill="CCEEFF"/>
          </w:tcPr>
          <w:p>
            <w:pPr>
              <w:spacing w:after="0"/>
              <w:rPr>
                <w:sz w:val="24"/>
                <w:szCs w:val="24"/>
                <w:color w:val="auto"/>
              </w:rPr>
            </w:pPr>
          </w:p>
        </w:tc>
        <w:tc>
          <w:tcPr>
            <w:tcW w:w="7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due within one year</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2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 Payable</w:t>
      </w:r>
    </w:p>
    <w:p>
      <w:pPr>
        <w:spacing w:after="0" w:line="117"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Container Loan #1</w:t>
      </w:r>
      <w:r>
        <w:rPr>
          <w:rFonts w:ascii="Times New Roman" w:cs="Times New Roman" w:eastAsia="Times New Roman" w:hAnsi="Times New Roman"/>
          <w:sz w:val="18"/>
          <w:szCs w:val="18"/>
          <w:color w:val="auto"/>
        </w:rPr>
        <w:t>—On December 27, 2012, a subsidiary of the Company entered into a Credit Agreement (“Container Loan #1”) with a bank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initial aggregate amount of approximately $55,991 in connection with the acquisition of a portfolio of shipping containers subject to finance leases. Borrowings under the loan bear interest at a rate selected by the Company of either (i) a LIBOR based rate plus a spread of 3.75% or (ii) a Base Rate equal to the higher of the Prime Rate or the Federal Funds Rate plus 1.50%, plus a spread of 3.75%. At March 31, 2015 and December 31, 2014, borrowings under the loan were LIBOR based borrowings bearing interest at a rate of 3.92% and 3.90%, respectively. Container Loan #1 requires monthly payments of interest and scheduled principal payments through its maturity on December 27, 2017 and can be prepaid without penalty after the third anniversary of the closing of the loan. Container Loan #1 is secured by the Company’s interest in the shipping containers and related finance leases. Interest expense for the three months ended March 31, 2015 and 2014 was approximately $468 and $545, respectively, and the average interest rate was 4.34% and 4.33%, respectively, inclusive of the effect of an interest rate swap (see below). Interest expense includes $28 and $27, respectively, of deferred financing fees for the three months ended March 31, 2015 and 2014.</w:t>
      </w:r>
    </w:p>
    <w:p>
      <w:pPr>
        <w:spacing w:after="0" w:line="8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Pursuant to the Container Loan #1 agreement, amounts realized by the Company in connection with the finance lease are remitted directly into a trust account as restricted cash for disbursement according to specified payment priorities. Any amounts remaining in the trust account after payment of required obligations are released to the Company. As of March 31, 2015, the Company was in compliance with all of the covenants under this agreement.</w:t>
      </w:r>
    </w:p>
    <w:p>
      <w:pPr>
        <w:spacing w:after="0" w:line="72"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In connection with Container Loan #1, the Company entered into an interest rate swap agreement (the “Swap”) on January 17, 2013 with respect to 70% of the outstanding balance of the Loan and designated as a cash flow hedge which fixed the LIBOR rate at 0.681%. The initial notional amount of the Swap was approximately $39,194, with scheduled monthly decreases through the maturity date of the Container Loan #1. The fair value of the Swap at March 31, 2015 and December 31, 2014 was $75 and $214, respectively. Periodic settlement payments made in connection with the Swap during the three months ended March 31, 2015 and 2014 of approximately $37 and $36, respectively, were recorded as a component of interest expense in the accompanying Consolidated Statements of Income.</w:t>
      </w:r>
    </w:p>
    <w:p>
      <w:pPr>
        <w:spacing w:after="0" w:line="76" w:lineRule="exact"/>
        <w:rPr>
          <w:sz w:val="20"/>
          <w:szCs w:val="20"/>
          <w:color w:val="auto"/>
        </w:rPr>
      </w:pPr>
    </w:p>
    <w:p>
      <w:pPr>
        <w:ind w:left="660"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Container Loan #2</w:t>
      </w:r>
      <w:r>
        <w:rPr>
          <w:rFonts w:ascii="Times New Roman" w:cs="Times New Roman" w:eastAsia="Times New Roman" w:hAnsi="Times New Roman"/>
          <w:sz w:val="18"/>
          <w:szCs w:val="18"/>
          <w:color w:val="auto"/>
        </w:rPr>
        <w:t>—On August 15, 2013, a subsidiary of the Company entered into a Credit Agreement (“Container Loan #2”) with a bank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aggregate amount of approximately $21,548 in connection with the acquisition of a portfolio of shipping containers subject to finance leases. Borrowings under Container Loan #2 bear interest at a rate of LIBOR plus a spread of 3.25%. At March 31, 2015 and December 31, 2014, borrowings under Container Loan #2 bore interest at a rate of 3.51% and 3.49%, respectively. Container Loan #2 requires quarterly payments of interest and scheduled principal payments through its maturity on August 28, 2018 and can be prepaid without penalty at any time. Container Loan #2 is secured by the Company’s interest in the shipping containers and related finance leases. Interest expense on Container Loan #2 for the three months ended March 31, 2015 and 2014 was approximately $174 and $191, respectively, and the average interest rate was 3.61% and 3.58%, respectively. Interest expense includes $9 and $9, respectively, of deferred financing fees for the three months ended March 31, 2015 and 2014.</w:t>
      </w:r>
    </w:p>
    <w:p>
      <w:pPr>
        <w:spacing w:after="0" w:line="81"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Pursuant to the Container Loan #2 agreement, amounts realized by the Company in connection with the finance leases are remitted directly into a trust account for disbursement according to specified payment priorities. Any amounts remaining in the trust account after payment of required obligations are released to the Company. As of March 31, 2015, the Company was in compliance with all of the covenants under this agreement.</w:t>
      </w:r>
    </w:p>
    <w:p>
      <w:pPr>
        <w:spacing w:after="0" w:line="68"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In connection with Container Loan #2, on September 20, 2013, the Company entered into an interest rate cap agreement (the “Cap”), which was not designated as a cash flow hedge, with an initial payment date of February 28, 2014. The Cap was acquired at an initial cost of approximately $57 (inclusive of an up-front origination fee of approximately $14) and capped LIBOR at 2.5% with respect to 50% of the portion of the outstanding balance of Container Loan #2 attributable to the 5-year finance leases. The initial notional amount of the Cap was approximately $2,554, with scheduled quarterly decreases through the August 28, 2018 maturity date of the Loan. The fair value of the Cap at March 31, 2015 and December 31, 2014 was approximately $10 and $18, respectively.</w:t>
      </w:r>
    </w:p>
    <w:p>
      <w:pPr>
        <w:spacing w:after="0" w:line="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FTAI Pride Credit Agreement</w:t>
      </w:r>
      <w:r>
        <w:rPr>
          <w:rFonts w:ascii="Times New Roman" w:cs="Times New Roman" w:eastAsia="Times New Roman" w:hAnsi="Times New Roman"/>
          <w:sz w:val="17"/>
          <w:szCs w:val="17"/>
          <w:color w:val="auto"/>
        </w:rPr>
        <w:t>—On September 15, 2014, FTAI Pride, LLC, (“FTAI Pride”) a subsidiary of the Company entered into a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(the “FTAI Pride Credit Agreement”) with a financial institution for a term loan in an aggregate amount of $75,000. The loan proceeds were used in connection with the acquisition of an offshore construction vessel. Borrowings under the FTAI Pride Credit Agreement bear interest at the LIBOR rate plus a spread of 4.50%. At March 31, 2015 and December 31, 2014 borrowings under the FTAI Pride Credit Agreement bore interest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at a rate of 4.77% and 4.74%, respectively, and interest expense for the three months ended March 31, 2015 was approximately $925, inclusive of deferred financing fee amortization of $56.</w:t>
      </w:r>
    </w:p>
    <w:p>
      <w:pPr>
        <w:spacing w:after="0" w:line="54"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FTAI Pride Credit Agreement requires quarterly payments of interest and scheduled principal payments of $1,562 beginning in the quarter ending December 31, 2014, through its maturity and can be prepaid without penalty at any time.</w:t>
      </w:r>
    </w:p>
    <w:p>
      <w:pPr>
        <w:spacing w:after="0" w:line="54" w:lineRule="exact"/>
        <w:rPr>
          <w:sz w:val="20"/>
          <w:szCs w:val="20"/>
          <w:color w:val="auto"/>
        </w:rPr>
      </w:pPr>
    </w:p>
    <w:p>
      <w:pPr>
        <w:ind w:left="660" w:right="400"/>
        <w:spacing w:after="0" w:line="261" w:lineRule="auto"/>
        <w:rPr>
          <w:sz w:val="20"/>
          <w:szCs w:val="20"/>
          <w:color w:val="auto"/>
        </w:rPr>
      </w:pPr>
      <w:r>
        <w:rPr>
          <w:rFonts w:ascii="Times New Roman" w:cs="Times New Roman" w:eastAsia="Times New Roman" w:hAnsi="Times New Roman"/>
          <w:sz w:val="18"/>
          <w:szCs w:val="18"/>
          <w:color w:val="auto"/>
        </w:rPr>
        <w:t>The FTAI Pride Credit Agreement is secured on a first priority basis by the offshore construction vessel and charter. The FTAI Pride Credit Agreement contains affirmative and negative covenants which limit certain actions of the borrower and a financial covenant requiring a Fixed Charges Coverage Ratio, as defined, of not less than 1.15:1.00 in any twelve month period ending December 31, 2014, or later. As of March 31, 2015, the Company was in compliance with all of the covenants under the FTAI Pride Credit Agreement.</w:t>
      </w:r>
    </w:p>
    <w:p>
      <w:pPr>
        <w:spacing w:after="0" w:line="68"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CMQR Credit Agreement</w:t>
      </w:r>
      <w:r>
        <w:rPr>
          <w:rFonts w:ascii="Times New Roman" w:cs="Times New Roman" w:eastAsia="Times New Roman" w:hAnsi="Times New Roman"/>
          <w:sz w:val="18"/>
          <w:szCs w:val="18"/>
          <w:color w:val="auto"/>
        </w:rPr>
        <w:t>—On September 18, 2014, CMQR entered into a credit agreement (the “CMQR Credit Agreement”) with a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institution for a revolving line of credit in an aggregate amount of $10,000. Borrowings under the CMQR Credit Agreement bear interest at either (i) Adjusted LIBOR plus a spread of 2.50% or 4.50%, (ii) the U.S. or Canadian Base Rate plus a spread of 1.50% or 3.50%, or (iii) the Canadian Fixed Rate plus a spread of 2.50% or 4.50%, as each of those terms is defined by the CMQR Credit Agreement. The CMQR Credit Agreement requires quarterly payments of interest and the maturity date of the CMQR Credit Agreement is September 18, 2017. Borrowings under the CMQR Credit Agreement bore interest at an average rate of 2.92% and 2.95% at March 31, 2015 and December 31, 2014, respectively, and interest expense for the three months ended March 31, 2015 was approximately $130, inclusive of deferred financing fee amortization of $66.</w:t>
      </w:r>
    </w:p>
    <w:p>
      <w:pPr>
        <w:spacing w:after="0" w:line="79"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CMQR Credit Agreement is also indirectly supported by the Onshore and Offshore Funds (the “Sponsors”). In the event of a default under the credit agreement, CMQR’s lenders can cause CMQR to call up to $20 million (subject to reduction of such amount to take into account capital contributions to CMQR) in capital from the Sponsors, and in the event of CMQR’s bankruptcy, the lenders can put the debt back to the Sponsors. The CMQR Credit Agreement contains affirmative and negative covenants which limit certain actions of CMQR and a financial covenant requiring a Fixed Charge Coverage Ratio, as defined, of CMQR and its subsidiaries of not less than 1.30:1.00 in any rolling four-quarter period, effective after September 30, 2014. As of March 31, 2015, the Company was in compliance with all of the covenants contained in the CMQR Credit Agreement.</w:t>
      </w:r>
    </w:p>
    <w:p>
      <w:pPr>
        <w:spacing w:after="0" w:line="76"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Jefferson Terminal Credit Agreement</w:t>
      </w:r>
      <w:r>
        <w:rPr>
          <w:rFonts w:ascii="Times New Roman" w:cs="Times New Roman" w:eastAsia="Times New Roman" w:hAnsi="Times New Roman"/>
          <w:sz w:val="18"/>
          <w:szCs w:val="18"/>
          <w:color w:val="auto"/>
        </w:rPr>
        <w:t>—On August 27, 2014, a subsidiary of the Company, entered into a credit agreement (the “Jefferson 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with a financial institution for an aggregate amount of $100,000. The loan proceeds were used to partially finance the acquisition of Jefferson Terminal (Note 3) as well as to pay certain working capital amounts. Borrowings under the Jefferson Terminal Credit Agreement bear interest, at the Company’s option, at the Adjusted Eurodollar Rate plus a spread of 8.00% or at a Base Rate plus a spread of 7.00%. The Jefferson Terminal Credit Agreement provides for a prepayment premium ranging from 1% to 3% of the aggregate principal amount prepaid, including repayment at maturity (the “Exit Fee”). The Exit Fee payable at maturity of approximately $2,753 is being recognized ratably over the term of the loan and recorded as a component of interest expense in the Consolidated Statements of Income. At both March 31, 2015 and December 31, 2014, borrowings under the Jefferson Terminal Credit Agreement bore interest at a rate of 9.00%, and interest expense for the three months ended March 31, 2015 was $2,660, of which approximately $533 related to capital improvements was capitalized to Construction in Progress. Interest expense includes $197 of accrued exit fees and $206 of deferred financing fees for the three months ending March 31, 2015.</w:t>
      </w:r>
    </w:p>
    <w:p>
      <w:pPr>
        <w:spacing w:after="0" w:line="82"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The Jefferson Terminal Credit Agreement requires quarterly payments of $250 beginning with the quarter ending December 31, 2014, with such quarterly payments increasing to $1,250 beginning with the quarter ending December 31, 2016, and may be prepaid or repaid at any time prior to its maturity on February 27, 2018. Accrued exit fees of $459 and $262 are classified as a component of accounts payable and accrued liabilities in the Consolidated Balance Sheet as of March 31, 2015 and December 31, 2014, respectively.</w:t>
      </w:r>
    </w:p>
    <w:p>
      <w:pPr>
        <w:spacing w:after="0" w:line="72"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The Jefferson Terminal Credit Agreement is secured on a first priority basis by substantially all assets of Jefferson Terminal, as defined in the agreement. The Jefferson Terminal Credit Agreement contains affirmative and negative covenants which limit certain actions of the borrowers. In addition, the Jefferson Terminal Credit Agreement contains a financial covenant requiring Consolidated EBITDA, as defined within the agreement, of Jefferson Gulf Coast Energy Holdings, LLC and its subsidiaries to be at least $30,000 in any rolling twelve month period beginning with December 31, 2015. As of March 31, 2015, the Company was in compliance with all of the covenants under the Jefferson Terminal Credit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Bonds Payable</w:t>
      </w:r>
    </w:p>
    <w:p>
      <w:pPr>
        <w:spacing w:after="0" w:line="117" w:lineRule="exact"/>
        <w:rPr>
          <w:sz w:val="20"/>
          <w:szCs w:val="20"/>
          <w:color w:val="auto"/>
        </w:rPr>
      </w:pPr>
    </w:p>
    <w:p>
      <w:pPr>
        <w:ind w:left="66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Series 2010 Bonds</w:t>
      </w:r>
      <w:r>
        <w:rPr>
          <w:rFonts w:ascii="Times New Roman" w:cs="Times New Roman" w:eastAsia="Times New Roman" w:hAnsi="Times New Roman"/>
          <w:sz w:val="18"/>
          <w:szCs w:val="18"/>
          <w:color w:val="auto"/>
        </w:rPr>
        <w:t>—On December 1, 2010, Jefferson County Development Corporation issued $300 million of tax-exempt industrial bonds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7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trust indenture and security agreements, Series 2010 Bonds can be tendered by bondholders and purchased by the Company using the unused restricted cash proceeds. Series 2010 Bonds purchased by the Company are deemed to be owned by the Company, and are classified as assets, tendered bonds, in the Consolidated Balance Sheet with an equal corresponding amount as debt, as Series 2010 bonds owned by the Company are not deemed extinguished or cancelled. Tendered bonds do not convey principal or interest payments while held by the Company.</w:t>
      </w:r>
    </w:p>
    <w:p>
      <w:pPr>
        <w:spacing w:after="0" w:line="76" w:lineRule="exact"/>
        <w:rPr>
          <w:sz w:val="20"/>
          <w:szCs w:val="20"/>
          <w:color w:val="auto"/>
        </w:rPr>
      </w:pPr>
    </w:p>
    <w:p>
      <w:pPr>
        <w:ind w:left="660" w:right="760"/>
        <w:spacing w:after="0" w:line="282" w:lineRule="auto"/>
        <w:rPr>
          <w:sz w:val="20"/>
          <w:szCs w:val="20"/>
          <w:color w:val="auto"/>
        </w:rPr>
      </w:pPr>
      <w:r>
        <w:rPr>
          <w:rFonts w:ascii="Times New Roman" w:cs="Times New Roman" w:eastAsia="Times New Roman" w:hAnsi="Times New Roman"/>
          <w:sz w:val="18"/>
          <w:szCs w:val="18"/>
          <w:color w:val="auto"/>
        </w:rPr>
        <w:t>During 2014, $2,000 of principal was repaid related to the Series 2010 Bonds and the remaining $298,000 of principal was tendered by the bondholders and purchased by the Company utilizing unused restricted cash proceeds.</w:t>
      </w:r>
    </w:p>
    <w:p>
      <w:pPr>
        <w:spacing w:after="0" w:line="54"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The Series 2010 bonds have a stated maturity date of December 1, 2040, can bear interest at a rate of 0.6% per year, and the principal amount is due at maturity. Interest expense for the Series 2010 Bonds was $0 for the three months ended March 31, 2015. As of March 31, 2015, the Company was in compliance with all of the covenants under the Series 2010 Bonds.</w:t>
      </w:r>
    </w:p>
    <w:p>
      <w:pPr>
        <w:spacing w:after="0" w:line="64" w:lineRule="exact"/>
        <w:rPr>
          <w:sz w:val="20"/>
          <w:szCs w:val="20"/>
          <w:color w:val="auto"/>
        </w:rPr>
      </w:pPr>
    </w:p>
    <w:p>
      <w:pPr>
        <w:ind w:left="66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Series 2012 Bonds</w:t>
      </w:r>
      <w:r>
        <w:rPr>
          <w:rFonts w:ascii="Times New Roman" w:cs="Times New Roman" w:eastAsia="Times New Roman" w:hAnsi="Times New Roman"/>
          <w:sz w:val="18"/>
          <w:szCs w:val="18"/>
          <w:color w:val="auto"/>
        </w:rPr>
        <w:t>—On August 1, 2012, Jefferson County Development Corporation issued $46.9 million of tax-exempt industrial bonds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2012 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73"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 During the three months ended March 31, 2015, interest expense on the Series 2012 Bonds was approximately $960, inclusive of premium amortization of $3.</w:t>
      </w:r>
    </w:p>
    <w:p>
      <w:pPr>
        <w:spacing w:after="0" w:line="72"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Series 2012 Bonds have a stated maturity of July 1, 2032, bear interest at 8.25%, and require scheduled principal payments. The principal of the Series 2012 Bonds is payable annually at varying amounts. As of March 31, 2015, the Company was in compliance with all of the covenants under the Series 2012 Bonds.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Non-Controlling Interest</w:t>
      </w:r>
    </w:p>
    <w:p>
      <w:pPr>
        <w:spacing w:after="0" w:line="121"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18"/>
          <w:szCs w:val="18"/>
          <w:color w:val="auto"/>
        </w:rPr>
        <w:t>In May 2013, in connection with the capitalization of a consolidated subsidiary, the Company and the owner of the non-controlling interest loaned approximately $18,275 and $3,225, respectively, to the entity in proportion to their respective ownership percentages of 85% and 15%. The loans bear interest at an annual rate of 5% and require monthly payments of principal and interest through their final maturity in May 2021. The loan amount funded by the Company and related interest have been eliminated in consolidation. Interest expense in connection with the loan payable to non-controlling interest during the three months ended March 31, 2015 and 2014 was approximately $31 and $36, respectively.</w:t>
      </w:r>
    </w:p>
    <w:p>
      <w:pPr>
        <w:spacing w:after="0" w:line="18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0" w:lineRule="exact"/>
        <w:rPr>
          <w:rFonts w:ascii="Times New Roman" w:cs="Times New Roman" w:eastAsia="Times New Roman" w:hAnsi="Times New Roman"/>
          <w:sz w:val="18"/>
          <w:szCs w:val="18"/>
          <w:b w:val="1"/>
          <w:bCs w:val="1"/>
          <w:color w:val="auto"/>
        </w:rPr>
      </w:pPr>
    </w:p>
    <w:p>
      <w:pPr>
        <w:ind w:left="1360" w:hanging="704"/>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5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which require the Company to develop its own assumptions about how market participants price the asset or liability.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techniques that may be used to measure fair value are as follows:</w:t>
      </w:r>
    </w:p>
    <w:p>
      <w:pPr>
        <w:spacing w:after="0" w:line="117" w:lineRule="exact"/>
        <w:rPr>
          <w:sz w:val="20"/>
          <w:szCs w:val="20"/>
          <w:color w:val="auto"/>
        </w:rPr>
      </w:pPr>
    </w:p>
    <w:p>
      <w:pPr>
        <w:ind w:left="1300" w:right="8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approach—Uses prices and other relevant information generated by market transactions involving identical or comparable assets or liabilities.</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approach—Uses valuation techniques to convert future amounts to a single present amount based on current market expectations about those future amounts.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approach—Based on the amount that currently would be required to replace the service capacity of an asset (replacement cost).</w:t>
      </w:r>
    </w:p>
    <w:p>
      <w:pPr>
        <w:spacing w:after="0" w:line="77" w:lineRule="exact"/>
        <w:rPr>
          <w:sz w:val="20"/>
          <w:szCs w:val="20"/>
          <w:color w:val="auto"/>
        </w:rPr>
      </w:pPr>
    </w:p>
    <w:p>
      <w:pPr>
        <w:jc w:val="both"/>
        <w:ind w:left="660" w:right="24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assets measured at fair value on a recurring basis as of March 31, 2015 and December 31, 2014, by level within the fair value hierarchy. Assets measured at fair value are classified in their entirety based on the lowest level of input that is significant to their fair value measurement.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320" w:type="dxa"/>
            <w:vAlign w:val="bottom"/>
          </w:tcPr>
          <w:p>
            <w:pPr>
              <w:spacing w:after="0"/>
              <w:rPr>
                <w:sz w:val="18"/>
                <w:szCs w:val="18"/>
                <w:color w:val="auto"/>
              </w:rPr>
            </w:pPr>
          </w:p>
        </w:tc>
        <w:tc>
          <w:tcPr>
            <w:tcW w:w="39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900" w:type="dxa"/>
            <w:vAlign w:val="bottom"/>
            <w:gridSpan w:val="6"/>
          </w:tcPr>
          <w:p>
            <w:pPr>
              <w:jc w:val="center"/>
              <w:ind w:right="919"/>
              <w:spacing w:after="0"/>
              <w:rPr>
                <w:sz w:val="20"/>
                <w:szCs w:val="20"/>
                <w:color w:val="auto"/>
              </w:rPr>
            </w:pPr>
            <w:r>
              <w:rPr>
                <w:rFonts w:ascii="Times New Roman" w:cs="Times New Roman" w:eastAsia="Times New Roman" w:hAnsi="Times New Roman"/>
                <w:sz w:val="16"/>
                <w:szCs w:val="16"/>
                <w:b w:val="1"/>
                <w:bCs w:val="1"/>
                <w:color w:val="auto"/>
                <w:w w:val="99"/>
              </w:rPr>
              <w:t>Using Fair Value Hierarchy</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Technique</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6"/>
        </w:trPr>
        <w:tc>
          <w:tcPr>
            <w:tcW w:w="2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37,292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37,292</w:t>
            </w:r>
          </w:p>
        </w:tc>
        <w:tc>
          <w:tcPr>
            <w:tcW w:w="12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53,723</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320" w:type="dxa"/>
            <w:vAlign w:val="bottom"/>
          </w:tcPr>
          <w:p>
            <w:pPr>
              <w:spacing w:after="0"/>
              <w:rPr>
                <w:sz w:val="24"/>
                <w:szCs w:val="24"/>
                <w:color w:val="auto"/>
              </w:rPr>
            </w:pPr>
          </w:p>
        </w:tc>
        <w:tc>
          <w:tcPr>
            <w:tcW w:w="39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2014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900" w:type="dxa"/>
            <w:vAlign w:val="bottom"/>
            <w:gridSpan w:val="6"/>
          </w:tcPr>
          <w:p>
            <w:pPr>
              <w:jc w:val="center"/>
              <w:ind w:right="919"/>
              <w:spacing w:after="0"/>
              <w:rPr>
                <w:sz w:val="20"/>
                <w:szCs w:val="20"/>
                <w:color w:val="auto"/>
              </w:rPr>
            </w:pPr>
            <w:r>
              <w:rPr>
                <w:rFonts w:ascii="Times New Roman" w:cs="Times New Roman" w:eastAsia="Times New Roman" w:hAnsi="Times New Roman"/>
                <w:sz w:val="16"/>
                <w:szCs w:val="16"/>
                <w:b w:val="1"/>
                <w:bCs w:val="1"/>
                <w:color w:val="auto"/>
                <w:w w:val="99"/>
              </w:rPr>
              <w:t>Using Fair Value Hierarchy</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Technique</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6"/>
        </w:trPr>
        <w:tc>
          <w:tcPr>
            <w:tcW w:w="2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22,125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22,125</w:t>
            </w:r>
          </w:p>
        </w:tc>
        <w:tc>
          <w:tcPr>
            <w:tcW w:w="12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2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43,209</w:t>
            </w:r>
          </w:p>
        </w:tc>
        <w:tc>
          <w:tcPr>
            <w:tcW w:w="1280" w:type="dxa"/>
            <w:vAlign w:val="bottom"/>
            <w:gridSpan w:val="3"/>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2015 and December 31, 2014, the Company had no liabilities that were measured at fair value on a recurring basis.</w:t>
      </w:r>
    </w:p>
    <w:p>
      <w:pPr>
        <w:spacing w:after="0" w:line="117"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and restricted cash consist largely of demand deposit accounts with initial maturities of 90 days or less that are considered to be highly liquid and easily tradable. These instruments are valued using inputs observable in active markets for identical instruments and are therefore classified as Level 1 within the fair value hierarchy. The Company’s derivatives are valued using discounted cash flow models with observable market inputs (i.e., cash rates, futures rates, swap rates and contractual cash flows) that can be verified and do not involve significant judgments and are therefore classified as Level 2 within the fair value hierarchy.</w:t>
      </w:r>
    </w:p>
    <w:p>
      <w:pPr>
        <w:spacing w:after="0" w:line="76"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Except as discussed below, the Company’s financial instruments other than cash and cash equivalents, restricted cash, and derivatives consist principally of accounts receivable, tendered bonds, accounts payable and accrued liabilities,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2"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Company’s note receivable at March 31, 2015 and December 31, 2014, which is included as a component of other assets in the accompanying Consolidated Balance Sheet, consists of a $3,725 loan bearing interest at 12.00% made to the Company’s joint venture partner in MT 6015 (Note 2) which is collateralized by other property owned by the joint venture partner. The fair value of this note receivable approximates its carrying value due to it bearing a market rate of interest for similar types of loans.</w:t>
      </w:r>
    </w:p>
    <w:p>
      <w:pPr>
        <w:spacing w:after="0" w:line="72"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18"/>
          <w:szCs w:val="18"/>
          <w:color w:val="auto"/>
        </w:rPr>
        <w:t>The fair values of Container Loan #1 and Container Loan #2, reported in Debt in the Consolidated Balance Sheet at March 31, 2015 and December 31, 2014, was approximately $40,643 and $42,515, respectively, and $18,604 and $19,129, respectively, based upon current market interest rates for similar types of loans. The fair value of Series 2012</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bonds, reported in Debt in the Consolidated Balance Sheet, was approximately $50,269 at March 31, 2015 and approximated carrying value at December 31, 2014, based upon market prices for similar municipal securities. The fair values of the Jefferson Terminal Credit Agreement, CMQR Credit Agreement, and FTAI Pride Credit Agreement, reported in Debt in the Consolidated Balance Sheet, approximate their carrying values due to their bearing market rates of interest.</w:t>
      </w:r>
    </w:p>
    <w:p>
      <w:pPr>
        <w:spacing w:after="0" w:line="7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fair value of the note payable to non-controlling interest at March 31, 2015 and December 31, 2014 approximates its carrying value as such loan bears interest at market rate for similar types of instruments.</w:t>
      </w:r>
    </w:p>
    <w:p>
      <w:pPr>
        <w:spacing w:after="0" w:line="54"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equipment held for lease owned by the Company.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2015 and 2014, no impairment charges were recognized.</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revenue in the three months ended March 31, 2015 and 2014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16,005</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3,386</w:t>
            </w:r>
          </w:p>
        </w:tc>
      </w:tr>
      <w:tr>
        <w:trPr>
          <w:trHeight w:val="23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2,311</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1,336</w:t>
            </w:r>
          </w:p>
        </w:tc>
      </w:tr>
      <w:tr>
        <w:trPr>
          <w:trHeight w:val="21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23,038</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r>
      <w:tr>
        <w:trPr>
          <w:trHeight w:val="237"/>
        </w:trPr>
        <w:tc>
          <w:tcPr>
            <w:tcW w:w="40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infrastructure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10,935</w:t>
            </w:r>
          </w:p>
        </w:tc>
      </w:tr>
      <w:tr>
        <w:trPr>
          <w:trHeight w:val="244"/>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2014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3,885</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r>
      <w:tr>
        <w:trPr>
          <w:trHeight w:val="23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2,558</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40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Minimum future annual revenues contracted to be received under existing operating leases of equipment at March 31, 2015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2015</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45,448</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43,817</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50,913</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21,845</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9,093</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171,425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BASED COMPENSATION</w:t>
      </w:r>
    </w:p>
    <w:p>
      <w:pPr>
        <w:spacing w:after="0" w:line="121" w:lineRule="exact"/>
        <w:rPr>
          <w:rFonts w:ascii="Times New Roman" w:cs="Times New Roman" w:eastAsia="Times New Roman" w:hAnsi="Times New Roman"/>
          <w:sz w:val="18"/>
          <w:szCs w:val="18"/>
          <w:b w:val="1"/>
          <w:bCs w:val="1"/>
          <w:color w:val="auto"/>
        </w:rPr>
      </w:pPr>
    </w:p>
    <w:p>
      <w:pPr>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2014, the Company granted a senior employee of a subsidiary equity based compensation consisting of 1.25 million restricted shares of such subsidiary’s equity instruments in exchange for services to be provided. The awards vest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the date of grant, August 27, 2014 and estimated using a market approach. During the three months ended March 31, 2015, the achievement of one performance condition representing 50% of the grant value remains probable, and the Company has recognized cumulative expense of $1,990, including $853 of compensation expense during the three months ended March 31, 2015, within Operating expenses in the Consolidated Statements of Income. If the performance condition continues to be probable, an additional $9,949 of compensation expense could be recognized. If all vesting conditions for the entire award granted are met, future compensation expense of $21,889 would be recognized as of that date, through the year ended December 31, 2017. All restricted shares were outstanding and unvested as of March 31, 2015 and December 31, 2014. The award has an assumed forfeiture rate of zero.</w:t>
      </w:r>
    </w:p>
    <w:p>
      <w:pPr>
        <w:spacing w:after="0" w:line="82" w:lineRule="exact"/>
        <w:rPr>
          <w:rFonts w:ascii="Times New Roman" w:cs="Times New Roman" w:eastAsia="Times New Roman" w:hAnsi="Times New Roman"/>
          <w:sz w:val="18"/>
          <w:szCs w:val="18"/>
          <w:b w:val="1"/>
          <w:bCs w:val="1"/>
          <w:color w:val="auto"/>
        </w:rPr>
      </w:pPr>
    </w:p>
    <w:p>
      <w:pPr>
        <w:ind w:left="660" w:right="2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2014, the Company granted a senior employee of a subsidiary equity based compensation consisting of 1.1 million common units of such subsidiary’s equity instruments with a grant date fair value of $1,353 in exchange for services to be provided. The awards have a term of 16.5 months, and vest 50% on each of May 15, 2015 and May 15, 2016, subject to continued employment through each respective vesting date. The award is equity based, with compensation expense recognized ratably over the vesting period. During the three months ended March 31, 2015, no portion of this award was vested or forfeited, and $567 of compensation expense was recognized within Operating expenses in the Consolidated Statements of Income. The award has an assumed forfeiture rate of zero.</w:t>
      </w:r>
    </w:p>
    <w:p>
      <w:pPr>
        <w:spacing w:after="0" w:line="79"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award was based on the fair value of the operating subsidiary on the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6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deferred components of the income tax expense included in the Consolidated Statements of Income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4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provision</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r>
      <w:tr>
        <w:trPr>
          <w:trHeight w:val="318"/>
        </w:trPr>
        <w:tc>
          <w:tcPr>
            <w:tcW w:w="74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33"/>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4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deferred provision</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318"/>
        </w:trPr>
        <w:tc>
          <w:tcPr>
            <w:tcW w:w="74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Company is taxed as a flow-through entity for U.S. income tax purposes and its taxable income or loss generated is the responsibility of its partners. Taxable income or loss generated by the Company’s corporate subsidiaries is subject to U.S. federal, state and foreign corporate income tax in locations where they conduct business.</w:t>
      </w:r>
    </w:p>
    <w:p>
      <w:pPr>
        <w:spacing w:after="0" w:line="176"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16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As of and for the period ended March 31, 2015, the Company had not established a liability for uncertain tax positions as no such positions existed. In general, the Company’s tax returns and the tax returns of its corporate subsidiaries are subject to U.S. federal, state and foreign income tax examinations by tax authorities. Generally, the Company is not subject to examination by taxing authorities for tax years prior to 2011. The Company does not believe that it is reasonably possible that the total amount of unrecognized tax benefits will significantly change within 12 months of the reporting date.</w:t>
      </w:r>
    </w:p>
    <w:p>
      <w:pPr>
        <w:spacing w:after="0" w:line="18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 AND AFFILIATE TRANSACTIONS</w:t>
      </w:r>
    </w:p>
    <w:p>
      <w:pPr>
        <w:spacing w:after="0" w:line="121" w:lineRule="exact"/>
        <w:rPr>
          <w:rFonts w:ascii="Times New Roman" w:cs="Times New Roman" w:eastAsia="Times New Roman" w:hAnsi="Times New Roman"/>
          <w:sz w:val="18"/>
          <w:szCs w:val="18"/>
          <w:b w:val="1"/>
          <w:bCs w:val="1"/>
          <w:color w:val="auto"/>
        </w:rPr>
      </w:pPr>
    </w:p>
    <w:p>
      <w:pPr>
        <w:ind w:left="6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w:t>
      </w:r>
    </w:p>
    <w:p>
      <w:pPr>
        <w:spacing w:after="0" w:line="71" w:lineRule="exact"/>
        <w:rPr>
          <w:rFonts w:ascii="Times New Roman" w:cs="Times New Roman" w:eastAsia="Times New Roman" w:hAnsi="Times New Roman"/>
          <w:sz w:val="18"/>
          <w:szCs w:val="18"/>
          <w:b w:val="1"/>
          <w:bCs w:val="1"/>
          <w:color w:val="auto"/>
        </w:rPr>
      </w:pPr>
    </w:p>
    <w:p>
      <w:pPr>
        <w:ind w:left="66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2015, the management fee is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is applied to the weighted average of all capital called, reduced for any return of capital resulting from the partial or complete disposition of any Portfolio Investment, as defined. Subsequent to the Fund Commitment Period, the management fee percentage is applied to the lesser of (a) the weighted daily average of all capital contributions of the Fund Investors, reduced for any return of capital resulting from the partial or complete disposition of any Portfolio Investment, as defined, or (b) the net asset value of the Onshore Fund and the Offshore Fund (calculated by averaging the net asset value of the fund on the last day of each semi-annual period and the last day of each of the two preceding fiscal quarters). The amount of the management fee payable to the Manager shall be reduced (but not below zero) by the amount of any transaction, advisory, break-up, director’s, origination or similar fees received by the Master GP or the general partner of the Onshore Fund or the</w:t>
      </w:r>
    </w:p>
    <w:p>
      <w:pPr>
        <w:sectPr>
          <w:pgSz w:w="11900" w:h="16838" w:orient="portrait"/>
          <w:cols w:equalWidth="0" w:num="1">
            <w:col w:w="11420"/>
          </w:cols>
          <w:pgMar w:left="240" w:top="117"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auto"/>
        </w:rPr>
        <w:t>Offshore Fund during the six month period preceding the applicable Management Fee Due Date, as defined. Neither the Master GP, the general partner of the Onshore Fund or the Offshore Fund nor their affiliates are required to contribute capital to fund any portion of the management fee incurred.</w:t>
      </w:r>
    </w:p>
    <w:p>
      <w:pPr>
        <w:spacing w:after="0" w:line="68" w:lineRule="exact"/>
        <w:rPr>
          <w:sz w:val="20"/>
          <w:szCs w:val="20"/>
          <w:color w:val="auto"/>
        </w:rPr>
      </w:pPr>
    </w:p>
    <w:p>
      <w:pPr>
        <w:jc w:val="both"/>
        <w:ind w:left="660" w:right="520"/>
        <w:spacing w:after="0" w:line="266" w:lineRule="auto"/>
        <w:rPr>
          <w:sz w:val="20"/>
          <w:szCs w:val="20"/>
          <w:color w:val="auto"/>
        </w:rPr>
      </w:pPr>
      <w:r>
        <w:rPr>
          <w:rFonts w:ascii="Times New Roman" w:cs="Times New Roman" w:eastAsia="Times New Roman" w:hAnsi="Times New Roman"/>
          <w:sz w:val="18"/>
          <w:szCs w:val="18"/>
          <w:color w:val="auto"/>
        </w:rPr>
        <w:t>In addition, affiliates of the Manager may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w:t>
      </w:r>
    </w:p>
    <w:p>
      <w:pPr>
        <w:spacing w:after="0" w:line="176"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The Incentive Return, as described in Note 1, is payable to the Master GP from Distributable Proceeds of the Company (as defined) as they are distributed. Accordingly, an Incentive Return may be paid to the Master GP in connection with a particular investment if and when such investment generates proceeds in excess of the capital called with respect to such investment, plus an 8% cumulative preferred return on such investment and on all previously liquidated investments. If, upon the termination of the Company, the aggregate amount paid to the Master GP as Incentive Return exceeds the amount actually due after taking into account the aggregate return to the Onshore Fund and the Offshore Fund investors, the excess is required to be returned by the Master GP (that is “clawed back”, after adjusting for tax in accordance with the Company agreements) to the Company for benefit of the Fund Investors. During the three months ended March 31, 2015 and 2014, no Incentive Return was distributed to the Master GP.</w:t>
      </w:r>
    </w:p>
    <w:p>
      <w:pPr>
        <w:spacing w:after="0" w:line="185"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three months ended March 31, 2015 and 2014, the Master GP did not incur any amounts payable to these employees under such profit sharing arrangements attributable to the operations of the Company.</w:t>
      </w:r>
    </w:p>
    <w:p>
      <w:pPr>
        <w:spacing w:after="0" w:line="180"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In May 2015, in connection with the IPO, the Company entered into a new management agreement with FIG LLC, which replaced the existing management agreement (Note 18).</w:t>
      </w:r>
    </w:p>
    <w:p>
      <w:pPr>
        <w:spacing w:after="0" w:line="54"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and 2014, the Company incurred $2,414 and $751, respectively, of management fees. To date, there have been no Specified General and Administrative Expenses incurred pursuant to the Management Agreement. Accrued management fees of $2,414 and $3,626, as of March 31, 2015 and December 31, 2014, respectively, are included as a component of accounts payable and accrued liabilities in the accompanying Consolidated Balance Sheet.</w:t>
      </w:r>
    </w:p>
    <w:p>
      <w:pPr>
        <w:spacing w:after="0" w:line="7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As of March 31, 2015 and December 31, 2014, amounts receivable from the Manager of $0 and $335, respectively, are included within other assets in the Consolidated Balance Sheet. As of March 31, 2015 and December 31, 2014, amounts due to the Manager of $188 and $160, excluding accrued management fees, respectively, are included within other liabilities in the Consolidated Balance Sheet.</w:t>
      </w:r>
    </w:p>
    <w:p>
      <w:pPr>
        <w:spacing w:after="0" w:line="68"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color w:val="auto"/>
        </w:rPr>
        <w:t>As of March 31, 2015 and December 31, 2014, a private equity fund sponsored by Fortress owns a 20% interest in Jefferson Terminal which has been accounted for as a component of non-controlling interest in consolidated subsidiaries in the accompanying consolidated financial statements. The amount of this non-controlling interest at March 31, 2015 and December 31, 2014 was $64,647 and $54,273, and for the three months ending March 31, 2015, the amount of this non-controlling interest share of net income (loss) was $(1,549).</w:t>
      </w:r>
    </w:p>
    <w:p>
      <w:pPr>
        <w:spacing w:after="0" w:line="72"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 non-controlling interest holder of Jefferson Terminal provides construction services for Jefferson Terminal. At March 31, 2015 and December 31, 2014, accounts payable due to this vendor was $10,014 and $14,025, respectively.</w:t>
      </w:r>
    </w:p>
    <w:p>
      <w:pPr>
        <w:spacing w:after="0" w:line="15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 of investments in shipping containers and related equipment subject to operating leases and finance leases and also includes an investment in an unconsolidated entity engaged in the acquisition and leasing of shipping containers (on both an operating lease and finance lease basis). Jefferson Terminal consists of a multi-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modal crude oil and refined products terminal and other related assets. Railroad consists of our CMQR railroad operations (Note 3).</w:t>
      </w:r>
    </w:p>
    <w:p>
      <w:pPr>
        <w:spacing w:after="0" w:line="11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With the CMQR and Jefferson Terminal acquisitions during 2014, the Company created two new reporting segments, Jefferson Terminal and Railroad. The Chief Operating Decision Maker (“CODM”) also implemented Adjusted Net Income as the key performance measure during the same period. This segment structure and performance measure reflects the current management of the businesses and provides the CODM with the information necessary to assess operational performance as well as make resource and allocation decisions. These changes have been reflected within the following tables.</w:t>
      </w:r>
    </w:p>
    <w:p>
      <w:pPr>
        <w:spacing w:after="0" w:line="76"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The Company evaluates investment performance for each reportable segment primarily based on Net Income attributable to members and Adjusted Net Income.</w:t>
      </w:r>
    </w:p>
    <w:p>
      <w:pPr>
        <w:spacing w:after="0" w:line="68" w:lineRule="exact"/>
        <w:rPr>
          <w:sz w:val="20"/>
          <w:szCs w:val="20"/>
          <w:color w:val="auto"/>
        </w:rPr>
      </w:pPr>
    </w:p>
    <w:p>
      <w:pPr>
        <w:ind w:left="660" w:right="160"/>
        <w:spacing w:after="0" w:line="272" w:lineRule="auto"/>
        <w:rPr>
          <w:sz w:val="20"/>
          <w:szCs w:val="20"/>
          <w:color w:val="auto"/>
        </w:rPr>
      </w:pPr>
      <w:r>
        <w:rPr>
          <w:rFonts w:ascii="Times New Roman" w:cs="Times New Roman" w:eastAsia="Times New Roman" w:hAnsi="Times New Roman"/>
          <w:sz w:val="17"/>
          <w:szCs w:val="17"/>
          <w:color w:val="auto"/>
        </w:rPr>
        <w:t>Adjusted Net Income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and equity in earnings of unconsolidated entities;</w:t>
      </w:r>
    </w:p>
    <w:p>
      <w:pPr>
        <w:spacing w:after="0" w:line="2" w:lineRule="exact"/>
        <w:rPr>
          <w:sz w:val="20"/>
          <w:szCs w:val="20"/>
          <w:color w:val="auto"/>
        </w:rPr>
      </w:pPr>
    </w:p>
    <w:p>
      <w:pPr>
        <w:ind w:left="660" w:right="460" w:hanging="4"/>
        <w:spacing w:after="0" w:line="261"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72"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Company believes that net income attributable to members as defined by GAAP is the most appropriate earnings measurement with which to reconcile Adjusted Net Income. Adjusted Net Income should not be considered as an alternative to Net Income attributable to members as determined in accordance with GAAP.</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1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certain information for each reportable segment of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For the Three Months Ended March 31, 2015</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 leasing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and transaction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33,226</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members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Adjusted Net Income to Net Income attributable to members: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6,923</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Pro-rata share of Adjusted Net Income from</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Asset impairment charges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Changes in fair value of non-hedge derivative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Losses on the modification or extinguishment of</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and capital lease obligations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Equity-based compensation expense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members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information with respect to the Company’s geographic sources of revenue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12,373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As of and for the Three Months Ended March 31, 2014</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 leasing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and transaction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Management fees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members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Adjusted Net Income to Net Income attributable to members: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4,927</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Pro-rata share of Adjusted Net Income from</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Asset impairment charges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Changes in fair value of non-hedge derivative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Losses on the modification or extinguishment of</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and capital lease obligations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Equity-based compensation expense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members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information with respect to the Company’s geographic sources of revenue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III. Balance Sheet and location of long-lived assets</w:t>
      </w:r>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sets forth summarized balance sheet information and the location of property, plant and equipment and equipment held for lease as of March 31, 2015 and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ind w:left="82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5"/>
              </w:rPr>
              <w:t>Aviation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9"/>
                <w:szCs w:val="9"/>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305,626</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207,881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114,418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754,026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27,599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29,069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1,438,619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58,812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446,018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588,603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48,346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463,308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17,357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671,815</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257,280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190,479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657,404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 in equity of consolidated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100,239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108,790</w:t>
            </w:r>
          </w:p>
        </w:tc>
        <w:tc>
          <w:tcPr>
            <w:tcW w:w="0" w:type="dxa"/>
            <w:vAlign w:val="bottom"/>
          </w:tcPr>
          <w:p>
            <w:pPr>
              <w:spacing w:after="0"/>
              <w:rPr>
                <w:sz w:val="1"/>
                <w:szCs w:val="1"/>
                <w:color w:val="auto"/>
              </w:rPr>
            </w:pPr>
          </w:p>
        </w:tc>
      </w:tr>
      <w:tr>
        <w:trPr>
          <w:trHeight w:val="231"/>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members' equity</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257,280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129,647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290,718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10,242</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23,604</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766,804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305,626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1,438,619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7"/>
          </w:tcPr>
          <w:p>
            <w:pPr>
              <w:ind w:left="88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and equipment held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lease, net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47,912</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47,912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153,640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136,866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241,476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287,916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323,748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property, plant and equipment and equipment</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282,205</w:t>
            </w:r>
          </w:p>
        </w:tc>
        <w:tc>
          <w:tcPr>
            <w:tcW w:w="20" w:type="dxa"/>
            <w:vAlign w:val="bottom"/>
            <w:shd w:val="clear" w:color="auto" w:fill="CCEEFF"/>
          </w:tcPr>
          <w:p>
            <w:pPr>
              <w:spacing w:after="0"/>
              <w:rPr>
                <w:sz w:val="17"/>
                <w:szCs w:val="17"/>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177,129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287,916</w:t>
            </w:r>
          </w:p>
        </w:tc>
        <w:tc>
          <w:tcPr>
            <w:tcW w:w="2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20,116</w:t>
            </w:r>
          </w:p>
        </w:tc>
        <w:tc>
          <w:tcPr>
            <w:tcW w:w="2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767,366</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held for lease, net</w:t>
            </w: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10"/>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7"/>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Railroad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308,957</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212,699</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117,298</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720,727</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30,605</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1,404,201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446,272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592,867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470,171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19,499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690,704</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258,675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159,438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10,478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613,683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 in equity of 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99,065</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members' equity</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258,675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130,796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250,556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11,106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713,497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308,957</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212,699</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117,298</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720,727</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30,605</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1,404,201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9"/>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gridSpan w:val="9"/>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7"/>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80" w:type="dxa"/>
            <w:vAlign w:val="bottom"/>
          </w:tcPr>
          <w:p>
            <w:pPr>
              <w:spacing w:after="0"/>
              <w:rPr>
                <w:sz w:val="18"/>
                <w:szCs w:val="18"/>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00" w:type="dxa"/>
            <w:vAlign w:val="bottom"/>
          </w:tcPr>
          <w:p>
            <w:pPr>
              <w:spacing w:after="0"/>
              <w:rPr>
                <w:sz w:val="18"/>
                <w:szCs w:val="18"/>
                <w:color w:val="auto"/>
              </w:rPr>
            </w:pPr>
          </w:p>
        </w:tc>
        <w:tc>
          <w:tcPr>
            <w:tcW w:w="11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and equipment held</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lease, net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2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47,945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159,869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105,762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137,981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243,743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285,551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property, plant and equipment and equipment</w:t>
            </w:r>
          </w:p>
        </w:tc>
        <w:tc>
          <w:tcPr>
            <w:tcW w:w="2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252,354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19,862</w:t>
            </w:r>
          </w:p>
        </w:tc>
        <w:tc>
          <w:tcPr>
            <w:tcW w:w="820" w:type="dxa"/>
            <w:vAlign w:val="bottom"/>
            <w:gridSpan w:val="2"/>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737,707</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held for lease, net</w:t>
            </w:r>
          </w:p>
        </w:tc>
        <w:tc>
          <w:tcPr>
            <w:tcW w:w="2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80" w:type="dxa"/>
            <w:vAlign w:val="bottom"/>
            <w:gridSpan w:val="4"/>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0" w:type="dxa"/>
            <w:vAlign w:val="bottom"/>
            <w:gridSpan w:val="4"/>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("EPS") is calculated by dividing net income attributable to the Company by the weighted average number of shares of common stock outstanding. Diluted EPS is calculated by dividing net income attributable to the Company by the weighted average number of shares of common stock outstanding, plus potentially dilutive securities. Potentially dilutive securities are calculated using the treasury stock method.</w:t>
      </w:r>
    </w:p>
    <w:p>
      <w:pPr>
        <w:spacing w:after="0" w:line="176"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an IPO on May 20, 2015 in which the Initial Shareholders, immediately prior to the consummation of the IPO, received shares in proportion to their respective ownership percentages (Note 18). As a result, the Company is retrospectively presenting the shares outstanding for all periods presented.</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basic and diluted EPS is presented below (in thousands, except share and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4220" w:type="dxa"/>
            <w:vAlign w:val="bottom"/>
            <w:gridSpan w:val="5"/>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Members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5,448</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53,502,873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53,502,873</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EPS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0.03</w:t>
            </w:r>
          </w:p>
        </w:tc>
      </w:tr>
      <w:tr>
        <w:trPr>
          <w:trHeight w:val="33"/>
        </w:trPr>
        <w:tc>
          <w:tcPr>
            <w:tcW w:w="7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144"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144"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6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normal course of business the Company may enter into contracts that contain a variety of representations and warranties and which provide general indemnifications. The Company’s maximum exposure under these arrangements is unknown as such arrangements would involve future claims that may be made against the Company that have not yet occurred. The Company believes the risk of loss in connection with such arrangements to be remote.</w:t>
      </w:r>
    </w:p>
    <w:p>
      <w:pPr>
        <w:spacing w:after="0" w:line="71"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formation of MT6015, a consolidated VIE (Note 2), the Company and its joint venture partner are each obligated to fund additional equity contributions of $11,925.</w:t>
      </w:r>
    </w:p>
    <w:p>
      <w:pPr>
        <w:spacing w:after="0" w:line="53"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Two of the Company’s subsidiaries are lessees under various operating leases. As of March 31, 2015, minimum future rental payments under these leases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2015</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3,710</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5,029</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5,026</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4,019</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3,891</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47,673</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69,348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and May 2015, the remaining capital commitments of the investors of the Onshore Fund, Offshore Fund and Master GP were called. In May 2015, 53,502,873 common shares were issued to the Onshore Fund and Offshore Fund based on their relative interests in the Company. Immediately prior to the consummation of the IPO, the Master GP contributed its rights to previously undistributed incentive allocations pursuant to the Partnership Agreement in exchange for the limited partnership interest in each such partnership equal to the amount of any such undistributed incentive allocations. The limited partners of the Onshore Fund and Offshore Fund and the Master GP will receive the underlying value in common shares commensurate with their partnership interest inclusive, in the case of the Master GP, of any undistributed incentive allocations. Additionally, on May 20, 2015, the Company completed an IPO of 20 million common shares, at a price to the public of $17.00 per share.</w:t>
      </w:r>
    </w:p>
    <w:p>
      <w:pPr>
        <w:spacing w:after="0" w:line="8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use the net proceeds,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intends to use the net proceeds for follow-on investments in existing assets, working capital and other general purposes.</w:t>
      </w:r>
    </w:p>
    <w:p>
      <w:pPr>
        <w:spacing w:after="0" w:line="180" w:lineRule="exact"/>
        <w:rPr>
          <w:rFonts w:ascii="Times New Roman" w:cs="Times New Roman" w:eastAsia="Times New Roman" w:hAnsi="Times New Roman"/>
          <w:sz w:val="18"/>
          <w:szCs w:val="18"/>
          <w:b w:val="1"/>
          <w:bCs w:val="1"/>
          <w:color w:val="auto"/>
        </w:rPr>
      </w:pPr>
    </w:p>
    <w:p>
      <w:pPr>
        <w:ind w:left="6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2015, in connection with the IPO, the Company entered into a new management agreement with FIG LLC, which replaced the existing management agreement. Pursuant to the new management agreement, FIG LLC or its affiliate will receive a monthly management fee and reimbursement for certain expenses incurred. Additionally, in May 2015, the partnership agreement of the Partnership was amended whereby, among other things, the existing Incentive Return arrangement for the Master GP was revised to specify that the entitlement to certain incentive distributions be based on the consolidated net income in excess of certain hurdle return targets and capital gains income of the Partnership, subject to certain adjustments, as defined, before any amounts are distributed to the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the Company’s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81"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generally and specifically in our industry sectors, and other risks relating to the global economy;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cash flows received from our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acquisition opportunities at favorable prices;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liquidity surrounding our assets, which could impede our ability to vary our portfolio in an appropriate manner;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spreads between the yield on the assets we acquire and the cost of financing;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financing markets we access affecting our ability to finance our acquisitions;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defaults on their obligations;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and win additional contracts with existing or potential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future acquisitions;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 particular type of asset or in a particular sector;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aviation, energy, intermodal transport and rail sectors;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acquisition opportunities;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operating through joint ventures or partnerships or through consortium arrangements;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our assets or our ability to sell, re-lease or re-charter our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uninsurable losses and force majeure events;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operations may require substantial capital expenditures;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legislative/regulatory environment and exposure to increased economic regulation;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oil and gas industry’s volatile oil and gas prices;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effective legal redress in jurisdictions in which we operate with less developed legal systems;</w:t>
      </w:r>
    </w:p>
    <w:p>
      <w:pPr>
        <w:spacing w:after="0" w:line="117"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registration under the 1940 Act and the fact that maintaining such exemption imposes limits on our operations;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leverage in connection with our investments;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and risk management activities;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environmental risks, including increasing environmental legislation and the broader impacts of climate change;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and/or credit spreads, as well as the success of any hedging strategy we may undertake in relation to such changes;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ind w:left="820" w:right="14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national, state, or provincial governments, including nationalization, or the imposition of new taxes, could materially impact the financial performance or value of our assets;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Manager and its professionals and conflicts of interest in our relationship with our Manager;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of our common shares;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pay dividends to our shareholders in the future;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w:t>
      </w:r>
    </w:p>
    <w:p>
      <w:pPr>
        <w:spacing w:after="0" w:line="117"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2"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688" w:right="279"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own and acquire high quality infrastructure and related equipment that is essential for the transportation of goods and people globally. We currently invest across four market sectors: aviation, energy, intermodal transport and rail.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an affiliate of Fortress, which has a dedicated team of professionals who collectively have acquired over $17 billion in transportation and infrastructure assets since 2002. As of March 31, 2015, we had total consolidated assets of $1.4 billion and total equity capital of $767 million.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May 2015, the Company completed an initial public offering (the “IPO”) of 20 million common shares, at a price to the public of $17.00 per share.</w:t>
      </w:r>
    </w:p>
    <w:p>
      <w:pPr>
        <w:spacing w:after="0" w:line="117"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The Company has used and intends to use the net proceeds from the sale of 20 million shares (net of underwriters’ discounts and commissions and estimated offering expenses),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intends to use the net proceeds for follow-on investments in existing assets, working capital and other general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They often involve an operating business that has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may include structural protections to mitigate credit risk.</w:t>
      </w:r>
    </w:p>
    <w:p>
      <w:pPr>
        <w:spacing w:after="0" w:line="81"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investments in shipping containers subject to operating leases and finance leases as well as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The Corporate operating segment primarily consists of unallocated corporate general and administrative expenses and management fees.</w:t>
      </w:r>
    </w:p>
    <w:p>
      <w:pPr>
        <w:spacing w:after="0" w:line="78"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utilizes Adjusted Net Income as the key performance measure. This performance measure reflects the current management of our businesses and provides the CODM with the information necessary to assess operational performance as well as make resource and allocation decisions. Adjusted Net Income should not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792" w:right="27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be considered as an alternative to net income attributable to members as determined in accordance with GAAP. During the fourth quarter of 2014, the CODM implemented Adjusted Net Income as the key performance measure and prior periods have been conformed to the current presentation.</w:t>
      </w:r>
    </w:p>
    <w:p>
      <w:pPr>
        <w:spacing w:after="0" w:line="162"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and equity in earnings of unconsolidated entities; (b) to include the impact of cash income tax payments and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members as defined by GAAP is the most appropriate earnings measurement, with which to reconcile Adjusted Net Income.</w:t>
      </w:r>
    </w:p>
    <w:p>
      <w:pPr>
        <w:spacing w:after="0" w:line="149"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In addition, we view Adjusted EBITDA as a secondary measurement to Adjusted Net Income, which serves as a useful supplement to investors, analysts and management to measure operating performance of deployed assets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180" w:lineRule="exact"/>
        <w:rPr>
          <w:sz w:val="20"/>
          <w:szCs w:val="20"/>
          <w:color w:val="auto"/>
        </w:rPr>
      </w:pPr>
    </w:p>
    <w:p>
      <w:pPr>
        <w:ind w:right="260" w:firstLine="446"/>
        <w:spacing w:after="0" w:line="258" w:lineRule="auto"/>
        <w:rPr>
          <w:sz w:val="20"/>
          <w:szCs w:val="20"/>
          <w:color w:val="auto"/>
        </w:rPr>
      </w:pPr>
      <w:r>
        <w:rPr>
          <w:rFonts w:ascii="Times New Roman" w:cs="Times New Roman" w:eastAsia="Times New Roman" w:hAnsi="Times New Roman"/>
          <w:sz w:val="18"/>
          <w:szCs w:val="18"/>
          <w:color w:val="auto"/>
        </w:rPr>
        <w:t>Adjusted EBITDA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depreciation and amortization expense, and interest expense; (b) to include the impact of principal collections on direct finance leases (collectively, “Adjusted EBITDA”) and our pro-rata share of the Adjusted EBITDA from unconsolidated entities; and (c) to exclude the impact of equity in earnings of unconsolidated entities and the non-controlling share of Adjusted EBITDA.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Discussed below are our consolidated results of operations for each of our reportable segments (all US dollar amounts, expressed in thousands).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2015 to the three months ended March 31, 2014</w:t>
      </w:r>
    </w:p>
    <w:p>
      <w:pPr>
        <w:spacing w:after="0" w:line="229"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consolidated results of operations and reconciliation of Net Income attributable to members to Adjusted Net Income in three months ended March 31, 2015 as compared to the three months ended March 31,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12,120</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Maintenance revenue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2,159</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1,310</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15,342</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Rail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r>
      <w:tr>
        <w:trPr>
          <w:trHeight w:val="237"/>
        </w:trPr>
        <w:tc>
          <w:tcPr>
            <w:tcW w:w="6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infrastructure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10,935</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33,973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26,277</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14,182</w:t>
            </w:r>
          </w:p>
        </w:tc>
      </w:tr>
      <w:tr>
        <w:trPr>
          <w:trHeight w:val="33"/>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7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Management fees to affiliate</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8,731</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3,998</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33,226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25,730</w:t>
            </w:r>
          </w:p>
        </w:tc>
      </w:tr>
      <w:tr>
        <w:trPr>
          <w:trHeight w:val="264"/>
        </w:trPr>
        <w:tc>
          <w:tcPr>
            <w:tcW w:w="26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on sale of equipment, net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income</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2,172</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1,761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411</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340</w:t>
            </w:r>
          </w:p>
        </w:tc>
      </w:tr>
      <w:tr>
        <w:trPr>
          <w:trHeight w:val="19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 in consolidated</w:t>
            </w:r>
          </w:p>
        </w:tc>
        <w:tc>
          <w:tcPr>
            <w:tcW w:w="6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subsidiaries</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4,022</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1,420</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Adjusted Net Income from unconsolidated entities </w:t>
            </w:r>
            <w:r>
              <w:rPr>
                <w:rFonts w:ascii="Times New Roman" w:cs="Times New Roman" w:eastAsia="Times New Roman" w:hAnsi="Times New Roman"/>
                <w:sz w:val="21"/>
                <w:szCs w:val="21"/>
                <w:color w:val="auto"/>
                <w:vertAlign w:val="superscript"/>
              </w:rPr>
              <w:t>(1)</w:t>
            </w:r>
          </w:p>
        </w:tc>
        <w:tc>
          <w:tcPr>
            <w:tcW w:w="6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Net Income </w:t>
            </w:r>
            <w:r>
              <w:rPr>
                <w:rFonts w:ascii="Times New Roman" w:cs="Times New Roman" w:eastAsia="Times New Roman" w:hAnsi="Times New Roman"/>
                <w:sz w:val="21"/>
                <w:szCs w:val="21"/>
                <w:color w:val="auto"/>
                <w:vertAlign w:val="superscript"/>
              </w:rPr>
              <w:t>(2)</w:t>
            </w: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44"/>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6,923</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4,927</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1,996</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30" w:lineRule="exact"/>
        <w:rPr>
          <w:sz w:val="20"/>
          <w:szCs w:val="20"/>
          <w:color w:val="auto"/>
        </w:rPr>
      </w:pPr>
    </w:p>
    <w:p>
      <w:pPr>
        <w:ind w:left="460" w:right="400" w:hanging="425"/>
        <w:spacing w:after="0" w:line="218" w:lineRule="auto"/>
        <w:tabs>
          <w:tab w:leader="none" w:pos="445"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1" w:lineRule="exact"/>
        <w:rPr>
          <w:rFonts w:ascii="Times New Roman" w:cs="Times New Roman" w:eastAsia="Times New Roman" w:hAnsi="Times New Roman"/>
          <w:sz w:val="25"/>
          <w:szCs w:val="25"/>
          <w:color w:val="auto"/>
          <w:vertAlign w:val="superscript"/>
        </w:rPr>
      </w:pPr>
    </w:p>
    <w:p>
      <w:pPr>
        <w:ind w:left="460" w:hanging="425"/>
        <w:spacing w:after="0" w:line="225" w:lineRule="auto"/>
        <w:tabs>
          <w:tab w:leader="none" w:pos="4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Net Income is comprised of equity-based compensation of $(354) for the three months ended March 31,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52" w:right="239" w:bottom="1440" w:gutter="0" w:footer="0" w:header="0"/>
        </w:sectPr>
      </w:pPr>
    </w:p>
    <w:bookmarkStart w:id="41" w:name="page42"/>
    <w:bookmarkEnd w:id="41"/>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members to Adjusted EBITDA for the three months ended March 31, 2015 as compared to the three months ended March 31,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4,022</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1,420</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r>
      <w:tr>
        <w:trPr>
          <w:trHeight w:val="21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Add: Depreciation &amp; amortization expense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10,735</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3,998</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w:t>
            </w:r>
          </w:p>
        </w:tc>
      </w:tr>
      <w:tr>
        <w:trPr>
          <w:trHeight w:val="27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the Adjusted EBITDA from unconsolidated entities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r>
      <w:tr>
        <w:trPr>
          <w:trHeight w:val="270"/>
        </w:trPr>
        <w:tc>
          <w:tcPr>
            <w:tcW w:w="606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(5)</w:t>
            </w: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w:t>
            </w: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12,162</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360" w:hanging="425"/>
        <w:spacing w:after="0" w:line="218" w:lineRule="auto"/>
        <w:tabs>
          <w:tab w:leader="none" w:pos="445"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Depreciation and amortization expense includes $10,562 and $1,831 of depreciation and amortization expense, $2,096 and $152 of lease intangible amortization, and $60 and $0 of amortization for lease incentives in the three months ended March 31, 2015 and 2014, respectively.</w:t>
      </w:r>
    </w:p>
    <w:p>
      <w:pPr>
        <w:spacing w:after="0" w:line="37" w:lineRule="exact"/>
        <w:rPr>
          <w:rFonts w:ascii="Times New Roman" w:cs="Times New Roman" w:eastAsia="Times New Roman" w:hAnsi="Times New Roman"/>
          <w:sz w:val="25"/>
          <w:szCs w:val="25"/>
          <w:color w:val="auto"/>
          <w:vertAlign w:val="superscript"/>
        </w:rPr>
      </w:pPr>
    </w:p>
    <w:p>
      <w:pPr>
        <w:ind w:left="460" w:right="260" w:hanging="425"/>
        <w:spacing w:after="0" w:line="228" w:lineRule="auto"/>
        <w:tabs>
          <w:tab w:leader="none" w:pos="441"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Company's pro-rata share of Adjusted EBITDA from unconsolidated entities includes the following items for the three months ended March 31, 2015 and 2014: (i) net income of $1,185 and $1,527 respectively, (ii) interest expense of $533 and $632, respectively, (iii) depreciation and amortization expense of $304 and $339, respectively, and (iv) principal collections of finance leases of $3,403 and $5,760.</w:t>
      </w:r>
    </w:p>
    <w:p>
      <w:pPr>
        <w:spacing w:after="0" w:line="35" w:lineRule="exact"/>
        <w:rPr>
          <w:rFonts w:ascii="Times New Roman" w:cs="Times New Roman" w:eastAsia="Times New Roman" w:hAnsi="Times New Roman"/>
          <w:sz w:val="25"/>
          <w:szCs w:val="25"/>
          <w:color w:val="auto"/>
          <w:vertAlign w:val="superscript"/>
        </w:rPr>
      </w:pPr>
    </w:p>
    <w:p>
      <w:pPr>
        <w:ind w:left="460" w:right="100" w:hanging="425"/>
        <w:spacing w:after="0" w:line="228" w:lineRule="auto"/>
        <w:tabs>
          <w:tab w:leader="none" w:pos="445"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EBITDA is comprised of the following items for the three months ended March 31, 2015 and 2014: (i) equity based compensation of $354 and $0, respectively, (ii) interest expense of $1,238 and $36, respectively, and (iii) depreciation and amortization expense of $1,391 and $56, respectively.</w:t>
      </w:r>
    </w:p>
    <w:p>
      <w:pPr>
        <w:spacing w:after="0" w:line="224" w:lineRule="exact"/>
        <w:rPr>
          <w:rFonts w:ascii="Times New Roman" w:cs="Times New Roman" w:eastAsia="Times New Roman" w:hAnsi="Times New Roman"/>
          <w:sz w:val="25"/>
          <w:szCs w:val="25"/>
          <w:color w:val="auto"/>
          <w:vertAlign w:val="superscript"/>
        </w:rPr>
      </w:pPr>
    </w:p>
    <w:p>
      <w:pPr>
        <w:ind w:left="4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2014, the Company also added two new reportable segments within the Infrastructure Business: Jefferson Terminal and Railroad.</w:t>
      </w:r>
    </w:p>
    <w:p>
      <w:pPr>
        <w:spacing w:after="0" w:line="225" w:lineRule="exact"/>
        <w:rPr>
          <w:sz w:val="20"/>
          <w:szCs w:val="20"/>
          <w:color w:val="auto"/>
        </w:rPr>
      </w:pPr>
    </w:p>
    <w:p>
      <w:pPr>
        <w:ind w:right="500" w:firstLine="446"/>
        <w:spacing w:after="0" w:line="261" w:lineRule="auto"/>
        <w:rPr>
          <w:sz w:val="20"/>
          <w:szCs w:val="20"/>
          <w:color w:val="auto"/>
        </w:rPr>
      </w:pPr>
      <w:r>
        <w:rPr>
          <w:rFonts w:ascii="Times New Roman" w:cs="Times New Roman" w:eastAsia="Times New Roman" w:hAnsi="Times New Roman"/>
          <w:sz w:val="18"/>
          <w:szCs w:val="18"/>
          <w:color w:val="auto"/>
        </w:rPr>
        <w:t>Total revenue increased by $26,277 in the three months ended March 31, 2015 as compared to the three months ended March 31, 2014, driven by higher lease income, maintenance revenue, and other revenue. In Equipment Leasing, lease income increased by $12,120 in the three months ended</w:t>
      </w:r>
    </w:p>
    <w:p>
      <w:pPr>
        <w:ind w:right="20"/>
        <w:spacing w:after="0" w:line="252" w:lineRule="auto"/>
        <w:rPr>
          <w:sz w:val="20"/>
          <w:szCs w:val="20"/>
          <w:color w:val="auto"/>
        </w:rPr>
      </w:pPr>
      <w:r>
        <w:rPr>
          <w:rFonts w:ascii="Times New Roman" w:cs="Times New Roman" w:eastAsia="Times New Roman" w:hAnsi="Times New Roman"/>
          <w:sz w:val="18"/>
          <w:szCs w:val="18"/>
          <w:color w:val="auto"/>
        </w:rPr>
        <w:t>March 31, 2015 as compared to the three months ended March 31, 2014 driven by the Aviation Leasing and Offshore Energy segments as asset acquisitions in the Aviation Leasing and Offshore Energy segments contributed to greater revenues. Maintenance revenue increased by $2,159 in the three months ended March 31, 2015 as compared to the three months ended March 31, 2014 as a result of an increase in the number of aircraft and engines on lease. In Infrastructure, the Railroad and Jefferson Terminal segments contributed revenues of $10,935 in the three months ended March 31, 2015, as they were acquired by the Company in the second and third quarters of 2014, respectively. Lease income in Infrastructure increased by $1,410 in the three months ended March 31, 2015 due to Jefferson Terminal, which was acquired in August 2014. Other revenue increased by $1,310 in the three months ended March 31, 2015 as compared to the three months ended March 31, 2014 primarily due to income from the forfeiture of a security deposit in Aviation Leasing in the three months ended March 31, 2015, which did not occur in the three months ended March 31, 2014.</w:t>
      </w:r>
    </w:p>
    <w:p>
      <w:pPr>
        <w:spacing w:after="0" w:line="188" w:lineRule="exact"/>
        <w:rPr>
          <w:sz w:val="20"/>
          <w:szCs w:val="20"/>
          <w:color w:val="auto"/>
        </w:rPr>
      </w:pPr>
    </w:p>
    <w:p>
      <w:pPr>
        <w:ind w:right="240" w:firstLine="446"/>
        <w:spacing w:after="0" w:line="261" w:lineRule="auto"/>
        <w:rPr>
          <w:sz w:val="20"/>
          <w:szCs w:val="20"/>
          <w:color w:val="auto"/>
        </w:rPr>
      </w:pPr>
      <w:r>
        <w:rPr>
          <w:rFonts w:ascii="Times New Roman" w:cs="Times New Roman" w:eastAsia="Times New Roman" w:hAnsi="Times New Roman"/>
          <w:sz w:val="18"/>
          <w:szCs w:val="18"/>
          <w:color w:val="auto"/>
        </w:rPr>
        <w:t>Total expenses increased by $25,730 in the three months ended March 31, 2015 as compared to the three months ended March 31, 2014. This was driven by an increase in operating expenses of $14,182 and general and administrative expenses of $121 in the three months ended March 31, 2015 as compared to the three months ended March 31, 2014, primarily due to the inclusion of Jefferson Terminal and CMQR, both acquired in 2014. Depreciation and amortization increased by $8,731 in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three months ended March 31, 2015 as compared to the three months ended March 31, 2014 due to additional assets acquired in the Aviation Leasing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Energy segments in 2014, as well as the acquisition of Jefferson Terminal and CMQR related assets. Management fees to affiliate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$1,663 in the three months ended March 31, 2015 as compared to the three months ended March 31, 2014 attributable to an increase in the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contributed capital. Interest expense increased by $3,998 in the three months ended March 31, 2015 as compared to the three months ended March 31,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new borrowings in connection with CMQR operations and the Jefferson Terminal acquisition. Offsetting these increased expenses were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transaction expense of $2,965 in the three months ended March 31, 2015 as compared to the three months ended March 31, 2014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acquisitions of Jefferson Terminal and CMQR in 2014.</w:t>
      </w:r>
    </w:p>
    <w:p>
      <w:pPr>
        <w:spacing w:after="0" w:line="207"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Net income attributable to members increased by $4,022, to $5,448 in the three months ended March 31, 2015 as compared to $1,426 in the three months ended March 31, 2014, driven by net loss attributable to non-controlling interest in consolidated subsidiaries, as well as the changes discussed above.</w:t>
      </w:r>
    </w:p>
    <w:p>
      <w:pPr>
        <w:spacing w:after="0" w:line="162" w:lineRule="exact"/>
        <w:rPr>
          <w:sz w:val="20"/>
          <w:szCs w:val="20"/>
          <w:color w:val="auto"/>
        </w:rPr>
      </w:pPr>
    </w:p>
    <w:p>
      <w:pPr>
        <w:ind w:right="380" w:firstLine="446"/>
        <w:spacing w:after="0" w:line="261" w:lineRule="auto"/>
        <w:rPr>
          <w:sz w:val="20"/>
          <w:szCs w:val="20"/>
          <w:color w:val="auto"/>
        </w:rPr>
      </w:pPr>
      <w:r>
        <w:rPr>
          <w:rFonts w:ascii="Times New Roman" w:cs="Times New Roman" w:eastAsia="Times New Roman" w:hAnsi="Times New Roman"/>
          <w:sz w:val="18"/>
          <w:szCs w:val="18"/>
          <w:color w:val="auto"/>
        </w:rPr>
        <w:t>Adjusted Net Income was $6,923 in the three months ended March 31, 2015 as compared to $4,927 in the three months ended March 31, 2014, an increase of $1,996. In addition to the changes in Net income attributable to members noted above, this increase was driven by by higher equity-based compensation expense in the three months ended March 31, 2015, which is excluded from Adjusted Net Income, partially offset by lower acquisition and transaction expenses, mainly due to costs to acquire Jefferson Terminal and CMQR in the three months ended March 31, 2014.</w:t>
      </w:r>
    </w:p>
    <w:p>
      <w:pPr>
        <w:spacing w:after="0" w:line="180"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Adjusted EBITDA was $29,149 in the three months ended March 31, 2015 as compared to $16,987 in in the three months ended March 31, 2014, an increase of $12,162. In addition to the changes in Net income attributable to members noted above, this increase was primarily due to increased (i) depreciation and amortization expense due to additional assets acquired across nearly all segments, (ii) interest expense on borrowings executed in the second half of 2014, and (iii) equity-based compensation expense. These increases were offset by (i) lower acquisition and transaction expenses, mainly due to costs to acquire Jefferson Terminal and CMQR in the three months ended March 31, 2014, (ii) a decrease in our pro-rata share of the Adjusted EBITDA from unconsolidated entities and (iii) higher non-controlling share of Adjusted EBITDA, mainly due to Jefferson Terminal.</w:t>
      </w:r>
    </w:p>
    <w:p>
      <w:pPr>
        <w:spacing w:after="0" w:line="188"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Additional discussion of the Company’s results of operations in three months ended March 31, 2015 as compared to the three months ended March 31, 2014 by segment is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Aviation Leasing Segment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our Aviation Leasing segment, we own and manage 40 aviation assets, including 13 commercial passenger aircraft and 27 commercial jet engines.</w:t>
      </w:r>
    </w:p>
    <w:p>
      <w:pPr>
        <w:spacing w:after="0" w:line="225"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As of March 31, 2015, 19 of our commercial jet engines, and all of our commercial aircraft were leased to operators or other third parties. Aviation assets currently off lease are either undergoing repair and/or maintenance, or are currently held in short term storage awaiting a future lease. On an equity-weighted basis, our aviation equipment was approximately 93% utilized as of March 31, 2015. Our aircraft assets currently have a weighted average remaining lease term of 33 months, and our engine assets currently have an average remaining lease term of 13 months. The chart below describes the assets in our Aviation Leasing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54875" cy="1269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12693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Engine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76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6"/>
                <w:szCs w:val="16"/>
                <w:color w:val="auto"/>
              </w:rPr>
              <w:t>Engine Type</w:t>
            </w:r>
          </w:p>
        </w:tc>
        <w:tc>
          <w:tcPr>
            <w:tcW w:w="920" w:type="dxa"/>
            <w:vAlign w:val="bottom"/>
            <w:tcBorders>
              <w:top w:val="single" w:sz="8" w:color="auto"/>
              <w:bottom w:val="single" w:sz="8" w:color="D8D8D8"/>
              <w:right w:val="single" w:sz="8" w:color="auto"/>
            </w:tcBorders>
            <w:shd w:val="clear" w:color="auto" w:fill="D8D8D8"/>
          </w:tcPr>
          <w:p>
            <w:pPr>
              <w:jc w:val="right"/>
              <w:ind w:right="111"/>
              <w:spacing w:after="0"/>
              <w:rPr>
                <w:sz w:val="20"/>
                <w:szCs w:val="20"/>
                <w:color w:val="auto"/>
              </w:rPr>
            </w:pPr>
            <w:r>
              <w:rPr>
                <w:rFonts w:ascii="Times New Roman" w:cs="Times New Roman" w:eastAsia="Times New Roman" w:hAnsi="Times New Roman"/>
                <w:sz w:val="16"/>
                <w:szCs w:val="16"/>
                <w:color w:val="auto"/>
              </w:rPr>
              <w:t>Number</w:t>
            </w:r>
          </w:p>
        </w:tc>
        <w:tc>
          <w:tcPr>
            <w:tcW w:w="1960" w:type="dxa"/>
            <w:vAlign w:val="bottom"/>
            <w:tcBorders>
              <w:top w:val="single" w:sz="8" w:color="auto"/>
              <w:bottom w:val="single" w:sz="8" w:color="D8D8D8"/>
              <w:right w:val="single" w:sz="8" w:color="auto"/>
            </w:tcBorders>
            <w:shd w:val="clear" w:color="auto" w:fill="D8D8D8"/>
          </w:tcPr>
          <w:p>
            <w:pPr>
              <w:ind w:left="520"/>
              <w:spacing w:after="0"/>
              <w:rPr>
                <w:sz w:val="20"/>
                <w:szCs w:val="20"/>
                <w:color w:val="auto"/>
              </w:rPr>
            </w:pPr>
            <w:r>
              <w:rPr>
                <w:rFonts w:ascii="Times New Roman" w:cs="Times New Roman" w:eastAsia="Times New Roman" w:hAnsi="Times New Roman"/>
                <w:sz w:val="16"/>
                <w:szCs w:val="16"/>
                <w:color w:val="auto"/>
              </w:rPr>
              <w:t>Manufacturer</w:t>
            </w:r>
          </w:p>
        </w:tc>
        <w:tc>
          <w:tcPr>
            <w:tcW w:w="3740" w:type="dxa"/>
            <w:vAlign w:val="bottom"/>
            <w:tcBorders>
              <w:top w:val="single" w:sz="8" w:color="auto"/>
              <w:bottom w:val="single" w:sz="8" w:color="D8D8D8"/>
              <w:right w:val="single" w:sz="8" w:color="auto"/>
            </w:tcBorders>
            <w:shd w:val="clear" w:color="auto" w:fill="D8D8D8"/>
          </w:tcPr>
          <w:p>
            <w:pPr>
              <w:ind w:left="1120"/>
              <w:spacing w:after="0"/>
              <w:rPr>
                <w:sz w:val="20"/>
                <w:szCs w:val="20"/>
                <w:color w:val="auto"/>
              </w:rPr>
            </w:pPr>
            <w:r>
              <w:rPr>
                <w:rFonts w:ascii="Times New Roman" w:cs="Times New Roman" w:eastAsia="Times New Roman" w:hAnsi="Times New Roman"/>
                <w:sz w:val="16"/>
                <w:szCs w:val="16"/>
                <w:color w:val="auto"/>
              </w:rPr>
              <w:t>Aircraft Compatibility</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Times New Roman" w:cs="Times New Roman" w:eastAsia="Times New Roman" w:hAnsi="Times New Roman"/>
                <w:sz w:val="16"/>
                <w:szCs w:val="16"/>
                <w:color w:val="auto"/>
              </w:rPr>
              <w:t>Economic Interest (%)</w:t>
            </w:r>
          </w:p>
        </w:tc>
        <w:tc>
          <w:tcPr>
            <w:tcW w:w="20" w:type="dxa"/>
            <w:vAlign w:val="bottom"/>
            <w:tcBorders>
              <w:top w:val="single" w:sz="8" w:color="auto"/>
            </w:tcBorders>
          </w:tcPr>
          <w:p>
            <w:pPr>
              <w:spacing w:after="0"/>
              <w:rPr>
                <w:sz w:val="24"/>
                <w:szCs w:val="24"/>
                <w:color w:val="auto"/>
              </w:rPr>
            </w:pPr>
          </w:p>
        </w:tc>
      </w:tr>
      <w:tr>
        <w:trPr>
          <w:trHeight w:val="237"/>
        </w:trPr>
        <w:tc>
          <w:tcPr>
            <w:tcW w:w="27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CFM56-3</w:t>
            </w:r>
          </w:p>
        </w:tc>
        <w:tc>
          <w:tcPr>
            <w:tcW w:w="9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96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CFMI</w:t>
            </w:r>
          </w:p>
        </w:tc>
        <w:tc>
          <w:tcPr>
            <w:tcW w:w="374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B737-300 / B737-400 / B737-500</w:t>
            </w:r>
          </w:p>
        </w:tc>
        <w:tc>
          <w:tcPr>
            <w:tcW w:w="20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tcBorders>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CF6-80</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General Electric</w:t>
            </w:r>
          </w:p>
        </w:tc>
        <w:tc>
          <w:tcPr>
            <w:tcW w:w="3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B747 / B767</w:t>
            </w:r>
          </w:p>
        </w:tc>
        <w:tc>
          <w:tcPr>
            <w:tcW w:w="2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PW2037</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9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Pratt &amp; Whitney</w:t>
            </w:r>
          </w:p>
        </w:tc>
        <w:tc>
          <w:tcPr>
            <w:tcW w:w="3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B757</w:t>
            </w:r>
          </w:p>
        </w:tc>
        <w:tc>
          <w:tcPr>
            <w:tcW w:w="2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PW4056</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Pratt &amp; Whitney</w:t>
            </w:r>
          </w:p>
        </w:tc>
        <w:tc>
          <w:tcPr>
            <w:tcW w:w="3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B747 / B767</w:t>
            </w:r>
          </w:p>
        </w:tc>
        <w:tc>
          <w:tcPr>
            <w:tcW w:w="2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RB211</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Rolls Royce</w:t>
            </w:r>
          </w:p>
        </w:tc>
        <w:tc>
          <w:tcPr>
            <w:tcW w:w="3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B757</w:t>
            </w:r>
          </w:p>
        </w:tc>
        <w:tc>
          <w:tcPr>
            <w:tcW w:w="2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580" w:right="219" w:bottom="1440" w:gutter="0" w:footer="0" w:header="0"/>
        </w:sectPr>
      </w:pPr>
    </w:p>
    <w:bookmarkStart w:id="43" w:name="page44"/>
    <w:bookmarkEnd w:id="43"/>
    <w:p>
      <w:pPr>
        <w:ind w:left="1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1260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1260475"/>
                    </a:xfrm>
                    <a:prstGeom prst="rect">
                      <a:avLst/>
                    </a:prstGeom>
                    <a:noFill/>
                  </pic:spPr>
                </pic:pic>
              </a:graphicData>
            </a:graphic>
          </wp:anchor>
        </w:drawing>
        <w:t>Aircraft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8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6"/>
                <w:szCs w:val="16"/>
                <w:color w:val="auto"/>
              </w:rPr>
              <w:t>Airframe Type</w:t>
            </w:r>
          </w:p>
        </w:tc>
        <w:tc>
          <w:tcPr>
            <w:tcW w:w="1140" w:type="dxa"/>
            <w:vAlign w:val="bottom"/>
            <w:tcBorders>
              <w:top w:val="single" w:sz="8" w:color="auto"/>
              <w:bottom w:val="single" w:sz="8" w:color="D8D8D8"/>
              <w:right w:val="single" w:sz="8" w:color="auto"/>
            </w:tcBorders>
            <w:shd w:val="clear" w:color="auto" w:fill="D8D8D8"/>
          </w:tcPr>
          <w:p>
            <w:pPr>
              <w:jc w:val="right"/>
              <w:ind w:right="231"/>
              <w:spacing w:after="0"/>
              <w:rPr>
                <w:sz w:val="20"/>
                <w:szCs w:val="20"/>
                <w:color w:val="auto"/>
              </w:rPr>
            </w:pPr>
            <w:r>
              <w:rPr>
                <w:rFonts w:ascii="Times New Roman" w:cs="Times New Roman" w:eastAsia="Times New Roman" w:hAnsi="Times New Roman"/>
                <w:sz w:val="16"/>
                <w:szCs w:val="16"/>
                <w:color w:val="auto"/>
              </w:rPr>
              <w:t>Number</w:t>
            </w:r>
          </w:p>
        </w:tc>
        <w:tc>
          <w:tcPr>
            <w:tcW w:w="1360" w:type="dxa"/>
            <w:vAlign w:val="bottom"/>
            <w:tcBorders>
              <w:top w:val="single" w:sz="8" w:color="auto"/>
              <w:bottom w:val="single" w:sz="8" w:color="D8D8D8"/>
              <w:right w:val="single" w:sz="8" w:color="auto"/>
            </w:tcBorders>
            <w:shd w:val="clear" w:color="auto" w:fill="D8D8D8"/>
          </w:tcPr>
          <w:p>
            <w:pPr>
              <w:ind w:left="240"/>
              <w:spacing w:after="0"/>
              <w:rPr>
                <w:sz w:val="20"/>
                <w:szCs w:val="20"/>
                <w:color w:val="auto"/>
              </w:rPr>
            </w:pPr>
            <w:r>
              <w:rPr>
                <w:rFonts w:ascii="Times New Roman" w:cs="Times New Roman" w:eastAsia="Times New Roman" w:hAnsi="Times New Roman"/>
                <w:sz w:val="16"/>
                <w:szCs w:val="16"/>
                <w:color w:val="auto"/>
              </w:rPr>
              <w:t>Manufacturer</w:t>
            </w:r>
          </w:p>
        </w:tc>
        <w:tc>
          <w:tcPr>
            <w:tcW w:w="2040" w:type="dxa"/>
            <w:vAlign w:val="bottom"/>
            <w:tcBorders>
              <w:top w:val="single" w:sz="8" w:color="auto"/>
              <w:bottom w:val="single" w:sz="8" w:color="D8D8D8"/>
            </w:tcBorders>
            <w:shd w:val="clear" w:color="auto" w:fill="D8D8D8"/>
          </w:tcPr>
          <w:p>
            <w:pPr>
              <w:jc w:val="right"/>
              <w:ind w:right="191"/>
              <w:spacing w:after="0"/>
              <w:rPr>
                <w:sz w:val="20"/>
                <w:szCs w:val="20"/>
                <w:color w:val="auto"/>
              </w:rPr>
            </w:pPr>
            <w:r>
              <w:rPr>
                <w:rFonts w:ascii="Times New Roman" w:cs="Times New Roman" w:eastAsia="Times New Roman" w:hAnsi="Times New Roman"/>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37"/>
        </w:trPr>
        <w:tc>
          <w:tcPr>
            <w:tcW w:w="68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B757-200</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Boeing</w:t>
            </w:r>
          </w:p>
        </w:tc>
        <w:tc>
          <w:tcPr>
            <w:tcW w:w="2040" w:type="dxa"/>
            <w:vAlign w:val="bottom"/>
            <w:tcBorders>
              <w:top w:val="single" w:sz="8" w:color="auto"/>
            </w:tcBorders>
          </w:tcPr>
          <w:p>
            <w:pPr>
              <w:jc w:val="right"/>
              <w:ind w:right="137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tcBorders>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B767-300ER</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Boeing</w:t>
            </w:r>
          </w:p>
        </w:tc>
        <w:tc>
          <w:tcPr>
            <w:tcW w:w="2040" w:type="dxa"/>
            <w:vAlign w:val="bottom"/>
          </w:tcPr>
          <w:p>
            <w:pPr>
              <w:jc w:val="right"/>
              <w:ind w:right="137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A320-200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Airbus</w:t>
            </w:r>
          </w:p>
        </w:tc>
        <w:tc>
          <w:tcPr>
            <w:tcW w:w="2040" w:type="dxa"/>
            <w:vAlign w:val="bottom"/>
          </w:tcPr>
          <w:p>
            <w:pPr>
              <w:jc w:val="right"/>
              <w:ind w:right="137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B737-800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Boeing</w:t>
            </w:r>
          </w:p>
        </w:tc>
        <w:tc>
          <w:tcPr>
            <w:tcW w:w="2040" w:type="dxa"/>
            <w:vAlign w:val="bottom"/>
          </w:tcPr>
          <w:p>
            <w:pPr>
              <w:jc w:val="right"/>
              <w:ind w:right="137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B737-700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Boeing</w:t>
            </w:r>
          </w:p>
        </w:tc>
        <w:tc>
          <w:tcPr>
            <w:tcW w:w="2040" w:type="dxa"/>
            <w:vAlign w:val="bottom"/>
          </w:tcPr>
          <w:p>
            <w:pPr>
              <w:jc w:val="right"/>
              <w:ind w:right="137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ind w:right="3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attributable to members to Adjusted Net Income in the three months ended March 31, 2015 as compared to the three months ended March 31, 2014 for the Aviation Leasing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7,699</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Maintenance revenue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2,159</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1,120</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10,978</w:t>
            </w:r>
          </w:p>
        </w:tc>
      </w:tr>
      <w:tr>
        <w:trPr>
          <w:trHeight w:val="318"/>
        </w:trPr>
        <w:tc>
          <w:tcPr>
            <w:tcW w:w="6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3,799</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1,850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3,744</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(loss) on sale of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1,383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7,276</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8,445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1,326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7,119</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Net Income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7,079</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40"/>
          </w:cols>
          <w:pgMar w:left="240" w:top="752" w:right="219" w:bottom="1440" w:gutter="0" w:footer="0" w:header="0"/>
        </w:sectPr>
      </w:pPr>
    </w:p>
    <w:bookmarkStart w:id="44" w:name="page45"/>
    <w:bookmarkEnd w:id="44"/>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members to Adjusted EBITDA in the three months ended March 31, 2015 as compared to the three months ended March 31, 2014 for the Aviation Leasing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7,119</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Add: Depreciation &amp; amortization expense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13,079</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100" w:hanging="425"/>
        <w:spacing w:after="0" w:line="218" w:lineRule="auto"/>
        <w:tabs>
          <w:tab w:leader="none" w:pos="445"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Depreciation and amortization expense includes $5,256 and $1,457 of depreciation expense, $2,096 and $152 of lease intangible amortization, and $60 and $0 of amortization for lease incentives in the three months ended March 31, 2015 and 2014, respectively.</w:t>
      </w:r>
    </w:p>
    <w:p>
      <w:pPr>
        <w:spacing w:after="0" w:line="11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Total revenue in the Aviation Leasing segment increased by $10,978 in the three months ended March 31, 2015 as compared to the three months ended March 31, 2014, driven by higher lease income, maintenance revenue, and an increase within other revenue. Lease income increased by $7,699 in the three months ended March 31, 2015 as compared to the three months ended March 31, 2014 due to higher (i) aircraft lease income of $7,146 primarily driven by the net increase of twelve aircraft in 2014, and (ii) engine lease income of $553 primarily driven by an increase in the number of engines on lease. Maintenance revenue increased by $2,159 in the three months ended March 31, 2015 as compared to the three months ended March 31, 2014 due to an increase in the number of aircraft and engines on lease. Other revenue increased by $1,120 in the three months ended March 31, 2015 as compared to the three months ended March 31, 2014 primarily due to income from the forfeiture of a security deposit in the three months ended March 31, 2015, which did not occur in the three months ended March 31, 2014.</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expenses in the Aviation Leasing segment increased by $3,744 in the three months ended March 31, 2015 as compared to the three months ended March 31, 2014. This increase was primarily driven by depreciation and amortization expense, which increased by $3,799 in the three months ended March 31, 2015 as compared to the three months ended March 31, 2014, driven by the additional aircraft and engines owned and on lease in the three months ended March 31, 2015 as compared to the three months ended March 31, 2014. This was also driven by a decrease in operating expenses of $55 in the three months ended March 31, 2015 as compared to the three months ended March 31, 2014, primarily the result of nominal repairs and maintenance expense in the three months ended March 31, 2015 as compared to repairs and maintenance expense of $132 in the three months ended March 31, 2014 offset by an increase in insurance expense of $68 primarily related to additional aircraft and aircraft engines owned and on lease in the three months ended March 31, 2015 as compared to the three months ended March 31, 2014.</w:t>
      </w:r>
    </w:p>
    <w:p>
      <w:pPr>
        <w:spacing w:after="0" w:line="7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Total other income in the Aviation Leasing segment increased by $42 in the three months ended March 31, 2015 as compared to the three months ended March 31, 2014, driven by (i) the absence of a loss on sale of equipment in the three months ended March 31, 2015 compared to a $40 loss on sale in the three months ended March 31, 2014, and (ii) an increase in interest income of $2 in the three months ended March 31, 2015 as compared to the three months ended March 31, 2014.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72" w:right="239" w:bottom="1440" w:gutter="0" w:footer="0" w:header="0"/>
        </w:sectPr>
      </w:pPr>
    </w:p>
    <w:bookmarkStart w:id="45" w:name="page46"/>
    <w:bookmarkEnd w:id="45"/>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members in the Aviation Leasing segment increased by $7,119, to $8,445 in the three months ended March 31, 2015 as compared to $1,326 in the three months ended March 31, 2014, primarily driven by the changes discussed above.</w:t>
      </w:r>
    </w:p>
    <w:p>
      <w:pPr>
        <w:spacing w:after="0" w:line="54" w:lineRule="exact"/>
        <w:rPr>
          <w:sz w:val="20"/>
          <w:szCs w:val="20"/>
          <w:color w:val="auto"/>
        </w:rPr>
      </w:pPr>
    </w:p>
    <w:p>
      <w:pPr>
        <w:ind w:right="580" w:firstLine="446"/>
        <w:spacing w:after="0" w:line="282" w:lineRule="auto"/>
        <w:rPr>
          <w:sz w:val="20"/>
          <w:szCs w:val="20"/>
          <w:color w:val="auto"/>
        </w:rPr>
      </w:pPr>
      <w:r>
        <w:rPr>
          <w:rFonts w:ascii="Times New Roman" w:cs="Times New Roman" w:eastAsia="Times New Roman" w:hAnsi="Times New Roman"/>
          <w:sz w:val="18"/>
          <w:szCs w:val="18"/>
          <w:color w:val="auto"/>
        </w:rPr>
        <w:t>Adjusted Net Income in the Aviation Leasing segment was $8,462 in the three months ended March 31, 2015 as compared to $1,383 in the three months ended March 31, 2014, an increase of $7,079 primarily driven by the changes to net income attributable to members noted above.</w:t>
      </w:r>
    </w:p>
    <w:p>
      <w:pPr>
        <w:spacing w:after="0" w:line="54"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Adjusted EBITDA in the Aviation Leasing segment was $16,071 in the three months ended March 31, 2015 as compared to $2,992 in the three months ended March 31, 2014, an increase of $13,079. In addition to the changes in Net income attributable to members noted above, this movement was primarily due to increased depreciation and amortization expense driven by the additional aircraft and engines owned and on lease in the three months ended March 31, 2015 as compared to the three months ended March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Energy Segment</w:t>
      </w:r>
    </w:p>
    <w:p>
      <w:pPr>
        <w:spacing w:after="0" w:line="121"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In our Offshore Energy segment, we own one remotely operated vehicle ("ROV") support vessel, one construction support vessel and one anchor handling tug supply ("AHTS") vessel. In addition we have contracted with a Norwegian shipyard to build a new inspection, maintenance, and repair ("IMR") vessel. The chart below describes the assets in our Offshore Energy segment as of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54875" cy="259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590165"/>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FFFFFF"/>
        </w:rPr>
        <w:t>Offshore Energy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ind w:left="220"/>
              <w:spacing w:after="0"/>
              <w:rPr>
                <w:sz w:val="20"/>
                <w:szCs w:val="20"/>
                <w:color w:val="auto"/>
              </w:rPr>
            </w:pPr>
            <w:r>
              <w:rPr>
                <w:rFonts w:ascii="Times New Roman" w:cs="Times New Roman" w:eastAsia="Times New Roman" w:hAnsi="Times New Roman"/>
                <w:sz w:val="16"/>
                <w:szCs w:val="16"/>
                <w:color w:val="auto"/>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Times New Roman" w:cs="Times New Roman" w:eastAsia="Times New Roman" w:hAnsi="Times New Roman"/>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Times New Roman" w:cs="Times New Roman" w:eastAsia="Times New Roman" w:hAnsi="Times New Roman"/>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Times New Roman" w:cs="Times New Roman" w:eastAsia="Times New Roman" w:hAnsi="Times New Roman"/>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18"/>
        </w:trPr>
        <w:tc>
          <w:tcPr>
            <w:tcW w:w="29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AHTS Vessel</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35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Anchor handling</w:t>
            </w:r>
          </w:p>
        </w:tc>
        <w:tc>
          <w:tcPr>
            <w:tcW w:w="18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November 2023</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Borders>
              <w:top w:val="single" w:sz="8" w:color="auto"/>
            </w:tcBorders>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tug supply vessel with</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July 2015 (firm</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250-ton crane, 2,000 square meter</w:t>
            </w:r>
          </w:p>
        </w:tc>
        <w:tc>
          <w:tcPr>
            <w:tcW w:w="1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April 2019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EstimatedQ4</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December 2023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1,100 square meter deck space, a</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46</w:t>
            </w:r>
          </w:p>
        </w:tc>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472" w:right="219" w:bottom="1440" w:gutter="0" w:footer="0" w:header="0"/>
        </w:sectPr>
      </w:pPr>
    </w:p>
    <w:bookmarkStart w:id="46" w:name="page47"/>
    <w:bookmarkEnd w:id="46"/>
    <w:p>
      <w:pPr>
        <w:ind w:right="3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attributable to members to Adjusted Net Income in the three months ended March 31, 2015 as compared to the three months ended March 31, 2014 for the Offshore Energy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4,421</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4,595</w:t>
            </w:r>
          </w:p>
        </w:tc>
      </w:tr>
      <w:tr>
        <w:trPr>
          <w:trHeight w:val="318"/>
        </w:trPr>
        <w:tc>
          <w:tcPr>
            <w:tcW w:w="6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2,520</w:t>
            </w:r>
          </w:p>
        </w:tc>
      </w:tr>
      <w:tr>
        <w:trPr>
          <w:trHeight w:val="318"/>
        </w:trPr>
        <w:tc>
          <w:tcPr>
            <w:tcW w:w="6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2,214</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2,214</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Net income attributable to non-controlling</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interest in consolidated subsidiaries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2,209</w:t>
            </w: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2,209</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members to Adjusted EBITDA in the three months ended March 31, 2015 as compared to the three months ended March 31, 2014 for the Offshore Energy segment: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4,261</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120" w:hanging="425"/>
        <w:spacing w:after="0" w:line="218" w:lineRule="auto"/>
        <w:tabs>
          <w:tab w:leader="none" w:pos="445"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EBITDA is comprised of the following items for the three months ended March 31, 2015 and 2014: (i) depreciation expense of $56 and $56, respectively, (ii) and interest expense of $31 and $36, respectively.</w:t>
      </w:r>
    </w:p>
    <w:p>
      <w:pPr>
        <w:spacing w:after="0" w:line="118"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Total revenue in the Offshore Energy segment increased by $4,595 in the three months ended March 31, 2015 as compared to the three months ended March 31, 2014, primarily driven by higher lease income. Lease income increased by $4,421 in the three months ended March 31, 2015, as compared to the three months ended March 31, 2014 primarily due to a new offshore construction vessel acquired in September 2014 which generated three months of rent in 2015.</w:t>
      </w:r>
    </w:p>
    <w:p>
      <w:pPr>
        <w:spacing w:after="0" w:line="72" w:lineRule="exact"/>
        <w:rPr>
          <w:sz w:val="20"/>
          <w:szCs w:val="20"/>
          <w:color w:val="auto"/>
        </w:rPr>
      </w:pPr>
    </w:p>
    <w:p>
      <w:pPr>
        <w:ind w:right="120" w:firstLine="446"/>
        <w:spacing w:after="0" w:line="254" w:lineRule="auto"/>
        <w:rPr>
          <w:sz w:val="20"/>
          <w:szCs w:val="20"/>
          <w:color w:val="auto"/>
        </w:rPr>
      </w:pPr>
      <w:r>
        <w:rPr>
          <w:rFonts w:ascii="Times New Roman" w:cs="Times New Roman" w:eastAsia="Times New Roman" w:hAnsi="Times New Roman"/>
          <w:sz w:val="18"/>
          <w:szCs w:val="18"/>
          <w:color w:val="auto"/>
        </w:rPr>
        <w:t>Total expenses in the Offshore Energy segment increased by $2,520 in the three months ended March 31, 2013 as compared to the three months ended March 31, 2014. This was driven by an increase in operating expenses of $485 in March 31, 2015 as compared to March 31, 2014 and an increase in interest expense and depreciation and amortization of $920 and $1,115. The increase in operating expenses was primarily a result of (i) an increase of vessel commissions of $46, (ii) additional insurance expense of $182, and (iii) an increase in other operating expenses of $239. Depreciation and amortization increased by $1,115 in the three months ended March 31, 2015 as compared to the three months ended March 31, 2014 primarily due to three months of depreciation on the new offshore construction vessel. Interest expense increased by $920 in the three months ended March 31, 2015 as compared to the three months ended March 31, 2014 primarily due to $925 attributable to the three months of interest on the loan associated with the offshore construction vessel acquired in September 2014 offset by a decrease in interest expense related to our ROV support vessel of $5 in the three months ended March 31, 2015 as compared to the three months ended March 31, 2014.</w:t>
      </w:r>
    </w:p>
    <w:p>
      <w:pPr>
        <w:spacing w:after="0" w:line="81" w:lineRule="exact"/>
        <w:rPr>
          <w:sz w:val="20"/>
          <w:szCs w:val="20"/>
          <w:color w:val="auto"/>
        </w:rPr>
      </w:pPr>
    </w:p>
    <w:p>
      <w:pPr>
        <w:jc w:val="both"/>
        <w:ind w:right="200" w:firstLine="446"/>
        <w:spacing w:after="0" w:line="313" w:lineRule="auto"/>
        <w:rPr>
          <w:sz w:val="20"/>
          <w:szCs w:val="20"/>
          <w:color w:val="auto"/>
        </w:rPr>
      </w:pPr>
      <w:r>
        <w:rPr>
          <w:rFonts w:ascii="Times New Roman" w:cs="Times New Roman" w:eastAsia="Times New Roman" w:hAnsi="Times New Roman"/>
          <w:sz w:val="17"/>
          <w:szCs w:val="17"/>
          <w:color w:val="auto"/>
        </w:rPr>
        <w:t>Total other income in the Offshore Energy segment increased by $139 in the three months ended March 31, 2015 as compared to the three months ended March 31, 2014. This was driven primarily by a $111 increase in interest income related to the loan made to our partner in the MT6015 joint venture.</w:t>
      </w:r>
    </w:p>
    <w:p>
      <w:pPr>
        <w:spacing w:after="0" w:line="152" w:lineRule="exact"/>
        <w:rPr>
          <w:sz w:val="20"/>
          <w:szCs w:val="20"/>
          <w:color w:val="auto"/>
        </w:rPr>
      </w:pPr>
    </w:p>
    <w:p>
      <w:pPr>
        <w:ind w:right="500" w:firstLine="446"/>
        <w:spacing w:after="0" w:line="282" w:lineRule="auto"/>
        <w:rPr>
          <w:sz w:val="20"/>
          <w:szCs w:val="20"/>
          <w:color w:val="auto"/>
        </w:rPr>
      </w:pPr>
      <w:r>
        <w:rPr>
          <w:rFonts w:ascii="Times New Roman" w:cs="Times New Roman" w:eastAsia="Times New Roman" w:hAnsi="Times New Roman"/>
          <w:sz w:val="18"/>
          <w:szCs w:val="18"/>
          <w:color w:val="auto"/>
        </w:rPr>
        <w:t>Net income attributable to members increased by $2,209, to $3,809 in the three months ended March 31, 2015 as compared to $1,600 in the three months ended March 31, 2014, primarily driven by the changes discussed above.</w:t>
      </w:r>
    </w:p>
    <w:p>
      <w:pPr>
        <w:spacing w:after="0" w:line="54"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Adjusted Net Income was $3,809 in 2015 as compared to $1,600 in 2014, an increase of $2,209. This increase was primarily due to the changes in Net income attributable to members noted above.</w:t>
      </w:r>
    </w:p>
    <w:p>
      <w:pPr>
        <w:spacing w:after="0" w:line="54" w:lineRule="exact"/>
        <w:rPr>
          <w:sz w:val="20"/>
          <w:szCs w:val="20"/>
          <w:color w:val="auto"/>
        </w:rPr>
      </w:pPr>
    </w:p>
    <w:p>
      <w:pPr>
        <w:jc w:val="both"/>
        <w:ind w:right="200" w:firstLine="446"/>
        <w:spacing w:after="0" w:line="266" w:lineRule="auto"/>
        <w:rPr>
          <w:sz w:val="20"/>
          <w:szCs w:val="20"/>
          <w:color w:val="auto"/>
        </w:rPr>
      </w:pPr>
      <w:r>
        <w:rPr>
          <w:rFonts w:ascii="Times New Roman" w:cs="Times New Roman" w:eastAsia="Times New Roman" w:hAnsi="Times New Roman"/>
          <w:sz w:val="18"/>
          <w:szCs w:val="18"/>
          <w:color w:val="auto"/>
        </w:rPr>
        <w:t>Adjusted EBITDA was $6,247 in 2015 as compared to $1,986 in 2014, an increase of $4,261. In addition to the changes in Net income attributable to members, this increase was primarily driven by higher (i) depreciation and amortization expense, (ii) interest expense, and (iii) principal collections on the direct finance leases related to an offshore construction vessel.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3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Shipping Containers Segment</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In our Shipping Containers segment, we own, either directly or through a joint venture, interests in approximately 151,000 maritime shipping containers and related equipment through three separate portfolios. The chart below describes the assets in our Shipping Containers segment as of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54875" cy="2950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950210"/>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FFFFFF"/>
        </w:rPr>
        <w:t>Shipping Containers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8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6"/>
                <w:szCs w:val="16"/>
                <w:color w:val="auto"/>
              </w:rPr>
              <w:t>Number</w:t>
            </w:r>
          </w:p>
        </w:tc>
        <w:tc>
          <w:tcPr>
            <w:tcW w:w="170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Times New Roman" w:cs="Times New Roman" w:eastAsia="Times New Roman" w:hAnsi="Times New Roman"/>
                <w:sz w:val="16"/>
                <w:szCs w:val="16"/>
                <w:color w:val="auto"/>
              </w:rPr>
              <w:t>Type</w:t>
            </w:r>
          </w:p>
        </w:tc>
        <w:tc>
          <w:tcPr>
            <w:tcW w:w="1460" w:type="dxa"/>
            <w:vAlign w:val="bottom"/>
            <w:tcBorders>
              <w:top w:val="single" w:sz="8" w:color="auto"/>
              <w:bottom w:val="single" w:sz="8" w:color="D8D8D8"/>
            </w:tcBorders>
            <w:shd w:val="clear" w:color="auto" w:fill="D8D8D8"/>
          </w:tcPr>
          <w:p>
            <w:pPr>
              <w:ind w:left="420"/>
              <w:spacing w:after="0"/>
              <w:rPr>
                <w:sz w:val="20"/>
                <w:szCs w:val="20"/>
                <w:color w:val="auto"/>
              </w:rPr>
            </w:pPr>
            <w:r>
              <w:rPr>
                <w:rFonts w:ascii="Times New Roman" w:cs="Times New Roman" w:eastAsia="Times New Roman" w:hAnsi="Times New Roman"/>
                <w:sz w:val="16"/>
                <w:szCs w:val="16"/>
                <w:color w:val="auto"/>
              </w:rPr>
              <w:t>Average Age</w:t>
            </w:r>
          </w:p>
        </w:tc>
        <w:tc>
          <w:tcPr>
            <w:tcW w:w="240" w:type="dxa"/>
            <w:vAlign w:val="bottom"/>
            <w:tcBorders>
              <w:top w:val="single" w:sz="8" w:color="auto"/>
              <w:bottom w:val="single" w:sz="8" w:color="D8D8D8"/>
              <w:right w:val="single" w:sz="8" w:color="auto"/>
            </w:tcBorders>
            <w:shd w:val="clear" w:color="auto" w:fill="D8D8D8"/>
          </w:tcPr>
          <w:p>
            <w:pPr>
              <w:spacing w:after="0"/>
              <w:rPr>
                <w:sz w:val="23"/>
                <w:szCs w:val="23"/>
                <w:color w:val="auto"/>
              </w:rPr>
            </w:pPr>
          </w:p>
        </w:tc>
        <w:tc>
          <w:tcPr>
            <w:tcW w:w="1700" w:type="dxa"/>
            <w:vAlign w:val="bottom"/>
            <w:tcBorders>
              <w:top w:val="single" w:sz="8" w:color="auto"/>
              <w:bottom w:val="single" w:sz="8" w:color="D8D8D8"/>
              <w:right w:val="single" w:sz="8" w:color="auto"/>
            </w:tcBorders>
            <w:shd w:val="clear" w:color="auto" w:fill="D8D8D8"/>
          </w:tcPr>
          <w:p>
            <w:pPr>
              <w:ind w:left="480"/>
              <w:spacing w:after="0"/>
              <w:rPr>
                <w:sz w:val="20"/>
                <w:szCs w:val="20"/>
                <w:color w:val="auto"/>
              </w:rPr>
            </w:pPr>
            <w:r>
              <w:rPr>
                <w:rFonts w:ascii="Times New Roman" w:cs="Times New Roman" w:eastAsia="Times New Roman" w:hAnsi="Times New Roman"/>
                <w:sz w:val="16"/>
                <w:szCs w:val="16"/>
                <w:color w:val="auto"/>
              </w:rPr>
              <w:t>Lease Type</w:t>
            </w:r>
          </w:p>
        </w:tc>
        <w:tc>
          <w:tcPr>
            <w:tcW w:w="1720" w:type="dxa"/>
            <w:vAlign w:val="bottom"/>
            <w:tcBorders>
              <w:top w:val="single" w:sz="8" w:color="auto"/>
              <w:bottom w:val="single" w:sz="8" w:color="D8D8D8"/>
              <w:right w:val="single" w:sz="8" w:color="auto"/>
            </w:tcBorders>
            <w:shd w:val="clear" w:color="auto" w:fill="D8D8D8"/>
          </w:tcPr>
          <w:p>
            <w:pPr>
              <w:ind w:left="380"/>
              <w:spacing w:after="0"/>
              <w:rPr>
                <w:sz w:val="20"/>
                <w:szCs w:val="20"/>
                <w:color w:val="auto"/>
              </w:rPr>
            </w:pPr>
            <w:r>
              <w:rPr>
                <w:rFonts w:ascii="Times New Roman" w:cs="Times New Roman" w:eastAsia="Times New Roman" w:hAnsi="Times New Roman"/>
                <w:sz w:val="16"/>
                <w:szCs w:val="16"/>
                <w:color w:val="auto"/>
              </w:rPr>
              <w:t>Customer Mix</w:t>
            </w:r>
          </w:p>
        </w:tc>
        <w:tc>
          <w:tcPr>
            <w:tcW w:w="2320" w:type="dxa"/>
            <w:vAlign w:val="bottom"/>
            <w:tcBorders>
              <w:top w:val="single" w:sz="8" w:color="auto"/>
              <w:bottom w:val="single" w:sz="8" w:color="D8D8D8"/>
            </w:tcBorders>
            <w:shd w:val="clear" w:color="auto" w:fill="D8D8D8"/>
          </w:tcPr>
          <w:p>
            <w:pPr>
              <w:jc w:val="right"/>
              <w:ind w:right="352"/>
              <w:spacing w:after="0"/>
              <w:rPr>
                <w:sz w:val="20"/>
                <w:szCs w:val="20"/>
                <w:color w:val="auto"/>
              </w:rPr>
            </w:pPr>
            <w:r>
              <w:rPr>
                <w:rFonts w:ascii="Times New Roman" w:cs="Times New Roman" w:eastAsia="Times New Roman" w:hAnsi="Times New Roman"/>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18"/>
        </w:trPr>
        <w:tc>
          <w:tcPr>
            <w:tcW w:w="22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Portfolio #1</w:t>
            </w:r>
          </w:p>
        </w:tc>
        <w:tc>
          <w:tcPr>
            <w:tcW w:w="1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 Dry</w:t>
            </w:r>
          </w:p>
        </w:tc>
        <w:tc>
          <w:tcPr>
            <w:tcW w:w="1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 Years</w:t>
            </w:r>
          </w:p>
        </w:tc>
        <w:tc>
          <w:tcPr>
            <w:tcW w:w="2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 Finance</w:t>
            </w:r>
          </w:p>
        </w:tc>
        <w:tc>
          <w:tcPr>
            <w:tcW w:w="17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 Customers</w:t>
            </w: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auto"/>
            </w:tcBorders>
          </w:tcPr>
          <w:p>
            <w:pPr>
              <w:spacing w:after="0"/>
              <w:rPr>
                <w:sz w:val="18"/>
                <w:szCs w:val="18"/>
                <w:color w:val="auto"/>
              </w:rPr>
            </w:pPr>
          </w:p>
        </w:tc>
      </w:tr>
      <w:tr>
        <w:trPr>
          <w:trHeight w:val="216"/>
        </w:trPr>
        <w:tc>
          <w:tcPr>
            <w:tcW w:w="2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104,000</w:t>
            </w: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 Reefer</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Lease/Operating</w:t>
            </w: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 Specials</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Lease</w:t>
            </w: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Dry</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HC Dry</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HC Reefer</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Specials</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Dry</w:t>
            </w:r>
          </w:p>
        </w:tc>
        <w:tc>
          <w:tcPr>
            <w:tcW w:w="1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2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Portfolio #2</w:t>
            </w: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 Dry</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 Finance</w:t>
            </w:r>
          </w:p>
        </w:tc>
        <w:tc>
          <w:tcPr>
            <w:tcW w:w="17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 Customer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40,000</w:t>
            </w: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Dry</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Lease</w:t>
            </w: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HC Dry</w:t>
            </w:r>
          </w:p>
        </w:tc>
        <w:tc>
          <w:tcPr>
            <w:tcW w:w="1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2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Portfolio #3</w:t>
            </w: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Dry</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 years</w:t>
            </w: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 Finance</w:t>
            </w:r>
          </w:p>
        </w:tc>
        <w:tc>
          <w:tcPr>
            <w:tcW w:w="17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 Customer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7,000</w:t>
            </w: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Reefer</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Lease</w:t>
            </w: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Reefer</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53’ Dry</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 Chassis</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 Chassis</w:t>
            </w:r>
          </w:p>
        </w:tc>
        <w:tc>
          <w:tcPr>
            <w:tcW w:w="1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53’ Chassis</w:t>
            </w:r>
          </w:p>
        </w:tc>
        <w:tc>
          <w:tcPr>
            <w:tcW w:w="1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2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gridSpan w:val="2"/>
          </w:tcPr>
          <w:p>
            <w:pPr>
              <w:jc w:val="right"/>
              <w:ind w:right="1491"/>
              <w:spacing w:after="0"/>
              <w:rPr>
                <w:sz w:val="20"/>
                <w:szCs w:val="20"/>
                <w:color w:val="auto"/>
              </w:rPr>
            </w:pPr>
            <w:r>
              <w:rPr>
                <w:rFonts w:ascii="Times New Roman" w:cs="Times New Roman" w:eastAsia="Times New Roman" w:hAnsi="Times New Roman"/>
                <w:sz w:val="18"/>
                <w:szCs w:val="18"/>
                <w:color w:val="auto"/>
              </w:rPr>
              <w:t>49</w:t>
            </w:r>
          </w:p>
        </w:tc>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684" w:right="219" w:bottom="1440" w:gutter="0" w:footer="0" w:header="0"/>
        </w:sectPr>
      </w:pPr>
    </w:p>
    <w:bookmarkStart w:id="49" w:name="page50"/>
    <w:bookmarkEnd w:id="49"/>
    <w:p>
      <w:pPr>
        <w:ind w:right="3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attributable to members to Adjusted Net Income in the three months ended March 31, 2015 as compared to the three months ended March 31, 2014 for the Shipping Containers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2,157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r>
      <w:tr>
        <w:trPr>
          <w:trHeight w:val="318"/>
        </w:trPr>
        <w:tc>
          <w:tcPr>
            <w:tcW w:w="2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3"/>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2,473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2,967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400" w:hanging="425"/>
        <w:spacing w:after="0" w:line="218" w:lineRule="auto"/>
        <w:tabs>
          <w:tab w:leader="none" w:pos="445"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72" w:right="2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members to Adjusted EBITDA in 2015 as compared to 2014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Containers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w:t>
            </w:r>
          </w:p>
        </w:tc>
      </w:tr>
      <w:tr>
        <w:trPr>
          <w:trHeight w:val="27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the Adjusted EBITDA from unconsolidated entities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(2,827)</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260" w:hanging="425"/>
        <w:spacing w:after="0" w:line="228" w:lineRule="auto"/>
        <w:tabs>
          <w:tab w:leader="none" w:pos="441"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Company's pro-rata share of Adjusted EBITDA from unconsolidated entities includes the following items for the three months ended March 31, 2015 and 2014: (i) net income of $1,185 and $1,527 respectively, (ii) interest expense of $533 and $632, respectively, (iii) depreciation and amortization expense of $304 and $339, respectively, and (iv) principal collections of finance leases of $3,403 and $5,760, respectively.</w:t>
      </w:r>
    </w:p>
    <w:p>
      <w:pPr>
        <w:spacing w:after="0" w:line="117"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Total revenue in the Shipping Containers segment decreased by $231 in the three months ended March 31, 2015 as compared to the three months ended March 31, 2014, principally driven by lower finance lease income of $230 as a result of the amortization of the underlying principal balances.</w:t>
      </w:r>
    </w:p>
    <w:p>
      <w:pPr>
        <w:spacing w:after="0" w:line="54"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Total expenses in the Shipping Containers segment decreased by $99 in the three months ended March 31, 2015 as compared to the three months ended March 31, 2014. This was driven by a decrease in interest expense of $94 in the three months ended March 31, 2015 as compared to three months ended March 31, 2014 primarily related to lower principal balances on the term loans entered into to finance the acquisition of shipping containers in 2012 and 2013.</w:t>
      </w:r>
    </w:p>
    <w:p>
      <w:pPr>
        <w:spacing w:after="0" w:line="72" w:lineRule="exact"/>
        <w:rPr>
          <w:sz w:val="20"/>
          <w:szCs w:val="20"/>
          <w:color w:val="auto"/>
        </w:rPr>
      </w:pPr>
    </w:p>
    <w:p>
      <w:pPr>
        <w:jc w:val="both"/>
        <w:ind w:right="360" w:firstLine="446"/>
        <w:spacing w:after="0" w:line="266" w:lineRule="auto"/>
        <w:rPr>
          <w:sz w:val="20"/>
          <w:szCs w:val="20"/>
          <w:color w:val="auto"/>
        </w:rPr>
      </w:pPr>
      <w:r>
        <w:rPr>
          <w:rFonts w:ascii="Times New Roman" w:cs="Times New Roman" w:eastAsia="Times New Roman" w:hAnsi="Times New Roman"/>
          <w:sz w:val="18"/>
          <w:szCs w:val="18"/>
          <w:color w:val="auto"/>
        </w:rPr>
        <w:t>Total other income in the Shipping Containers segment decreased $361 in the three months ended March 31, 2015 as compared to the three months ended March 31, 2014. This was primarily driven by decreased equity in earnings of unconsolidated entities of $363 related to a shipping container joint venture.</w:t>
      </w:r>
    </w:p>
    <w:p>
      <w:pPr>
        <w:spacing w:after="0" w:line="68"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Net income attributable to members decreased by $407, to $2,449 in the three months ended March 31, 2015 as compared to $2,856 in the three months ended March 31, 2014, primarily driven by the changes discussed above.</w:t>
      </w:r>
    </w:p>
    <w:p>
      <w:pPr>
        <w:spacing w:after="0" w:line="175"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Adjusted Net Income was $2,473 in in the three months ended March 31, 2015 as compared to $2,967 in in the three months ended March 31, 2014, a decrease of $494. In addition to the changes in Net income attributable to members noted above, this was primarily impacted by a decrease in the provision for income taxes.</w:t>
      </w:r>
    </w:p>
    <w:p>
      <w:pPr>
        <w:spacing w:after="0" w:line="68" w:lineRule="exact"/>
        <w:rPr>
          <w:sz w:val="20"/>
          <w:szCs w:val="20"/>
          <w:color w:val="auto"/>
        </w:rPr>
      </w:pPr>
    </w:p>
    <w:p>
      <w:pPr>
        <w:ind w:right="80" w:firstLine="446"/>
        <w:spacing w:after="0" w:line="266" w:lineRule="auto"/>
        <w:rPr>
          <w:sz w:val="20"/>
          <w:szCs w:val="20"/>
          <w:color w:val="auto"/>
        </w:rPr>
      </w:pPr>
      <w:r>
        <w:rPr>
          <w:rFonts w:ascii="Times New Roman" w:cs="Times New Roman" w:eastAsia="Times New Roman" w:hAnsi="Times New Roman"/>
          <w:sz w:val="18"/>
          <w:szCs w:val="18"/>
          <w:color w:val="auto"/>
        </w:rPr>
        <w:t>Adjusted EBITDA was $10,160 in 2015 as compared to $12,987 in 2014, a decrease of $2,827. In addition to the changes in Net income attributable to members noted above, this decrease was primarily driven by a lower pro-rata share of Adjusted EBITDA from unconsolidated entities related to a shipping container joint venture, offset by higher principal collections on direct finance leases.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7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Jefferson Terminal Segment</w:t>
      </w:r>
    </w:p>
    <w:p>
      <w:pPr>
        <w:spacing w:after="0" w:line="121"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attributable to members to Adjusted Net Loss in the three months ended March 31, 2015 as compared to the three months ended March 31, 2014 for the Jefferson Terminal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r>
      <w:tr>
        <w:trPr>
          <w:trHeight w:val="21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4,646</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12,006</w:t>
            </w:r>
          </w:p>
        </w:tc>
      </w:tr>
      <w:tr>
        <w:trPr>
          <w:trHeight w:val="318"/>
        </w:trPr>
        <w:tc>
          <w:tcPr>
            <w:tcW w:w="2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(7,319)</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(7,319)</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Net loss attributable to non-controlling interest in consolidated subsidiaries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(3,665)</w:t>
            </w:r>
          </w:p>
        </w:tc>
      </w:tr>
      <w:tr>
        <w:trPr>
          <w:trHeight w:val="21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853</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3"/>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Net Income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44"/>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(4,215)</w:t>
            </w:r>
          </w:p>
        </w:tc>
      </w:tr>
      <w:tr>
        <w:trPr>
          <w:trHeight w:val="20"/>
        </w:trPr>
        <w:tc>
          <w:tcPr>
            <w:tcW w:w="2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440" w:hanging="425"/>
        <w:spacing w:after="0" w:line="218" w:lineRule="auto"/>
        <w:tabs>
          <w:tab w:leader="none" w:pos="445"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Net Income is comprised of equity-based compensation of $(341) and $0 for the three months ended March 31, 2015 and 2014, respectively.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4" w:right="239" w:bottom="1440" w:gutter="0" w:footer="0" w:header="0"/>
        </w:sectPr>
      </w:pPr>
    </w:p>
    <w:bookmarkStart w:id="52" w:name="page53"/>
    <w:bookmarkEnd w:id="52"/>
    <w:p>
      <w:pPr>
        <w:ind w:right="120" w:firstLine="432"/>
        <w:spacing w:after="0" w:line="344"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attributable to members to Adjusted EBITDA in the three months ended March 31, 2015 for the Jefferson Terminal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2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2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853</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6"/>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44"/>
        </w:trPr>
        <w:tc>
          <w:tcPr>
            <w:tcW w:w="6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30" w:lineRule="exact"/>
        <w:rPr>
          <w:sz w:val="20"/>
          <w:szCs w:val="20"/>
          <w:color w:val="auto"/>
        </w:rPr>
      </w:pPr>
    </w:p>
    <w:p>
      <w:pPr>
        <w:ind w:left="460" w:right="80" w:hanging="425"/>
        <w:spacing w:after="0" w:line="218" w:lineRule="auto"/>
        <w:tabs>
          <w:tab w:leader="none" w:pos="445"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EBITDA is comprised of the following items for the three months ended March 31, 2015 and 2014: (i) equity-based compensation of $341 and $0, (ii) interest expense of $1,204 and $0, (iii) depreciation and amortization expense of $1,323 and $0, respectively.</w:t>
      </w:r>
    </w:p>
    <w:p>
      <w:pPr>
        <w:spacing w:after="0" w:line="118"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Acquired in August 2014, Jefferson Terminal revenues in the three months ended March 31, 2015 were comprised of $3,236 in terminal services revenue and $1,410 in lease income related to tank railcars purchased and subsequently leased in the fourth quarter of 2014.</w:t>
      </w:r>
    </w:p>
    <w:p>
      <w:pPr>
        <w:spacing w:after="0" w:line="54"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Total expenses in the Jefferson Terminal segment increased $12,006, to $13,068 in the three months ended March 31, 2015 from $1,062 in the three months ended March 31, 2014. Expenses in the three months ended March 31, 2015 were comprised of (i) operating expenses of $6,673 incurred in connection with terminal operations, including $853 of equity-based compensation expense, (ii) amortization expense related to acquired customer relationships of $885 (iii) depreciation expense of $2,423 related to tank railcars and property, plant and equipment, and (iv) interest expense of $3,087 related to term debt used to finance the purchase of Jefferson Terminal, as well as amounts outstanding on previously issued municipal bonds. All expenses in the three months ended March 31, 2014 were comprised of acquisition and transaction costs for the acquisition of Jefferson Terminal in August 2014.</w:t>
      </w:r>
    </w:p>
    <w:p>
      <w:pPr>
        <w:spacing w:after="0" w:line="80" w:lineRule="exact"/>
        <w:rPr>
          <w:sz w:val="20"/>
          <w:szCs w:val="20"/>
          <w:color w:val="auto"/>
        </w:rPr>
      </w:pPr>
    </w:p>
    <w:p>
      <w:pPr>
        <w:jc w:val="both"/>
        <w:ind w:right="260" w:firstLine="446"/>
        <w:spacing w:after="0" w:line="266" w:lineRule="auto"/>
        <w:rPr>
          <w:sz w:val="20"/>
          <w:szCs w:val="20"/>
          <w:color w:val="auto"/>
        </w:rPr>
      </w:pPr>
      <w:r>
        <w:rPr>
          <w:rFonts w:ascii="Times New Roman" w:cs="Times New Roman" w:eastAsia="Times New Roman" w:hAnsi="Times New Roman"/>
          <w:sz w:val="18"/>
          <w:szCs w:val="18"/>
          <w:color w:val="auto"/>
        </w:rPr>
        <w:t>Net loss attributable to members was $4,727 in the three months ended March 31, 2015, compared to a net loss of $1,062 for the three months ended March 31, 2014. In addition to the changes discussed above, net loss attributable to non-controlling interest in consolidated subsidiaries was $3,654 for the three months ended March 31, 2015.</w:t>
      </w:r>
    </w:p>
    <w:p>
      <w:pPr>
        <w:spacing w:after="0" w:line="68"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Adjusted Net Loss was $4,215 in the three months ended March 31, 2015 as compared to $0 in in the three months ended March 31, 2014, an increase of $4,215. In addition to the changes in Net loss attributable to members noted above, this was impacted by the absence of acquisition and transaction expenses of $1,062 incurred related to the acquisition of Jefferson Terminal during 2014 and non-controlling share of Adjusted Net Loss of $3,654, offset by equity-based compensation expense of $853 in the three months ended March 31, 2015.</w:t>
      </w:r>
    </w:p>
    <w:p>
      <w:pPr>
        <w:spacing w:after="0" w:line="72" w:lineRule="exact"/>
        <w:rPr>
          <w:sz w:val="20"/>
          <w:szCs w:val="20"/>
          <w:color w:val="auto"/>
        </w:rPr>
      </w:pPr>
    </w:p>
    <w:p>
      <w:pPr>
        <w:ind w:right="200" w:firstLine="446"/>
        <w:spacing w:after="0" w:line="256" w:lineRule="auto"/>
        <w:rPr>
          <w:sz w:val="20"/>
          <w:szCs w:val="20"/>
          <w:color w:val="auto"/>
        </w:rPr>
      </w:pPr>
      <w:r>
        <w:rPr>
          <w:rFonts w:ascii="Times New Roman" w:cs="Times New Roman" w:eastAsia="Times New Roman" w:hAnsi="Times New Roman"/>
          <w:sz w:val="18"/>
          <w:szCs w:val="18"/>
          <w:color w:val="auto"/>
        </w:rPr>
        <w:t>Adjusted EBITDA was $(347) in the three months ended March 31, 2015 as compared to $0 in in the three months ended March 31, 2014, a decrease of $347. In addition to the changes in Net loss attributable to members noted above, this was impacted by higher (i) non-controlling share of Adjusted EBITDA of $2,868, which included equity based compensation expense of $341, interest expense of $1,204, and depreciation and amortization expense of $1,323 in the three months ended March 31, 2015 and (ii) lower acquisition and transaction expenses of $1,062 in the three months ended March 31, 2015. These were offset by higher (i) depreciation and amortization expense of $3,308 related to acquired customer relationships, tank railcars and property, plant and equipment, (ii) interest expense of $3,087, and (iii) equity-based compensation expense of $853.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9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Railroad Segment</w:t>
      </w:r>
    </w:p>
    <w:p>
      <w:pPr>
        <w:spacing w:after="0" w:line="121"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attributable to members to Adjusted Net Loss in the three months ended March 31, 2015 as compared to the three months ended March 31, 2014 for the Railroad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Rail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6,289</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7,084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7,723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2,309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5,414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on sale of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878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878</w:t>
            </w:r>
          </w:p>
        </w:tc>
        <w:tc>
          <w:tcPr>
            <w:tcW w:w="0" w:type="dxa"/>
            <w:vAlign w:val="bottom"/>
          </w:tcPr>
          <w:p>
            <w:pPr>
              <w:spacing w:after="0"/>
              <w:rPr>
                <w:sz w:val="1"/>
                <w:szCs w:val="1"/>
                <w:color w:val="auto"/>
              </w:rPr>
            </w:pPr>
          </w:p>
        </w:tc>
      </w:tr>
      <w:tr>
        <w:trPr>
          <w:trHeight w:val="19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 in consolidated</w:t>
            </w: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911</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54" w:name="page55"/>
    <w:bookmarkEnd w:id="54"/>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attributable to members to Adjusted EBITDA in the three months ended March 31, 2015 for the Railroad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4"/>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6886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13" w:lineRule="exact"/>
        <w:rPr>
          <w:sz w:val="20"/>
          <w:szCs w:val="20"/>
          <w:color w:val="auto"/>
        </w:rPr>
      </w:pPr>
    </w:p>
    <w:p>
      <w:pPr>
        <w:ind w:left="460" w:right="800" w:hanging="425"/>
        <w:spacing w:after="0" w:line="218" w:lineRule="auto"/>
        <w:tabs>
          <w:tab w:leader="none" w:pos="445"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Non-controlling share of Adjusted EBITDA is comprised of the following items for the three months ended March 31, 2015: (i) equity-based compensation of $13, (ii) interest expense of $3, and (iii) depreciation and amortization expense of $12.</w:t>
      </w:r>
    </w:p>
    <w:p>
      <w:pPr>
        <w:spacing w:after="0" w:line="118" w:lineRule="exact"/>
        <w:rPr>
          <w:sz w:val="20"/>
          <w:szCs w:val="20"/>
          <w:color w:val="auto"/>
        </w:rPr>
      </w:pPr>
    </w:p>
    <w:p>
      <w:pPr>
        <w:jc w:val="both"/>
        <w:ind w:right="560" w:firstLine="446"/>
        <w:spacing w:after="0" w:line="266" w:lineRule="auto"/>
        <w:rPr>
          <w:sz w:val="20"/>
          <w:szCs w:val="20"/>
          <w:color w:val="auto"/>
        </w:rPr>
      </w:pPr>
      <w:r>
        <w:rPr>
          <w:rFonts w:ascii="Times New Roman" w:cs="Times New Roman" w:eastAsia="Times New Roman" w:hAnsi="Times New Roman"/>
          <w:sz w:val="18"/>
          <w:szCs w:val="18"/>
          <w:color w:val="auto"/>
        </w:rPr>
        <w:t>Total revenue in the Railroad segment of $6,289 in the three months ended March 31, 2015 relates to revenue generated from CMQR which was acquired in the second quarter of 2014. Revenue consisted of $5,432 in freight rail revenue and $857 in ancillary services and other miscellaneous rail revenue.</w:t>
      </w:r>
    </w:p>
    <w:p>
      <w:pPr>
        <w:spacing w:after="0" w:line="68"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Total expenses in the Railroad segment increased $5,414 to $7,723 in the three months ended March 31, 2015 from $2,309 in the three months ended March 31, 2014. Expenses in the three months ended March 31, 2015 were comprised of (i) operating expenses of $7,084 incurred in connection with railroad operations, (ii) depreciation expense of $498 related to property, plant, and equipment, (iii) amortization expense of $11 related to acquired customer relationships, and (iv) interest expense of $130 related to borrowings under the CMQR Credit Agreement used to finance construction and improvements to the railroad. All expenses in the three months ended March 31, 2014 were comprised of acquisition and transaction costs, for the acquisitions completed during the second quarter of 2014.</w:t>
      </w:r>
    </w:p>
    <w:p>
      <w:pPr>
        <w:spacing w:after="0" w:line="80"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Net loss attributable to members was $1,398 in the three months ended March 31, 2015, compared to a net loss of $2,309 for the three months ended March 31, 2014. In addition to the changes discussed above, the increase was also due to a net loss attributable to non-controlling interest in consolidated subsidiaries of $(33) for the three months ended March 31, 2015.</w:t>
      </w:r>
    </w:p>
    <w:p>
      <w:pPr>
        <w:spacing w:after="0" w:line="68"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Adjusted Net Loss was $844 in the three months ended March 31, 2015 as compared to $0 in in the three months ended March 31, 2014, an increase of $844. In addition to the changes in Net loss attributable to members noted above, Adjusted Net Loss was impacted by equity-based compensation expense of $567 in 2015, and the absence of acquisition and transaction expenses of $2,309 during 2014 incurred in connection with the acquisition of CMQR.</w:t>
      </w:r>
    </w:p>
    <w:p>
      <w:pPr>
        <w:spacing w:after="0" w:line="68"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Adjusted EBITDA was $(220) in the three months ended March 31, 2015 as compared to $0 in in the three months ended March 31, 2014, a decrease of $220. In addition to the changes in Net loss attributable to members noted above, Adjusted EBITDA was also impacted by equity-based compensation expense of $567, depreciation and amortization expense of $509 related to property, plant and equipment, interest expense of $130, and non-controlling share of Adjusted EBITDA of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72"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attributable to members to Adjusted Net Loss in the three months ended March 31, 2015 as compared to the three months ended March 31, 2014 for Corporate: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Management fees to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1,663</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2,145</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(2,145)</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Net Income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attributable to members to Adjusted EBITDA in the three months ended March 31, 2015 as compared to the three months ended March 31, 2014 for Corporate: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2"/>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2014</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members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(1,784)</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4" w:right="239" w:bottom="1440" w:gutter="0" w:footer="0" w:header="0"/>
        </w:sectPr>
      </w:pPr>
    </w:p>
    <w:bookmarkStart w:id="56" w:name="page57"/>
    <w:bookmarkEnd w:id="56"/>
    <w:p>
      <w:pPr>
        <w:ind w:right="520" w:firstLine="446"/>
        <w:spacing w:after="0" w:line="266" w:lineRule="auto"/>
        <w:rPr>
          <w:sz w:val="20"/>
          <w:szCs w:val="20"/>
          <w:color w:val="auto"/>
        </w:rPr>
      </w:pPr>
      <w:r>
        <w:rPr>
          <w:rFonts w:ascii="Times New Roman" w:cs="Times New Roman" w:eastAsia="Times New Roman" w:hAnsi="Times New Roman"/>
          <w:sz w:val="18"/>
          <w:szCs w:val="18"/>
          <w:color w:val="auto"/>
        </w:rPr>
        <w:t>In Corporate, total expenses increased by $2,145 in the three months ended March 31, 2015 compared to the three months ended March 31, 2014 mainly due to an increase in management fees of $1,663 attributable to an increase in the weighted average contributed capital, higher general and administrative expenses of $121, as well an increase in costs for abandoned transaction opportunities of $406.</w:t>
      </w:r>
    </w:p>
    <w:p>
      <w:pPr>
        <w:spacing w:after="0" w:line="68" w:lineRule="exact"/>
        <w:rPr>
          <w:sz w:val="20"/>
          <w:szCs w:val="20"/>
          <w:color w:val="auto"/>
        </w:rPr>
      </w:pPr>
    </w:p>
    <w:p>
      <w:pPr>
        <w:ind w:right="300" w:firstLine="446"/>
        <w:spacing w:after="0" w:line="282" w:lineRule="auto"/>
        <w:rPr>
          <w:sz w:val="20"/>
          <w:szCs w:val="20"/>
          <w:color w:val="auto"/>
        </w:rPr>
      </w:pPr>
      <w:r>
        <w:rPr>
          <w:rFonts w:ascii="Times New Roman" w:cs="Times New Roman" w:eastAsia="Times New Roman" w:hAnsi="Times New Roman"/>
          <w:sz w:val="18"/>
          <w:szCs w:val="18"/>
          <w:color w:val="auto"/>
        </w:rPr>
        <w:t>Net loss attributable to members increased by $2,145, to $3,130 in the three months ended March 31, 2015 as compared to $985 in the three months ended March 31, 2014, driven by the changes discussed above.</w:t>
      </w:r>
    </w:p>
    <w:p>
      <w:pPr>
        <w:spacing w:after="0" w:line="5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Adjusted Net Loss was $2,762 in the three months ended March 31, 2015 as compared to $1,023 in the three months ended March 31, 2014, an increase of $1,739. In addition to the changes in Net loss attributable to members noted above, Adjusted Net Loss was primarily impacted by higher acquisition and transaction expenses incurred for potential acquisition opportunities in the three months ended March 31, 2015, which is excluded from Adjusted Net Loss.</w:t>
      </w:r>
    </w:p>
    <w:p>
      <w:pPr>
        <w:spacing w:after="0" w:line="68"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Adjusted EBITDA was $(2,762) in the three months ended March 31, 2015 as compared to $(978) in the three months ended March 31, 2014, a decrease of $1,784. In addition to the changes in Net loss attributable to members noted above, the decrease was primarily impacted by higher acquisition and transaction expenses incurred for potential acquisition opportunities in the three months ended March 31, 2015, offset by a reduction in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Affiliates and Affiliated Entities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are managed by FIG Transportation Fund Management LLC (the “Manager”), an affiliate of Fortress, pursuant to a management agreement (the “Management Agreement”) which provides for the Fortress Transportation and Infrastructure General Partnership (the "Partnership")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In May 2015, in connection with the IPO, the Company entered into a new management agreement with FIG LLC, which replaced the existing management agreement.</w:t>
      </w:r>
    </w:p>
    <w:p>
      <w:pPr>
        <w:spacing w:after="0" w:line="77" w:lineRule="exact"/>
        <w:rPr>
          <w:sz w:val="20"/>
          <w:szCs w:val="20"/>
          <w:color w:val="auto"/>
        </w:rPr>
      </w:pPr>
    </w:p>
    <w:p>
      <w:pPr>
        <w:ind w:right="320" w:firstLine="446"/>
        <w:spacing w:after="0" w:line="282" w:lineRule="auto"/>
        <w:rPr>
          <w:sz w:val="20"/>
          <w:szCs w:val="20"/>
          <w:color w:val="auto"/>
        </w:rPr>
      </w:pPr>
      <w:r>
        <w:rPr>
          <w:rFonts w:ascii="Times New Roman" w:cs="Times New Roman" w:eastAsia="Times New Roman" w:hAnsi="Times New Roman"/>
          <w:sz w:val="18"/>
          <w:szCs w:val="18"/>
          <w:color w:val="auto"/>
        </w:rPr>
        <w:t>A non-controlling interest holder of Jefferson Terminal provides construction services for Jefferson Terminal. At December 31, 2014 and March 31, 2015, accounts payable to this vendor were $14,025 and $10,014,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and May 2015, the remaining capital commitments of the investors of the Onshore Fund, Offshore Fund and Master GP were called. In May 2015, 53,502,873 common shares were issued to the Onshore Fund and Offshore Fund based on their relative interests in the Company. Immediately prior to the consummation of the IPO, the Master GP contributed its rights to previously undistributed incentive allocations pursuant to the Partnership Agreement in exchange for the limited partnership interest in each such partnership equal to the amount of any such undistributed incentive allocations. The limited partners of the Onshore Fund and Offshore Fund and the Master GP will receive the underlying value in common shares commensurate with their partnership interest inclusive, in the case of the Master GP, of any undistributed incentive allocations. Additionally, on May 20, 2015, we completed our IPO of 20 million common shares, at a price to the public of $17.00 per share.</w:t>
      </w:r>
    </w:p>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together with other sources of capital and liquidity, for the acquisition of new assets in the sectors the we currently invest in, as well as to opportunistically acquire assets across the entire transportation and transportation-related infrastructure and equipment market. In addition, we intend to use the net proceeds for follow-on investments in existing assets, working capital and other general purposes.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May 2015, in connection with the IPO, the Company entered into a new management agreement with FIG LLC, which replaced the existing management agreement. Pursuant to the new management agreement, FIG LLC or its affiliate will receive a monthly management fee and reimbursement for certain expenses incurred. Additionally, in May 2015, the partnership agreement of the Partnership was amended whereby, among other things, the existing Incentive Return arrangement for the Master GP was revised to specify that the entitlement to certain incentive distributions be based on the consolidated net income in excess of certain hurdle return targets and capital gains income of the Partnership, subject to certain adjustments, as defined, before any amounts are distributed to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72"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Our principal uses of liquidity have been (i) acquisitions of transportation infrastructure and equipment, (ii) distributions to our partners, (iii) expenses associated with our operating activities, and (iv) debt service obligations associated with our investments (all dollar amounts are expressed in thousands).</w:t>
      </w:r>
    </w:p>
    <w:p>
      <w:pPr>
        <w:spacing w:after="0" w:line="54" w:lineRule="exact"/>
        <w:rPr>
          <w:sz w:val="20"/>
          <w:szCs w:val="20"/>
          <w:color w:val="auto"/>
        </w:rPr>
      </w:pPr>
    </w:p>
    <w:p>
      <w:pPr>
        <w:ind w:left="880" w:hanging="318"/>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2015 and 2014, cash used for the purpose of making investments was $44,329 and $56,756, respectively.</w:t>
      </w:r>
    </w:p>
    <w:p>
      <w:pPr>
        <w:spacing w:after="0" w:line="117" w:lineRule="exact"/>
        <w:rPr>
          <w:rFonts w:ascii="Times New Roman" w:cs="Times New Roman" w:eastAsia="Times New Roman" w:hAnsi="Times New Roman"/>
          <w:sz w:val="18"/>
          <w:szCs w:val="18"/>
          <w:color w:val="auto"/>
        </w:rPr>
      </w:pPr>
    </w:p>
    <w:p>
      <w:pPr>
        <w:ind w:left="880" w:right="420" w:hanging="318"/>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three months ended March 31, 2015 and 2014, distributions to members were $23,718 and $4,005, respectively, and distributions to non-controlling interest were $111 and $93, respectively.</w:t>
      </w:r>
    </w:p>
    <w:p>
      <w:pPr>
        <w:spacing w:after="0" w:line="53" w:lineRule="exact"/>
        <w:rPr>
          <w:rFonts w:ascii="Times New Roman" w:cs="Times New Roman" w:eastAsia="Times New Roman" w:hAnsi="Times New Roman"/>
          <w:sz w:val="18"/>
          <w:szCs w:val="18"/>
          <w:color w:val="auto"/>
        </w:rPr>
      </w:pPr>
    </w:p>
    <w:p>
      <w:pPr>
        <w:ind w:left="880" w:right="80" w:hanging="318"/>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54" w:lineRule="exact"/>
        <w:rPr>
          <w:sz w:val="20"/>
          <w:szCs w:val="20"/>
          <w:color w:val="auto"/>
        </w:rPr>
      </w:pPr>
    </w:p>
    <w:p>
      <w:pPr>
        <w:ind w:right="360" w:firstLine="446"/>
        <w:spacing w:after="0" w:line="276" w:lineRule="auto"/>
        <w:rPr>
          <w:sz w:val="20"/>
          <w:szCs w:val="20"/>
          <w:color w:val="auto"/>
        </w:rPr>
      </w:pPr>
      <w:r>
        <w:rPr>
          <w:rFonts w:ascii="Times New Roman" w:cs="Times New Roman" w:eastAsia="Times New Roman" w:hAnsi="Times New Roman"/>
          <w:sz w:val="17"/>
          <w:szCs w:val="17"/>
          <w:color w:val="auto"/>
        </w:rPr>
        <w:t>Our principal sources of liquidity to fund these uses have been (i) revenues from our infrastructure and equipment assets (including finance lease collections and maintenance reserve collections) after operating expenses, (ii) borrowings, (iii) distributions received from unconsolidated investees, and</w:t>
      </w:r>
    </w:p>
    <w:p>
      <w:pPr>
        <w:spacing w:after="0" w:line="1"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 from our members.</w:t>
      </w:r>
    </w:p>
    <w:p>
      <w:pPr>
        <w:spacing w:after="0" w:line="98" w:lineRule="exact"/>
        <w:rPr>
          <w:rFonts w:ascii="Times New Roman" w:cs="Times New Roman" w:eastAsia="Times New Roman" w:hAnsi="Times New Roman"/>
          <w:sz w:val="18"/>
          <w:szCs w:val="18"/>
          <w:color w:val="auto"/>
        </w:rPr>
      </w:pPr>
    </w:p>
    <w:p>
      <w:pPr>
        <w:ind w:left="880" w:right="200" w:hanging="318"/>
        <w:spacing w:after="0" w:line="282" w:lineRule="auto"/>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2015 and 2014, cash flows from operating activities, plus the principal collections on finance leases and maintenance reserve collections were $10,715 and $7,671, respectively.</w:t>
      </w:r>
    </w:p>
    <w:p>
      <w:pPr>
        <w:spacing w:after="0" w:line="53" w:lineRule="exact"/>
        <w:rPr>
          <w:rFonts w:ascii="Times New Roman" w:cs="Times New Roman" w:eastAsia="Times New Roman" w:hAnsi="Times New Roman"/>
          <w:sz w:val="18"/>
          <w:szCs w:val="18"/>
          <w:color w:val="auto"/>
        </w:rPr>
      </w:pPr>
    </w:p>
    <w:p>
      <w:pPr>
        <w:ind w:left="880" w:right="120" w:hanging="318"/>
        <w:spacing w:after="0" w:line="266" w:lineRule="auto"/>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2015, additional borrowings of $200 were obtained in connection with the CMQR Credit Agreement and we made total principal repayments of $4,255. During three months ended March 31, 2014, there were no additional borrowings and we made total principal repayments of $2,367.</w:t>
      </w:r>
    </w:p>
    <w:p>
      <w:pPr>
        <w:spacing w:after="0" w:line="68" w:lineRule="exact"/>
        <w:rPr>
          <w:rFonts w:ascii="Times New Roman" w:cs="Times New Roman" w:eastAsia="Times New Roman" w:hAnsi="Times New Roman"/>
          <w:sz w:val="18"/>
          <w:szCs w:val="18"/>
          <w:color w:val="auto"/>
        </w:rPr>
      </w:pPr>
    </w:p>
    <w:p>
      <w:pPr>
        <w:ind w:left="880" w:right="340" w:hanging="318"/>
        <w:spacing w:after="0" w:line="282" w:lineRule="auto"/>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2015 and 2014, we received $987 and $2,600 in cash distributions from our unconsolidated investees, respectively, of which $54 and $1,313 was included in cash flows from operating activities, respectively.</w:t>
      </w:r>
    </w:p>
    <w:p>
      <w:pPr>
        <w:spacing w:after="0" w:line="53" w:lineRule="exact"/>
        <w:rPr>
          <w:rFonts w:ascii="Times New Roman" w:cs="Times New Roman" w:eastAsia="Times New Roman" w:hAnsi="Times New Roman"/>
          <w:sz w:val="18"/>
          <w:szCs w:val="18"/>
          <w:color w:val="auto"/>
        </w:rPr>
      </w:pPr>
    </w:p>
    <w:p>
      <w:pPr>
        <w:ind w:left="880" w:hanging="318"/>
        <w:spacing w:after="0"/>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2015 and 2014, proceeds from the sale of assets were $121 and $135, respectively.</w:t>
      </w:r>
    </w:p>
    <w:p>
      <w:pPr>
        <w:spacing w:after="0" w:line="117" w:lineRule="exact"/>
        <w:rPr>
          <w:rFonts w:ascii="Times New Roman" w:cs="Times New Roman" w:eastAsia="Times New Roman" w:hAnsi="Times New Roman"/>
          <w:sz w:val="18"/>
          <w:szCs w:val="18"/>
          <w:color w:val="auto"/>
        </w:rPr>
      </w:pPr>
    </w:p>
    <w:p>
      <w:pPr>
        <w:ind w:left="880" w:right="160" w:hanging="318"/>
        <w:spacing w:after="0" w:line="261" w:lineRule="auto"/>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2015 and 2014, capital contributions from members were $61,991 and $98,000, respectively, and capital contributions from non-controlling interests were $11,922 and $0, respectively. As of March 31, 2015, we had a total of $363,920 of capital availability remaining under our partnership agreements (including $129,603 of prior distributions subject to recall pursuant to the terms of the Partnership Agreement).</w:t>
      </w:r>
    </w:p>
    <w:p>
      <w:pPr>
        <w:spacing w:after="0" w:line="72" w:lineRule="exact"/>
        <w:rPr>
          <w:sz w:val="20"/>
          <w:szCs w:val="20"/>
          <w:color w:val="auto"/>
        </w:rPr>
      </w:pPr>
    </w:p>
    <w:p>
      <w:pPr>
        <w:jc w:val="both"/>
        <w:ind w:right="40" w:firstLine="554"/>
        <w:spacing w:after="0" w:line="266" w:lineRule="auto"/>
        <w:rPr>
          <w:sz w:val="20"/>
          <w:szCs w:val="20"/>
          <w:color w:val="auto"/>
        </w:rPr>
      </w:pPr>
      <w:r>
        <w:rPr>
          <w:rFonts w:ascii="Times New Roman" w:cs="Times New Roman" w:eastAsia="Times New Roman" w:hAnsi="Times New Roman"/>
          <w:sz w:val="18"/>
          <w:szCs w:val="18"/>
          <w:color w:val="auto"/>
        </w:rPr>
        <w:t>In addition, the Company is currently evaluating over $1.5 billion of potential Infrastructure and Equipment Leasing transactions which could occur within the next 12 months. However, as of the date of this filing, none of the above-referenced pipeline transactions or negotiations are definitive or included within the planned liquidity needs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2015 and March 31, 2014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compares the historical cash flow for the three months ended March 31, 2015 and March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7"/>
                <w:szCs w:val="17"/>
                <w:color w:val="auto"/>
              </w:rPr>
            </w:pPr>
          </w:p>
        </w:tc>
        <w:tc>
          <w:tcPr>
            <w:tcW w:w="1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300" w:type="dxa"/>
            <w:vAlign w:val="bottom"/>
          </w:tcPr>
          <w:p>
            <w:pPr>
              <w:spacing w:after="0"/>
              <w:rPr>
                <w:sz w:val="18"/>
                <w:szCs w:val="18"/>
                <w:color w:val="auto"/>
              </w:rPr>
            </w:pPr>
          </w:p>
        </w:tc>
        <w:tc>
          <w:tcPr>
            <w:tcW w:w="1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2014</w:t>
            </w:r>
          </w:p>
        </w:tc>
      </w:tr>
      <w:tr>
        <w:trPr>
          <w:trHeight w:val="33"/>
        </w:trPr>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3"/>
          </w:tcPr>
          <w:p>
            <w:pPr>
              <w:spacing w:after="0"/>
              <w:rPr>
                <w:sz w:val="2"/>
                <w:szCs w:val="2"/>
                <w:color w:val="auto"/>
              </w:rPr>
            </w:pPr>
          </w:p>
        </w:tc>
      </w:tr>
      <w:tr>
        <w:trPr>
          <w:trHeight w:val="217"/>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6,222</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4,624</w:t>
            </w: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(35,681)</w:t>
            </w: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(52,636)</w:t>
            </w:r>
          </w:p>
        </w:tc>
      </w:tr>
      <w:tr>
        <w:trPr>
          <w:trHeight w:val="237"/>
        </w:trPr>
        <w:tc>
          <w:tcPr>
            <w:tcW w:w="69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44,626</w:t>
            </w:r>
          </w:p>
        </w:tc>
        <w:tc>
          <w:tcPr>
            <w:tcW w:w="3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92,054</w:t>
            </w:r>
          </w:p>
        </w:tc>
      </w:tr>
    </w:tbl>
    <w:p>
      <w:pPr>
        <w:spacing w:after="0" w:line="123" w:lineRule="exact"/>
        <w:rPr>
          <w:sz w:val="20"/>
          <w:szCs w:val="20"/>
          <w:color w:val="auto"/>
        </w:rPr>
      </w:pPr>
    </w:p>
    <w:p>
      <w:pPr>
        <w:ind w:firstLine="446"/>
        <w:spacing w:after="0" w:line="281" w:lineRule="auto"/>
        <w:rPr>
          <w:sz w:val="20"/>
          <w:szCs w:val="20"/>
          <w:color w:val="auto"/>
        </w:rPr>
      </w:pPr>
      <w:r>
        <w:rPr>
          <w:rFonts w:ascii="Times New Roman" w:cs="Times New Roman" w:eastAsia="Times New Roman" w:hAnsi="Times New Roman"/>
          <w:sz w:val="17"/>
          <w:szCs w:val="17"/>
          <w:color w:val="auto"/>
        </w:rPr>
        <w:t>Net cash provided by operating activities was $6,222 in the three months ended March 31, 2015 as compared to $4,624 in the three months ended March 31, 2014, representing a $1,598 increase. Net income was $1,942 in the three months ended March 31, 2015, compared to $1,602 in the three months ended March 31, 2014, an increase of $340. The increase in net cash provided was driven by was an increase in non-cash adjustments to reconcile net income which include an increase of (i) $8,731 relating to depreciation and amortization, (ii) $2,004 of amortization of lease intangibles and incentives, (iii) $363 in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60"/>
          </w:cols>
          <w:pgMar w:left="240" w:top="698" w:right="29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equity in earnings of unconsolidated entities, (iv) $1,420 of equity based compensation, offset by a decrease due to income from forfeiture of security deposits of $1,120. Offsetting the increase was cash used in operating activities primarily due to an increase in cash used in accounts payable and accrued liabilities of $8,610 due to the continued expansion of our business, and accounts receivable increased by $149 related to an increase in our customer base. Additionally, there was a decrease in operating distributions of $1,259 as compared to 2014.</w:t>
      </w:r>
    </w:p>
    <w:p>
      <w:pPr>
        <w:spacing w:after="0" w:line="72"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$35,681 and $52,636 in the three months ended March 31, 2015 and 2014, respectively, representing a $16,955 decrease. The decreased use in cash for investing was driven by a lower number of investments made in the three months ended March 31, 2015 as compared to the three months ended March 31, 2014. Cash used in acquisitions of leasing equipment and related lease intangibles decreased year over year by $29,123 in 2015 as compared to 2014. Additionally, cash was used to fund the other investment of $27,600 in the three months ended March 31, 2014, which did not occur in March 31, 2015. The funding of restricted cash balances increased cash outflows from investing activities by $4,653 in 2015 as compared to the three months ended March 31, 2014 in connection with the requirements of the Jefferson Terminal Credit Agreement. This was offset by higher cash flows used for the acquisitions of property plant and equipment in the three months ended March 31, 2015 by $44,296 due to the continued expansion and development of Jefferson Terminal and CMQR.</w:t>
      </w:r>
    </w:p>
    <w:p>
      <w:pPr>
        <w:spacing w:after="0" w:line="77"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$44,626 and $92,054 in 2015 and 2014, respectively, representing a $47,428 decrease. Such decrease was attributable to (i) a decrease in capital contributions from members of $36,009, (ii) an increase in distributions to members of $19,713, (iii) an increase in repayment of debt, net of proceeds from borrowings, of $1,688 and (iv) an increase in the release of maintenance deposits, net of receipts of $2,183. These increases in cash outflows were offset by an increase in net security deposit receipts of $261 and increased contributions from non-controlling interest of $11,922, offset by capital distributions to non-controlling interests of $18.</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Funds Available for Distribution (“FAD”) is not a financial measure in accordance with GAAP. The Company uses FAD in evaluating its ability to meets its stated dividend policy. The Company believes FAD will be a useful metric for investors and analysts for similar purposes. However, as described below, FAD is subject to a number of limitations and assumptions and there can be no assurance that the Company will generate FAD sufficient to meet its intended dividends. The GAAP measure more directly comparable to FAD is net cash provided by operating activities.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defines FAD as: cash from operating activities plus principal collections on finance leases, proceeds from sale of assets, and return of capital distributions from unconsolidated entities, less payments on debt and capital distributions to non-controlling interest, and excluding changes in working capital.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00" w:type="dxa"/>
            <w:vAlign w:val="bottom"/>
          </w:tcPr>
          <w:p>
            <w:pPr>
              <w:spacing w:after="0"/>
              <w:rPr>
                <w:sz w:val="18"/>
                <w:szCs w:val="18"/>
                <w:color w:val="auto"/>
              </w:rPr>
            </w:pPr>
          </w:p>
        </w:tc>
        <w:tc>
          <w:tcPr>
            <w:tcW w:w="15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2014</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Principal Collections on Finance Leases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2,698</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Proceeds from sale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Return of Capital Distributions from Unconsolidated Entities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Payments on Debt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Capital Distributions to Non-Controlling Interest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Exclude: Changes in Working Capital</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4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Funds Available for Distribution (FAD)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13,602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5,241</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w:t>
      </w:r>
    </w:p>
    <w:p>
      <w:pPr>
        <w:spacing w:after="0" w:line="121"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FAD has material limitations as a liquidity measure of the Company because such measure excludes items that are required elements of the Company’s net cash provided by operating activities as described below. FAD should not be considered in isolation or as a substitute for analysis of the Company’s results of operations under GAAP and it is not the only metric that should be considered when evaluating the Company’s ability to meet its stated dividend policy. Specifically:</w:t>
      </w:r>
    </w:p>
    <w:p>
      <w:pPr>
        <w:spacing w:after="0" w:line="72" w:lineRule="exact"/>
        <w:rPr>
          <w:sz w:val="20"/>
          <w:szCs w:val="20"/>
          <w:color w:val="auto"/>
        </w:rPr>
      </w:pPr>
    </w:p>
    <w:p>
      <w:pPr>
        <w:ind w:left="660" w:right="1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72" w:right="239" w:bottom="1440" w:gutter="0" w:footer="0" w:header="0"/>
        </w:sectPr>
      </w:pPr>
    </w:p>
    <w:bookmarkStart w:id="59" w:name="page60"/>
    <w:bookmarkEnd w:id="59"/>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give pro forma effect to prior acquisitions, certain of which cannot be quantified.</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53"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expenditures related to capital expenditures, acquisitions and other investments as the Company has multiple sources of liquidity and intends to fund these expenditures with the net proceeds from this offering, future incurrences of indebtedness, additional capital contributions and/or future issuances of equity.</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any maintenance capital expenditures necessary to maintain the same level of cash generation from our capital investments.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significant discretion to make distributions and the Company is not bound by any contractual provision that requires it to use cash for distributions.</w:t>
      </w:r>
    </w:p>
    <w:p>
      <w:pPr>
        <w:spacing w:after="0" w:line="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factors were included in FAD, there can be no assurance that the results would be consistent with the Company’s presentation of FAD.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21" w:lineRule="exact"/>
        <w:rPr>
          <w:sz w:val="20"/>
          <w:szCs w:val="20"/>
          <w:color w:val="auto"/>
        </w:rPr>
      </w:pPr>
    </w:p>
    <w:p>
      <w:pPr>
        <w:ind w:right="80" w:firstLine="446"/>
        <w:spacing w:after="0" w:line="266" w:lineRule="auto"/>
        <w:rPr>
          <w:sz w:val="20"/>
          <w:szCs w:val="20"/>
          <w:color w:val="auto"/>
        </w:rPr>
      </w:pPr>
      <w:r>
        <w:rPr>
          <w:rFonts w:ascii="Times New Roman" w:cs="Times New Roman" w:eastAsia="Times New Roman" w:hAnsi="Times New Roman"/>
          <w:sz w:val="18"/>
          <w:szCs w:val="18"/>
          <w:color w:val="auto"/>
        </w:rPr>
        <w:t>The debt agreements to which our subsidiaries are a party include customary terms and conditions, including covenants and representations and warranties. These agreements restrict, among other things, the ability of our subsidiaries that are party to such agreements and their respective subsidiaries to incur indebtedness, create liens on property, make investments or distributions, or dispose of assets.</w:t>
      </w:r>
    </w:p>
    <w:p>
      <w:pPr>
        <w:spacing w:after="0" w:line="68" w:lineRule="exact"/>
        <w:rPr>
          <w:sz w:val="20"/>
          <w:szCs w:val="20"/>
          <w:color w:val="auto"/>
        </w:rPr>
      </w:pPr>
    </w:p>
    <w:p>
      <w:pPr>
        <w:ind w:right="260" w:firstLine="446"/>
        <w:spacing w:after="0" w:line="282" w:lineRule="auto"/>
        <w:rPr>
          <w:sz w:val="20"/>
          <w:szCs w:val="20"/>
          <w:color w:val="auto"/>
        </w:rPr>
      </w:pPr>
      <w:r>
        <w:rPr>
          <w:rFonts w:ascii="Times New Roman" w:cs="Times New Roman" w:eastAsia="Times New Roman" w:hAnsi="Times New Roman"/>
          <w:sz w:val="18"/>
          <w:szCs w:val="18"/>
          <w:color w:val="auto"/>
        </w:rPr>
        <w:t>Under such debt agreements, certain events, including non-payment of principal or interest, bankruptcy or insolvency, or a breach of a covenant or a representation or warranty may constitute an event of default and trigger an acceleration of payments.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Container Loan #1</w:t>
      </w:r>
    </w:p>
    <w:p>
      <w:pPr>
        <w:spacing w:after="0" w:line="121" w:lineRule="exact"/>
        <w:rPr>
          <w:sz w:val="20"/>
          <w:szCs w:val="20"/>
          <w:color w:val="auto"/>
        </w:rPr>
      </w:pPr>
    </w:p>
    <w:p>
      <w:pPr>
        <w:ind w:right="300" w:firstLine="446"/>
        <w:spacing w:after="0" w:line="266" w:lineRule="auto"/>
        <w:rPr>
          <w:sz w:val="20"/>
          <w:szCs w:val="20"/>
          <w:color w:val="auto"/>
        </w:rPr>
      </w:pPr>
      <w:r>
        <w:rPr>
          <w:rFonts w:ascii="Times New Roman" w:cs="Times New Roman" w:eastAsia="Times New Roman" w:hAnsi="Times New Roman"/>
          <w:sz w:val="18"/>
          <w:szCs w:val="18"/>
          <w:color w:val="auto"/>
        </w:rPr>
        <w:t>On December 27, 2012, a subsidiary of the company entered into a Credit Agreement (“Container Loan #1”) with a bank for an initial aggregate amount of approximately $55.9 million. Borrowings under the loan bear interest at a rate selected by the Company of either (i) a LIBOR based rate plus a spread of 3.75% or (ii) a Base Rate equal to the higher of the Prime Rate or the Federal Funds Rate plus 1.50%, plus a spread of 3.75%.</w:t>
      </w:r>
    </w:p>
    <w:p>
      <w:pPr>
        <w:spacing w:after="0" w:line="68"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Container Loan #1 requires monthly payments of interest and scheduled principal payments through its maturity. It can be prepaid without penalty after December 27, 2015. At March 31, 2015, the outstanding principal amount of the indebtedness under Container Loan #1 was approximately $40.2 million. Container Loan #1 is secured on a first priority basis by the Company’s interests in the shipping containers financed by Container Loan #1 and its related direct finance leases. Container Loan #1 contains negative covenants which limit certain actions of the borrowers.</w:t>
      </w:r>
    </w:p>
    <w:p>
      <w:pPr>
        <w:spacing w:after="0" w:line="72"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Container Loan #1, principal, interest and any fees or other amounts owed under Container Loan #1 bear interest at a rate that is 2% per annum in excess of the interest rate otherwise payable with respect to such amounts. As of March 31, 2015, our subsidiaries were in compliance with all of the covenants under this agreement.</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Container Loan #2</w:t>
      </w:r>
    </w:p>
    <w:p>
      <w:pPr>
        <w:spacing w:after="0" w:line="121" w:lineRule="exact"/>
        <w:rPr>
          <w:sz w:val="20"/>
          <w:szCs w:val="20"/>
          <w:color w:val="auto"/>
        </w:rPr>
      </w:pPr>
    </w:p>
    <w:p>
      <w:pPr>
        <w:jc w:val="both"/>
        <w:ind w:right="60" w:firstLine="446"/>
        <w:spacing w:after="0" w:line="266" w:lineRule="auto"/>
        <w:rPr>
          <w:sz w:val="20"/>
          <w:szCs w:val="20"/>
          <w:color w:val="auto"/>
        </w:rPr>
      </w:pPr>
      <w:r>
        <w:rPr>
          <w:rFonts w:ascii="Times New Roman" w:cs="Times New Roman" w:eastAsia="Times New Roman" w:hAnsi="Times New Roman"/>
          <w:sz w:val="18"/>
          <w:szCs w:val="18"/>
          <w:color w:val="auto"/>
        </w:rPr>
        <w:t>On August 15, 2013, a subsidiary of the Company, entered into a Credit Agreement (“Container Loan #2”) with a bank for an initial aggregate amount of approximately $21.5 million in connection with the acquisition of a portfolio of shipping containers and related equipment subject to direct finance leases. Borrowings under Container Loan #2 bear interest at a rate of LIBOR plus a spread of 3.25%.</w:t>
      </w:r>
    </w:p>
    <w:p>
      <w:pPr>
        <w:spacing w:after="0" w:line="68"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Container Loan #2 requires quarterly payments of interest and scheduled principal payments through its maturity and can be prepaid without penalty at any time. At March 31, 2015, the outstanding principal amount of the indebtedness under Container Loan #2 was approximately $18.6 million. Container Loan #2 is secured on a first priority basis by the Company’s interests in the shipping containers financed by the Container Loan #2 and its related direct finance leases. Container Loan #2 contains negative covenants which limit certain actions of the borrowers.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72" w:right="279" w:bottom="1440" w:gutter="0" w:footer="0" w:header="0"/>
        </w:sectPr>
      </w:pPr>
    </w:p>
    <w:bookmarkStart w:id="60" w:name="page61"/>
    <w:bookmarkEnd w:id="60"/>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Container Loan #2, principal, interest and any fees or other amounts owed under the Container Loan #2 bear interest at a rate that is 2.5% per annum in excess of the interest rate otherwise payable with respect to such amounts. As of March 31, 2015, our subsidiaries were in compliance with all of the covenants under this agreement.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Jefferson Terminal Credit Agreement</w:t>
      </w:r>
    </w:p>
    <w:p>
      <w:pPr>
        <w:spacing w:after="0" w:line="12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On August 27, 2014, Jefferson Gulf Coast Energy Partners LLC, a subsidiary of the Company, entered into a credit agreement (the “Jefferson Terminal Credit Agreement”) with a financial institution for an aggregate amount of $100.0 million. Borrowings under the Jefferson Terminal Credit Agreement bear interest, at the Company’s option, at the Adjusted Eurodollar Rate plus a spread of 8.00% or at a Base Rate plus a spread of 7.00%. At March 31, 2015, borrowings under the Jefferson Terminal Credit Agreement bore interest at a rate of 9.00%. The Jefferson Terminal Credit Agreement provides for a prepayment premium ranging from 1% to 3% of the aggregate principal amount prepaid, including repayment at maturity (the “Exit Fee”).</w:t>
      </w:r>
    </w:p>
    <w:p>
      <w:pPr>
        <w:spacing w:after="0" w:line="7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The Jefferson Terminal Credit Agreement requires quarterly payments of $0.25 million beginning with the quarter ending December 31, 2014, with such quarterly payments increasing to $1.25 million beginning with the quarter ending December 31, 2016, and may be prepaid or repaid at any time prior to its maturity on February 27, 2018. As of March 31, 2015, the outstanding principal amount of the indebtedness under the Jefferson Terminal Credit Agreement was approximately $99.5 million.</w:t>
      </w:r>
    </w:p>
    <w:p>
      <w:pPr>
        <w:spacing w:after="0" w:line="72"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The Jefferson Terminal Credit Agreement is secured on a first priority basis by substantially all assets of Jefferson Terminal, with certain exceptions. The Jefferson Terminal Agreement contains affirmative and negative covenants which limit certain actions of the borrowers. In addition, the Jefferson Terminal Credit Agreement contains a financial covenant requiring Consolidated EBITDA of Jefferson Gulf Coast Energy Holdings, LLC and its subsidiaries to be at least $30.0 million in any rolling twelve month period beginning with December 31, 2015. As of March 31, 2015, the Company was in compliance with all of the covenants under the Jefferson Terminal Agreement.</w:t>
      </w:r>
    </w:p>
    <w:p>
      <w:pPr>
        <w:spacing w:after="0" w:line="76"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The Jefferson Terminal Credit Agreement contains a restricted payment covenant that restricts the Jefferson parties to the agreement and their subsidiaries from making distributions to us unless (a) the Jefferson Group Members (as defined in such agreement) would, on a pro forma basis after giving effect to such restricted payment, have a total debt leverage ratio of not more than 2.50 to 1.00 and (b) such distributions do not exceed $10 million in any calendar year or $25 million in the aggregate during the term of the Jefferson Terminal Credit Agreement. This restriction is subject to a number of other exceptions, including, among others, an exception for (a) issuances of equity to management not in excess of $2 million in any calendar year (with unused amounts in any calendar year being carried over to succeeding calendar years), (b) exceptions for activities otherwise permitted by the Jefferson Terminal Credit Agreement, to the extent such activities constitute a restricted payment, (c) exceptions for payments made with respect to (i) operating costs and expenses of FTAI Energy Partners LLC incurred in the ordinary course of business, other corporate overhead costs and expenses of FTAI Energy Partners LLC, (ii) taxes, (iii) permitted tax distributions, (iv) financing for certain permitted investments, (v) salary, bonus and other benefits payable to officers and employees of parent and any other director or indirect parent company of Jefferson Gulf Coast Energy Holdings LLC to the extent related to the ownership or operation of Jefferson Gulf Coast Energy Holdings LLC, and (vi) fees and expenses related to any unsuccessful equity or debt offering by Parent that is directly attributable to the operations of Jefferson Gulf Coast Energy Holdings LLC, Jefferson Gulf Coast Energy Partners LLC or their subsidiaries. As a result of these restrictions, Jefferson Gulf Coast Energy Partners LLC may only make limited distributions to us, if any, which in turn limits the availability of cash from Jefferson that we may use to make distributions to our shareholders.</w:t>
      </w:r>
    </w:p>
    <w:p>
      <w:pPr>
        <w:spacing w:after="0" w:line="3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Series 2010 Bonds</w:t>
      </w:r>
    </w:p>
    <w:p>
      <w:pPr>
        <w:spacing w:after="0" w:line="121" w:lineRule="exact"/>
        <w:rPr>
          <w:sz w:val="20"/>
          <w:szCs w:val="20"/>
          <w:color w:val="auto"/>
        </w:rPr>
      </w:pPr>
    </w:p>
    <w:p>
      <w:pPr>
        <w:ind w:right="400" w:firstLine="446"/>
        <w:spacing w:after="0" w:line="261" w:lineRule="auto"/>
        <w:rPr>
          <w:sz w:val="20"/>
          <w:szCs w:val="20"/>
          <w:color w:val="auto"/>
        </w:rPr>
      </w:pPr>
      <w:r>
        <w:rPr>
          <w:rFonts w:ascii="Times New Roman" w:cs="Times New Roman" w:eastAsia="Times New Roman" w:hAnsi="Times New Roman"/>
          <w:sz w:val="18"/>
          <w:szCs w:val="18"/>
          <w:color w:val="auto"/>
        </w:rPr>
        <w:t>On December 1, 2010, Jefferson County Industrial Development Corporation issued $300.0 million of its Series 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72"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trust indenture and security agreements, Series 2010 Bonds can be tendered by bondholders and purchased by the Company using the unused restricted cash proceeds. Series 2010 Bonds purchased by the Company are deemed to be owned by the Company, and are classified as assets, tendered bonds, in the Consolidated Balance Sheet with an equal corresponding amount as debt, as Series 2010 bonds owned by the Company are not deemed extinguished or cancelled. Tendered bonds do not convey principal or interest payments while held by the Company. As of March 31, 2015,</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72" w:right="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in the Consolidated Balance Sheet, the Company has $298.0 million of Tendered Bonds and an equal corresponding amount in Debt.</w:t>
      </w:r>
    </w:p>
    <w:p>
      <w:pPr>
        <w:spacing w:after="0" w:line="117" w:lineRule="exact"/>
        <w:rPr>
          <w:sz w:val="20"/>
          <w:szCs w:val="20"/>
          <w:color w:val="auto"/>
        </w:rPr>
      </w:pPr>
    </w:p>
    <w:p>
      <w:pPr>
        <w:ind w:right="680" w:firstLine="446"/>
        <w:spacing w:after="0" w:line="282" w:lineRule="auto"/>
        <w:rPr>
          <w:sz w:val="20"/>
          <w:szCs w:val="20"/>
          <w:color w:val="auto"/>
        </w:rPr>
      </w:pPr>
      <w:r>
        <w:rPr>
          <w:rFonts w:ascii="Times New Roman" w:cs="Times New Roman" w:eastAsia="Times New Roman" w:hAnsi="Times New Roman"/>
          <w:sz w:val="18"/>
          <w:szCs w:val="18"/>
          <w:color w:val="auto"/>
        </w:rPr>
        <w:t>The Series 2010 bonds have a stated maturity date of December 1, 2040 and the principal amount is due at maturity. As of March 31, 2015, the Company was in compliance with all of the covenants under the Series 2010 Bonds.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Series 2012 Bonds</w:t>
      </w:r>
    </w:p>
    <w:p>
      <w:pPr>
        <w:spacing w:after="0" w:line="12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On August 1, 2012, Jefferson County Industrial Development Corporation issued $46.9 million of its Series 2012 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w:t>
      </w:r>
    </w:p>
    <w:p>
      <w:pPr>
        <w:spacing w:after="0" w:line="76" w:lineRule="exact"/>
        <w:rPr>
          <w:sz w:val="20"/>
          <w:szCs w:val="20"/>
          <w:color w:val="auto"/>
        </w:rPr>
      </w:pPr>
    </w:p>
    <w:p>
      <w:pPr>
        <w:ind w:right="360"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Jefferson Terminal, the Series 2012 Bonds were recorded at a fair value of $48.5 million, which is inclusive of a $1.8 million premium which is being amortized using the effective interest method over the remaining contractual term of the Series 2012 Bonds. As of March 31, 2015, $46.7 million of original principal on the Series 2012 Bonds remained outstanding.</w:t>
      </w:r>
    </w:p>
    <w:p>
      <w:pPr>
        <w:spacing w:after="0" w:line="68"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The Series 2012 Bonds have a stated maturity of July 1, 2032, bear interest at 8.25%, and require scheduled principal payments. The principal of the Series 2012 Bonds are payable annually at varying amounts. As of March 31, 2015, the Company was in compliance with all of the covenants under the Series 2012 Bonds.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FTAI Pride Credit Agreement</w:t>
      </w:r>
    </w:p>
    <w:p>
      <w:pPr>
        <w:spacing w:after="0" w:line="121"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On September 15, 2014, FTAI Pride, LLC, (“FTAI Pride”) a subsidiary of the Company entered into a credit agreement (the “FTAI Pride Credit Agreement”) with a bank in respect of a term loan in an aggregate amount of $75.0 million. The loan proceeds were used in connection with the acquisition of an advanced offshore construction vessel. Borrowings under the FTAI Pride Credit Agreement bear interest at the LIBOR rate plus a spread of 4.50%. At March 31, 2015, borrowings under the FTAI Pride Credit Agreement bore interest at a rate of 4.77%.</w:t>
      </w:r>
    </w:p>
    <w:p>
      <w:pPr>
        <w:spacing w:after="0" w:line="72"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The FTAI Pride Credit Agreement requires quarterly payments of interest and scheduled principal payments of $1.6 million beginning in the quarter ending December 31, 2014, through its maturity and can be prepaid without penalty at any time. At March 31, 2015, the outstanding principal amount of indebtedness under the FTAI Pride Credit Agreement was approximately $71.9 million.</w:t>
      </w:r>
    </w:p>
    <w:p>
      <w:pPr>
        <w:spacing w:after="0" w:line="68"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The FTAI Pride Credit Agreement is secured on a first priority basis by the offshore construction vessel and charter. The FTAI Pride Credit Agreement contains affirmative and negative covenants which limit certain actions of the borrower and a financial covenant requiring a Fixed Charges Coverage Ratio (as defined by the FTAI Pride Credit Agreement) of FTAI Pride of not less than 1.15:1.00 in any twelve month period ending December 31, 2014, or later. As of March 31, 2015, the Company was in compliance with all of the covenants under the FTAI Pride Credit Agreement.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CMQR Credit Agreement</w:t>
      </w:r>
    </w:p>
    <w:p>
      <w:pPr>
        <w:spacing w:after="0" w:line="121" w:lineRule="exact"/>
        <w:rPr>
          <w:sz w:val="20"/>
          <w:szCs w:val="20"/>
          <w:color w:val="auto"/>
        </w:rPr>
      </w:pPr>
    </w:p>
    <w:p>
      <w:pPr>
        <w:ind w:right="160" w:firstLine="446"/>
        <w:spacing w:after="0" w:line="257" w:lineRule="auto"/>
        <w:rPr>
          <w:sz w:val="20"/>
          <w:szCs w:val="20"/>
          <w:color w:val="auto"/>
        </w:rPr>
      </w:pPr>
      <w:r>
        <w:rPr>
          <w:rFonts w:ascii="Times New Roman" w:cs="Times New Roman" w:eastAsia="Times New Roman" w:hAnsi="Times New Roman"/>
          <w:sz w:val="18"/>
          <w:szCs w:val="18"/>
          <w:color w:val="auto"/>
        </w:rPr>
        <w:t>On September 18, 2014, CMQR entered into a credit agreement (the “CMQR Credit Agreement”) with a financial institution in respect of a revolving line of credit in an aggregate amount of $10.0 million. Borrowings under the CMQR Credit Agreement bear interest at either (i) Adjusted LIBOR plus a spread of 2.50% or 4.50%, (ii) the U.S or Canadian Base Rate plus a spread of 1.50% or 3.50%, or (iii) the Canadian Fixed Rate plus a spread of 2.50% or</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4.50%, as each of those terms is defined by the CMQR Credit Agreement and the maturity date is September 18, 2017. Borrowings under the CMQR Credit Agreement bore interest at an average rate of 2.92% at March 31, 2015.</w:t>
      </w:r>
    </w:p>
    <w:p>
      <w:pPr>
        <w:spacing w:after="0" w:line="72"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The CMQR Credit Agreement requires quarterly payments of interest. At March 31, 2015, the outstanding principal amount of indebtedness under the CMQR Credit Agreement was approximately $9.4 million.</w:t>
      </w:r>
    </w:p>
    <w:p>
      <w:pPr>
        <w:spacing w:after="0" w:line="54"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The CMQR Credit Agreement is also indirectly supported by the Onshore and Offshore Funds (the “sponsors”). In the event of a default under the credit agreement, CMQR’s lenders can cause CMQR to call up to $20.0 million (subject to reduction of such amount to take into account capital contributions to CMQR) in capital from the sponsors, and in the event of CMQR’s bankruptcy, the lenders can put the debt back to the sponsors. The CMQR Credit Agreement contains affirmative and negative covenants which limit certain actions of CMQR and a financial covenant requiring a Fixed Charge Coverage Ratio as defined, of CMQR and its subsidiaries of not less than 1.30:1.00 in any rolling four-quarter period, effective after September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72"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30, 2014. At March 31, 2015, the Company was in compliance with all of the covenants contained in the CMQR Credit Agreement.</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Loan Payable to Non-Controlling Interest</w:t>
      </w:r>
    </w:p>
    <w:p>
      <w:pPr>
        <w:spacing w:after="0" w:line="121" w:lineRule="exact"/>
        <w:rPr>
          <w:sz w:val="20"/>
          <w:szCs w:val="20"/>
          <w:color w:val="auto"/>
        </w:rPr>
      </w:pPr>
    </w:p>
    <w:p>
      <w:pPr>
        <w:ind w:right="80" w:firstLine="446"/>
        <w:spacing w:after="0" w:line="258" w:lineRule="auto"/>
        <w:rPr>
          <w:sz w:val="20"/>
          <w:szCs w:val="20"/>
          <w:color w:val="auto"/>
        </w:rPr>
      </w:pPr>
      <w:r>
        <w:rPr>
          <w:rFonts w:ascii="Times New Roman" w:cs="Times New Roman" w:eastAsia="Times New Roman" w:hAnsi="Times New Roman"/>
          <w:sz w:val="18"/>
          <w:szCs w:val="18"/>
          <w:color w:val="auto"/>
        </w:rPr>
        <w:t>In May 2013, in connection with the capitalization of a consolidated entity, the Company and the owner of the non-controlling interest loaned approximately $18.3 million and $3.2 million, respectively, to the entity in proportion to their respective ownership percentages of 85% and 15%. The loans bear interest at an annual rate of 5% and require monthly payments of principal and interest through their final maturity in May 2021. At March 31, 2015, the outstanding principal amount of the loan payable to non-controlling interest was approximately $2.5 million. The loan amount funded by the Company and related interest have been eliminated in consolidation.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9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obligations, by period due, as of March 31, 2015, under our various contractual obligations and commitments. We had no off-balance sheet arrangements as of March 31,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Container Loan #1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Container Loan #2</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 payable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FTAI Pride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CMQR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Jefferson Terminal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Jefferson Bonds Payable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344,730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337,550</w:t>
            </w:r>
          </w:p>
        </w:tc>
      </w:tr>
      <w:tr>
        <w:trPr>
          <w:trHeight w:val="21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principal payments on loans and bonds payable</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586,815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24,637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50,424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103,463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338,122</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estimated interest payments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88,606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26,421</w:t>
            </w: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47,673</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44"/>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744,769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38,462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47,529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71,997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115,021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59,544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412,216</w:t>
            </w: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30" w:lineRule="exact"/>
        <w:rPr>
          <w:sz w:val="20"/>
          <w:szCs w:val="20"/>
          <w:color w:val="auto"/>
        </w:rPr>
      </w:pPr>
    </w:p>
    <w:p>
      <w:pPr>
        <w:ind w:left="460" w:right="600" w:hanging="425"/>
        <w:spacing w:after="0" w:line="218" w:lineRule="auto"/>
        <w:tabs>
          <w:tab w:leader="none" w:pos="445"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$298,000 of tendered bonds which do not convey principal or interest payments while held by the Company and excludes unamortized premium.</w:t>
      </w:r>
    </w:p>
    <w:p>
      <w:pPr>
        <w:spacing w:after="0" w:line="37" w:lineRule="exact"/>
        <w:rPr>
          <w:rFonts w:ascii="Times New Roman" w:cs="Times New Roman" w:eastAsia="Times New Roman" w:hAnsi="Times New Roman"/>
          <w:sz w:val="25"/>
          <w:szCs w:val="25"/>
          <w:color w:val="auto"/>
          <w:vertAlign w:val="superscript"/>
        </w:rPr>
      </w:pPr>
    </w:p>
    <w:p>
      <w:pPr>
        <w:ind w:left="460" w:right="440" w:hanging="425"/>
        <w:spacing w:after="0" w:line="218" w:lineRule="auto"/>
        <w:tabs>
          <w:tab w:leader="none" w:pos="431"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Estimated interest payments based on rates as of March 31, 2015; excludes interest payments on $298,000 of tendered bonds which do not convey interest while held by the Company.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12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The preparation of the Company’s unaudited consolidated financial statements requires the Company to make estimates and assumptions that affect the reported amounts of assets and liabilities and disclosure of contingent assets and liabilities at the date of the Company’s unaudited consolidated financial statements and on the reported amounts of revenues and expenses during the reporting period. The Company bases its estimates and assumptions on historical experience and on various other factors that the Company believes is reasonable under the circumstances. The Company considers these accounting estimates to be critical because changes in underlying assumptions or estimates could have the potential to materially impact its financial statements.</w:t>
      </w:r>
    </w:p>
    <w:p>
      <w:pPr>
        <w:spacing w:after="0" w:line="7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and throughout the footnotes to its unaudited consolidated financial statements. The Company believes that certain of these policies are critical because they are important to the presentation of its financial condition and results. On an ongoing basis, the Company evaluates its estimates and assumptions, particularly as they relate to accounting policies that the Company believes are most important to the presentation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72" w:right="239" w:bottom="1440" w:gutter="0" w:footer="0" w:header="0"/>
        </w:sectPr>
      </w:pPr>
    </w:p>
    <w:bookmarkStart w:id="63" w:name="page64"/>
    <w:bookmarkEnd w:id="63"/>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of its financial condition and results of operations. The Company regards an accounting estimate or assumption to be most important to the presentation of its financial condition and results of operations where the nature of the estimate or assumption is material due to the level of subjectivity and judgment necessary to account for highly uncertain matters or the susceptibility of such matters to change; and the impact of the estimate or assumption on its financial condition or operating performance is material.</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lease equipment pursuant to net operating leases. Operating leases with fixed rentals and step rentals are recognized on a straight-line basis over the term of the initial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17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We also recognize lease revenue related to the portion of maintenance payments received from lessees of aviation equipment that are not expected to be reimbursed in connection with major maintenance events.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As of March 31, 2015, we lease shipping containers and an anchor handling tug supply vessel pursuant to finance leases. These leases generally include a lessee obligation to purchase the leased equipment at the end of the lease term, a bargain purchase option, or provide for minimum lease payments with a present value of 90% or more of the fair value of the asset at the date of lease inception. Net investment in finance leases represents the minimum lease payments due from lessees,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Maintenance Payments</w:t>
      </w:r>
    </w:p>
    <w:p>
      <w:pPr>
        <w:spacing w:after="0" w:line="121" w:lineRule="exact"/>
        <w:rPr>
          <w:sz w:val="20"/>
          <w:szCs w:val="20"/>
          <w:color w:val="auto"/>
        </w:rPr>
      </w:pPr>
    </w:p>
    <w:p>
      <w:pPr>
        <w:ind w:right="300" w:firstLine="432"/>
        <w:spacing w:after="0" w:line="256" w:lineRule="auto"/>
        <w:rPr>
          <w:sz w:val="20"/>
          <w:szCs w:val="20"/>
          <w:color w:val="auto"/>
        </w:rPr>
      </w:pPr>
      <w:r>
        <w:rPr>
          <w:rFonts w:ascii="Times New Roman" w:cs="Times New Roman" w:eastAsia="Times New Roman" w:hAnsi="Times New Roman"/>
          <w:sz w:val="18"/>
          <w:szCs w:val="18"/>
          <w:color w:val="auto"/>
        </w:rPr>
        <w:t>Typically, under an operating lease of aviation equipment, the lessee is responsible for performing all maintenance and is 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8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records the portion of maintenance payments paid by the lessee that is expected to be reimbursed as maintenance deposit liabilities on the consolidated balance sheet. Reimbursements made to the lessee upon the receipt of evidence of qualifying maintenance work are charged against the maintenance deposit liability.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72" w:right="239" w:bottom="1440" w:gutter="0" w:footer="0" w:header="0"/>
        </w:sectPr>
      </w:pPr>
    </w:p>
    <w:bookmarkStart w:id="64" w:name="page65"/>
    <w:bookmarkEnd w:id="64"/>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Leasing Equipment and Depreciation</w:t>
      </w:r>
    </w:p>
    <w:p>
      <w:pPr>
        <w:spacing w:after="0" w:line="121"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Property, plant and equipment and leasing equipment are stated at cost (inclusive of capitalized acquisition costs, where applicable), and depreciated to estimated residual values using the straight-line method over estimated useful lives and residual values which are summarized as follows: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480" w:type="dxa"/>
            <w:vAlign w:val="bottom"/>
          </w:tcPr>
          <w:p>
            <w:pPr>
              <w:spacing w:after="0"/>
              <w:rPr>
                <w:sz w:val="16"/>
                <w:szCs w:val="16"/>
                <w:color w:val="auto"/>
              </w:rPr>
            </w:pPr>
          </w:p>
        </w:tc>
        <w:tc>
          <w:tcPr>
            <w:tcW w:w="3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Range of Estimated Useful Lives</w:t>
            </w:r>
          </w:p>
        </w:tc>
        <w:tc>
          <w:tcPr>
            <w:tcW w:w="36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Residual Value Estimates</w:t>
            </w:r>
          </w:p>
        </w:tc>
      </w:tr>
      <w:tr>
        <w:trPr>
          <w:trHeight w:val="22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Passenger aircraft</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years from date of manufacture</w:t>
            </w:r>
          </w:p>
        </w:tc>
        <w:tc>
          <w:tcPr>
            <w:tcW w:w="3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to exceed 15% of</w:t>
            </w:r>
          </w:p>
        </w:tc>
      </w:tr>
      <w:tr>
        <w:trPr>
          <w:trHeight w:val="216"/>
        </w:trPr>
        <w:tc>
          <w:tcPr>
            <w:tcW w:w="4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manufacturer’s list price when</w:t>
            </w:r>
          </w:p>
        </w:tc>
      </w:tr>
      <w:tr>
        <w:trPr>
          <w:trHeight w:val="234"/>
        </w:trPr>
        <w:tc>
          <w:tcPr>
            <w:tcW w:w="4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w:t>
            </w:r>
          </w:p>
        </w:tc>
      </w:tr>
    </w:tbl>
    <w:p>
      <w:pPr>
        <w:spacing w:after="0" w:line="36" w:lineRule="exact"/>
        <w:rPr>
          <w:sz w:val="20"/>
          <w:szCs w:val="20"/>
          <w:color w:val="auto"/>
        </w:rPr>
      </w:pPr>
    </w:p>
    <w:p>
      <w:pPr>
        <w:sectPr>
          <w:pgSz w:w="11900" w:h="16838" w:orient="portrait"/>
          <w:cols w:equalWidth="0" w:num="1">
            <w:col w:w="11380"/>
          </w:cols>
          <w:pgMar w:left="240" w:top="684" w:right="279" w:bottom="1440" w:gutter="0" w:footer="0" w:header="0"/>
        </w:sectPr>
      </w:pPr>
    </w:p>
    <w:p>
      <w:pPr>
        <w:ind w:left="40"/>
        <w:spacing w:after="0"/>
        <w:tabs>
          <w:tab w:leader="none" w:pos="4520" w:val="left"/>
        </w:tabs>
        <w:rPr>
          <w:sz w:val="20"/>
          <w:szCs w:val="20"/>
          <w:color w:val="auto"/>
        </w:rPr>
      </w:pPr>
      <w:r>
        <w:rPr>
          <w:rFonts w:ascii="Times New Roman" w:cs="Times New Roman" w:eastAsia="Times New Roman" w:hAnsi="Times New Roman"/>
          <w:sz w:val="18"/>
          <w:szCs w:val="18"/>
          <w:color w:val="auto"/>
        </w:rPr>
        <w:t>Aircraft engines</w:t>
      </w:r>
      <w:r>
        <w:rPr>
          <w:sz w:val="20"/>
          <w:szCs w:val="20"/>
          <w:color w:val="auto"/>
        </w:rPr>
        <w:tab/>
      </w:r>
      <w:r>
        <w:rPr>
          <w:rFonts w:ascii="Times New Roman" w:cs="Times New Roman" w:eastAsia="Times New Roman" w:hAnsi="Times New Roman"/>
          <w:sz w:val="18"/>
          <w:szCs w:val="18"/>
          <w:color w:val="auto"/>
        </w:rPr>
        <w:t>2 - 6 years, based on maintenance adjusted</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service life</w:t>
      </w:r>
    </w:p>
    <w:p>
      <w:pPr>
        <w:spacing w:after="0" w:line="20" w:lineRule="exact"/>
        <w:rPr>
          <w:sz w:val="20"/>
          <w:szCs w:val="20"/>
          <w:color w:val="auto"/>
        </w:rPr>
      </w:pPr>
      <w:r>
        <w:rPr>
          <w:sz w:val="20"/>
          <w:szCs w:val="20"/>
          <w:color w:val="auto"/>
        </w:rPr>
        <w:br w:type="column"/>
      </w:r>
    </w:p>
    <w:p>
      <w:pPr>
        <w:jc w:val="both"/>
        <w:ind w:right="1320"/>
        <w:spacing w:after="0" w:line="287" w:lineRule="auto"/>
        <w:rPr>
          <w:sz w:val="20"/>
          <w:szCs w:val="20"/>
          <w:color w:val="auto"/>
        </w:rPr>
      </w:pPr>
      <w:r>
        <w:rPr>
          <w:rFonts w:ascii="Times New Roman" w:cs="Times New Roman" w:eastAsia="Times New Roman" w:hAnsi="Times New Roman"/>
          <w:sz w:val="17"/>
          <w:szCs w:val="17"/>
          <w:color w:val="auto"/>
        </w:rPr>
        <w:t>Sum of engine core salvage value plus the estimated fair value of life limited parts</w:t>
      </w:r>
    </w:p>
    <w:p>
      <w:pPr>
        <w:spacing w:after="0" w:line="1" w:lineRule="exact"/>
        <w:rPr>
          <w:sz w:val="20"/>
          <w:szCs w:val="20"/>
          <w:color w:val="auto"/>
        </w:rPr>
      </w:pPr>
    </w:p>
    <w:p>
      <w:pPr>
        <w:sectPr>
          <w:pgSz w:w="11900" w:h="16838" w:orient="portrait"/>
          <w:cols w:equalWidth="0" w:num="2">
            <w:col w:w="7620" w:space="420"/>
            <w:col w:w="3340"/>
          </w:cols>
          <w:pgMar w:left="240" w:top="684" w:right="279" w:bottom="1440" w:gutter="0" w:footer="0" w:header="0"/>
          <w:type w:val="continuous"/>
        </w:sectPr>
      </w:pPr>
    </w:p>
    <w:tbl>
      <w:tblPr>
        <w:tblLayout w:type="fixed"/>
        <w:tblInd w:w="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Offshore energy vessels</w:t>
            </w:r>
          </w:p>
        </w:tc>
        <w:tc>
          <w:tcPr>
            <w:tcW w:w="3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25 years from date of manufacture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 of new build cost</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Railcars and locomotives</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40</w:t>
            </w:r>
          </w:p>
        </w:tc>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- 50 years from date of manufacture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Track and track related assets</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15</w:t>
            </w:r>
          </w:p>
        </w:tc>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- 50 years from date of manufacture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20</w:t>
            </w:r>
          </w:p>
        </w:tc>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- 30 years</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5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Railroad Equipment</w:t>
            </w:r>
          </w:p>
        </w:tc>
        <w:tc>
          <w:tcPr>
            <w:tcW w:w="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- 15 years from date of</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34"/>
        </w:trPr>
        <w:tc>
          <w:tcPr>
            <w:tcW w:w="3940" w:type="dxa"/>
            <w:vAlign w:val="bottom"/>
          </w:tcPr>
          <w:p>
            <w:pPr>
              <w:spacing w:after="0"/>
              <w:rPr>
                <w:sz w:val="20"/>
                <w:szCs w:val="20"/>
                <w:color w:val="auto"/>
              </w:rPr>
            </w:pPr>
          </w:p>
        </w:tc>
        <w:tc>
          <w:tcPr>
            <w:tcW w:w="3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manufacture</w:t>
            </w:r>
          </w:p>
        </w:tc>
        <w:tc>
          <w:tcPr>
            <w:tcW w:w="2620" w:type="dxa"/>
            <w:vAlign w:val="bottom"/>
          </w:tcPr>
          <w:p>
            <w:pPr>
              <w:spacing w:after="0"/>
              <w:rPr>
                <w:sz w:val="20"/>
                <w:szCs w:val="20"/>
                <w:color w:val="auto"/>
              </w:rPr>
            </w:pP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Crude Oil Terminal Machinery and Equipment</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15</w:t>
            </w:r>
          </w:p>
        </w:tc>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 years from date of manufacture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7 years from date of manufacture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Scrap value at end of useful life</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 years from date of purchase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w:t>
            </w: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 years from date of purchase</w:t>
            </w:r>
          </w:p>
        </w:tc>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8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w:t>
      </w:r>
    </w:p>
    <w:p>
      <w:pPr>
        <w:spacing w:after="0" w:line="180" w:lineRule="exact"/>
        <w:rPr>
          <w:sz w:val="20"/>
          <w:szCs w:val="20"/>
          <w:color w:val="auto"/>
        </w:rPr>
      </w:pPr>
    </w:p>
    <w:p>
      <w:pPr>
        <w:ind w:right="240" w:firstLine="432"/>
        <w:spacing w:after="0" w:line="313" w:lineRule="auto"/>
        <w:rPr>
          <w:sz w:val="20"/>
          <w:szCs w:val="20"/>
          <w:color w:val="auto"/>
        </w:rPr>
      </w:pPr>
      <w:r>
        <w:rPr>
          <w:rFonts w:ascii="Times New Roman" w:cs="Times New Roman" w:eastAsia="Times New Roman" w:hAnsi="Times New Roman"/>
          <w:sz w:val="17"/>
          <w:szCs w:val="17"/>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13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189"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684" w:right="279" w:bottom="1440" w:gutter="0" w:footer="0" w:header="0"/>
          <w:type w:val="continuous"/>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performs a recoverability assessment of each of its long-lived assets whenever events or changes 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8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Management of the Company develops the assumptions used in the recoverability analysis based on its knowledge of active lease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reviews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 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w:t>
      </w:r>
    </w:p>
    <w:p>
      <w:pPr>
        <w:spacing w:after="0" w:line="18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first step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 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the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2014 would not result in an impairment of goodwill for any reporting unit.</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utilize interest rate derivatives to manage its exposure to interest rate risks, principally related to the hedging of variable rate interest payments on various debt facilities. If certain conditions are met, an interest rate derivative may be specifically designated as a cash flow hedge. One of the Company’s designated interest rate derivatives is a cash flow hedge. The Company does not enter into speculative derivative transactions.</w:t>
      </w:r>
    </w:p>
    <w:p>
      <w:pPr>
        <w:spacing w:after="0" w:line="18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cash flow hedge accounting would be discontinued prospectively.</w:t>
      </w:r>
    </w:p>
    <w:p>
      <w:pPr>
        <w:spacing w:after="0" w:line="18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84" w:right="239" w:bottom="1440" w:gutter="0" w:footer="0" w:header="0"/>
        </w:sectPr>
      </w:pPr>
    </w:p>
    <w:bookmarkStart w:id="66" w:name="page67"/>
    <w:bookmarkEnd w:id="66"/>
    <w:p>
      <w:pPr>
        <w:ind w:right="480"/>
        <w:spacing w:after="0" w:line="282" w:lineRule="auto"/>
        <w:rPr>
          <w:sz w:val="20"/>
          <w:szCs w:val="20"/>
          <w:color w:val="auto"/>
        </w:rPr>
      </w:pPr>
      <w:r>
        <w:rPr>
          <w:rFonts w:ascii="Times New Roman" w:cs="Times New Roman" w:eastAsia="Times New Roman" w:hAnsi="Times New Roman"/>
          <w:sz w:val="18"/>
          <w:szCs w:val="18"/>
          <w:color w:val="auto"/>
        </w:rPr>
        <w:t>earnings. The ineffective portion of the interest rate derivative, if any, is calculated and recorded in interest expense. Changes in fair value of non-hedge derivatives are recorded in earnings on a current basis.</w:t>
      </w:r>
    </w:p>
    <w:p>
      <w:pPr>
        <w:spacing w:after="0" w:line="16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 included elsewhere in this filing for recent accounting pronouncements.</w:t>
      </w:r>
    </w:p>
    <w:p>
      <w:pPr>
        <w:spacing w:after="0" w:line="3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 risk represents the risk of changes in value of a financial instrument, caused by fluctuations in interest rates and foreign exchange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factors could cause fluctuations in our results of operations and cash flows. We are exposed to the market risks described below.</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2"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72"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7"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As of March 31, 2015,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$2.3 million and $(2.3) million, respectively, over the next twelve months before the impact of interest rate derivatives.</w:t>
      </w:r>
    </w:p>
    <w:p>
      <w:pPr>
        <w:spacing w:after="0" w:line="68"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Through the use of an interest rate swap, we have reduced our exposure to interest rate changes with respect to 70% of the outstanding principal balance of Container Loan #1. Through the use of an interest rate cap, we have reduced our exposure to interest rate changes with respect to 50% of the outstanding principal balance of that portion of Container Loan #2 attributable to equipment which is subject to direct finance leases having a five year term (representing a notional amount of approximately $2.5 million at March 31, 2015).</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80" w:right="239" w:bottom="1440" w:gutter="0" w:footer="0" w:header="0"/>
        </w:sectPr>
      </w:pPr>
    </w:p>
    <w:bookmarkStart w:id="67" w:name="page68"/>
    <w:bookmarkEnd w:id="67"/>
    <w:p>
      <w:pPr>
        <w:ind w:right="60"/>
        <w:spacing w:after="0" w:line="261" w:lineRule="auto"/>
        <w:rPr>
          <w:sz w:val="20"/>
          <w:szCs w:val="20"/>
          <w:color w:val="auto"/>
        </w:rPr>
      </w:pPr>
      <w:r>
        <w:rPr>
          <w:rFonts w:ascii="Times New Roman" w:cs="Times New Roman" w:eastAsia="Times New Roman" w:hAnsi="Times New Roman"/>
          <w:sz w:val="18"/>
          <w:szCs w:val="18"/>
          <w:color w:val="auto"/>
        </w:rPr>
        <w:t>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U.S. Securities Exchange Act of 1934 (the “Exchange Act”)). Based upon that evaluation, the Company’s Chief Executive Officer and Chief Financial Officer have concluded that these disclosure controls and procedures were effective as of and for the period covered by this report. 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2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may be involved in litigation matters arising in the ordinary course of our business. Although we will be unable to predict with certainty the eventual outcome of any litigation, in the opinion of management, our legal proceedings are not expected to have a material adverse effect on our financial position or results of operations.</w:t>
      </w: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relating to our business, risks relating to our Manager, risks related to taxation and risks relating to our common shares. However, these categories do overlap and should not be considered exclusive.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1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5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8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demand for our assets is related to passenger and cargo traffic growth, which in turn is dependent on general business and economic conditions. We cannot assure you that the recent global economic downturn will not continue or worsen, which could have an adverse impact on passenger and cargo traffic levels and consequently our lessees’ and charterers’ business, which may in turn result in a significant reduction in revenues, earnings and cash flows, difficulties accessing capital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72" w:right="259" w:bottom="1440" w:gutter="0" w:footer="0" w:header="0"/>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t>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80" w:lineRule="exact"/>
        <w:rPr>
          <w:sz w:val="20"/>
          <w:szCs w:val="20"/>
          <w:color w:val="auto"/>
        </w:rPr>
      </w:pPr>
    </w:p>
    <w:p>
      <w:pPr>
        <w:ind w:right="2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51"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68" w:lineRule="exact"/>
        <w:rPr>
          <w:sz w:val="20"/>
          <w:szCs w:val="20"/>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demand for the type of assets that we purchase;</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market prices for commodities that our assets may serve;</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including war, prolonged armed conflict and acts of terrorism;</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communicable diseases and natural disasters;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credit;</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and bankruptcies of companies in the industries in which we operate, including our customers;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production levels and technological innovation;</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merging or exiting the industry or ceasing to produce certain asset types;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obsolescence of the assets that we own;</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railroad infrastructure may be damaged, including by flooding and railroad derailments;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supply levels of assets in the market due to the sale or merging of operating lessors; and</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reintroduction of previously unused or dormant assets into the industries in which we operate.</w:t>
      </w:r>
    </w:p>
    <w:p>
      <w:pPr>
        <w:spacing w:after="0" w:line="22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target returns will be achieved.</w:t>
      </w:r>
    </w:p>
    <w:p>
      <w:pPr>
        <w:spacing w:after="0" w:line="12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580" w:right="259" w:bottom="1440" w:gutter="0" w:footer="0" w:header="0"/>
        </w:sectPr>
      </w:pPr>
    </w:p>
    <w:bookmarkStart w:id="69" w:name="page70"/>
    <w:bookmarkEnd w:id="69"/>
    <w:p>
      <w:pPr>
        <w:ind w:right="560"/>
        <w:spacing w:after="0" w:line="266" w:lineRule="auto"/>
        <w:rPr>
          <w:sz w:val="20"/>
          <w:szCs w:val="20"/>
          <w:color w:val="auto"/>
        </w:rPr>
      </w:pPr>
      <w:r>
        <w:rPr>
          <w:rFonts w:ascii="Times New Roman" w:cs="Times New Roman" w:eastAsia="Times New Roman" w:hAnsi="Times New Roman"/>
          <w:sz w:val="18"/>
          <w:szCs w:val="18"/>
          <w:color w:val="auto"/>
        </w:rPr>
        <w:t>Numerous factors could prevent us from achieving similar returns, notwithstanding the performance of individual assets, including, without limitation, taxation and fees payable by us or our operating subsidiaries, including fees payable to our Manager and the incentive allocation payable to Fortress Transportation and Infrastructure Master GP LLC (the "General Partner").</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200" w:lineRule="exact"/>
        <w:rPr>
          <w:sz w:val="20"/>
          <w:szCs w:val="20"/>
          <w:color w:val="auto"/>
        </w:rPr>
      </w:pPr>
    </w:p>
    <w:p>
      <w:pPr>
        <w:spacing w:after="0" w:line="223"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51"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w:t>
      </w:r>
      <w:r>
        <w:rPr>
          <w:rFonts w:ascii="Times New Roman" w:cs="Times New Roman" w:eastAsia="Times New Roman" w:hAnsi="Times New Roman"/>
          <w:sz w:val="18"/>
          <w:szCs w:val="18"/>
          <w:i w:val="1"/>
          <w:iCs w:val="1"/>
          <w:color w:val="auto"/>
        </w:rPr>
        <w:t>“-The industries in which we operate have experienced periods of oversupply during which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rates and asset values have declined, particularly during the financial crisis, and any future oversupply could materially adversely affect our results of operations and cash flows” </w:t>
      </w:r>
      <w:r>
        <w:rPr>
          <w:rFonts w:ascii="Times New Roman" w:cs="Times New Roman" w:eastAsia="Times New Roman" w:hAnsi="Times New Roman"/>
          <w:sz w:val="18"/>
          <w:szCs w:val="18"/>
          <w:color w:val="auto"/>
        </w:rPr>
        <w:t>above. Any default by a material customer would have a significant impact on our profitability at the time the customer defaulted,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29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5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289" w:lineRule="exact"/>
        <w:rPr>
          <w:sz w:val="20"/>
          <w:szCs w:val="20"/>
          <w:color w:val="auto"/>
        </w:rPr>
      </w:pPr>
    </w:p>
    <w:p>
      <w:pPr>
        <w:ind w:right="28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ind w:firstLine="432"/>
        <w:spacing w:after="0" w:line="255" w:lineRule="auto"/>
        <w:rPr>
          <w:sz w:val="20"/>
          <w:szCs w:val="20"/>
          <w:color w:val="auto"/>
        </w:rPr>
      </w:pPr>
      <w:r>
        <w:rPr>
          <w:rFonts w:ascii="Times New Roman" w:cs="Times New Roman" w:eastAsia="Times New Roman" w:hAnsi="Times New Roman"/>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w:t>
      </w:r>
    </w:p>
    <w:p>
      <w:pPr>
        <w:spacing w:after="0" w:line="12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185"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284"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51" w:lineRule="exact"/>
        <w:rPr>
          <w:sz w:val="20"/>
          <w:szCs w:val="20"/>
          <w:color w:val="auto"/>
        </w:rPr>
      </w:pPr>
    </w:p>
    <w:p>
      <w:pPr>
        <w:ind w:right="180" w:firstLine="432"/>
        <w:spacing w:after="0" w:line="253" w:lineRule="auto"/>
        <w:rPr>
          <w:sz w:val="20"/>
          <w:szCs w:val="20"/>
          <w:color w:val="auto"/>
        </w:rPr>
      </w:pPr>
      <w:r>
        <w:rPr>
          <w:rFonts w:ascii="Times New Roman" w:cs="Times New Roman" w:eastAsia="Times New Roman" w:hAnsi="Times New Roman"/>
          <w:sz w:val="18"/>
          <w:szCs w:val="18"/>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our owned assets in various jurisdictions cannot be predicted. To the extent more of our business shifts to areas outside of the United States and Europe, such as China, it may become more difficult and expensive to enforce our rights and recover our assets.</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Certain liens may arise on our assets.</w:t>
      </w:r>
    </w:p>
    <w:p>
      <w:pPr>
        <w:spacing w:after="0" w:line="12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72" w:right="23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values of the assets that we purchase may fluctuate due to various factors.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or partnerships, and our Manager’s outsourcing of certain functions, may present unforeseen obstacles or costs.</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8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and costs of obsolescence of our assets.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89"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5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rail sector is subject to extensive laws, regulations and other requirements including, but not limited to, those relating to the environment, safety, employment, labor, immigration, minimum wages and overtime pay, health care and benefits, working conditions, public accessibility and other requirements. These laws and regulations are enforced by federal agencies including the Environmental Protection Agency, or EPA, the Department of Transportation, or DOT, the Occupational Safety and Health Act, or OSHA, the Federal Railroad Administration, or FRA, as well as numerous other state, local and federal agencies. Ongoing compliance with, or a violation of, these laws, regulations and other requirements could have a material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684" w:right="239" w:bottom="1440" w:gutter="0" w:footer="0" w:header="0"/>
        </w:sectPr>
      </w:pPr>
    </w:p>
    <w:bookmarkStart w:id="72" w:name="page73"/>
    <w:bookmarkEnd w:id="72"/>
    <w:p>
      <w:pPr>
        <w:ind w:firstLine="432"/>
        <w:spacing w:after="0" w:line="255" w:lineRule="auto"/>
        <w:rPr>
          <w:sz w:val="20"/>
          <w:szCs w:val="20"/>
          <w:color w:val="auto"/>
        </w:rPr>
      </w:pPr>
      <w:r>
        <w:rPr>
          <w:rFonts w:ascii="Times New Roman" w:cs="Times New Roman" w:eastAsia="Times New Roman" w:hAnsi="Times New Roman"/>
          <w:sz w:val="18"/>
          <w:szCs w:val="18"/>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185" w:lineRule="exact"/>
        <w:rPr>
          <w:sz w:val="20"/>
          <w:szCs w:val="20"/>
          <w:color w:val="auto"/>
        </w:rPr>
      </w:pPr>
    </w:p>
    <w:p>
      <w:pPr>
        <w:ind w:right="80" w:firstLine="432"/>
        <w:spacing w:after="0" w:line="274" w:lineRule="auto"/>
        <w:rPr>
          <w:sz w:val="20"/>
          <w:szCs w:val="20"/>
          <w:color w:val="auto"/>
        </w:rPr>
      </w:pPr>
      <w:r>
        <w:rPr>
          <w:rFonts w:ascii="Times New Roman" w:cs="Times New Roman" w:eastAsia="Times New Roman" w:hAnsi="Times New Roman"/>
          <w:sz w:val="17"/>
          <w:szCs w:val="17"/>
          <w:color w:val="auto"/>
        </w:rPr>
        <w:t>Legislation passed by Congress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17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Under various federal, state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89" w:lineRule="exact"/>
        <w:rPr>
          <w:sz w:val="20"/>
          <w:szCs w:val="20"/>
          <w:color w:val="auto"/>
        </w:rPr>
      </w:pPr>
    </w:p>
    <w:p>
      <w:pPr>
        <w:ind w:right="200" w:firstLine="432"/>
        <w:spacing w:after="0" w:line="273" w:lineRule="auto"/>
        <w:rPr>
          <w:sz w:val="20"/>
          <w:szCs w:val="20"/>
          <w:color w:val="auto"/>
        </w:rPr>
      </w:pPr>
      <w:r>
        <w:rPr>
          <w:rFonts w:ascii="Times New Roman" w:cs="Times New Roman" w:eastAsia="Times New Roman" w:hAnsi="Times New Roman"/>
          <w:sz w:val="17"/>
          <w:szCs w:val="17"/>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68" w:lineRule="exact"/>
        <w:rPr>
          <w:sz w:val="20"/>
          <w:szCs w:val="20"/>
          <w:color w:val="auto"/>
        </w:rPr>
      </w:pPr>
    </w:p>
    <w:p>
      <w:pPr>
        <w:ind w:right="3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5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2015, the DOT issued new production standards and operational controls for rail tank cars used in “High-Hazard Flammable Trains” (such as ethanol, crude oil and other flammable liquids). The new standard applies for all cars manufactured after October 1, 2015, and existing tank cars must be retrofitted within the next three to eight years. The operational controls applicable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0" w:right="239" w:bottom="1440" w:gutter="0" w:footer="0" w:header="0"/>
        </w:sectPr>
      </w:pPr>
    </w:p>
    <w:bookmarkStart w:id="73" w:name="page74"/>
    <w:bookmarkEnd w:id="73"/>
    <w:p>
      <w:pPr>
        <w:ind w:right="20"/>
        <w:spacing w:after="0" w:line="282" w:lineRule="auto"/>
        <w:rPr>
          <w:sz w:val="20"/>
          <w:szCs w:val="20"/>
          <w:color w:val="auto"/>
        </w:rPr>
      </w:pPr>
      <w:r>
        <w:rPr>
          <w:rFonts w:ascii="Times New Roman" w:cs="Times New Roman" w:eastAsia="Times New Roman" w:hAnsi="Times New Roman"/>
          <w:sz w:val="18"/>
          <w:szCs w:val="18"/>
          <w:color w:val="auto"/>
        </w:rPr>
        <w:t>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16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92" w:lineRule="exact"/>
        <w:rPr>
          <w:sz w:val="20"/>
          <w:szCs w:val="20"/>
          <w:color w:val="auto"/>
        </w:rPr>
      </w:pPr>
    </w:p>
    <w:p>
      <w:pPr>
        <w:ind w:right="1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5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For example, the 2011 earthquake in Japan and the related nuclear reactor accidents have caused the disruption of cargo shipping lines by closing off certain ports and requiring additional precautionary and safety measures at other ports around the world.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assets generally require routine maintenance, and we may be exposed to unforeseen maintenance costs.</w:t>
      </w:r>
    </w:p>
    <w:p>
      <w:pPr>
        <w:spacing w:after="0" w:line="12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29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5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364" w:right="279" w:bottom="1440" w:gutter="0" w:footer="0" w:header="0"/>
        </w:sectPr>
      </w:pPr>
    </w:p>
    <w:bookmarkStart w:id="74" w:name="page75"/>
    <w:bookmarkEnd w:id="74"/>
    <w:p>
      <w:pPr>
        <w:ind w:right="6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impossible to predict whether third parties will allege liability related to our purchase of the MM&amp;A assets out of bankruptcy, including possible claims related to the July 6, 2013 train derailment near Lac-Mégantic, Quebec.</w:t>
      </w:r>
    </w:p>
    <w:p>
      <w:pPr>
        <w:spacing w:after="0" w:line="51"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On July 6, 2013, prior to our ownership, a train carrying crude oil on the MM&amp;A line derailed near Lac-Mégantic, Quebec which resulted in fires that claimed the lives of 47 individuals (the “Incident”). Approximately 2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may arise in the future. No claims have been made or threatened against us as of March 31, 2015 and we do not anticipate any expenditures relating to environmental clean-up (including impacts to the Chaudière River) as a result of the Incident.</w:t>
      </w:r>
    </w:p>
    <w:p>
      <w:pPr>
        <w:spacing w:after="0" w:line="293" w:lineRule="exact"/>
        <w:rPr>
          <w:sz w:val="20"/>
          <w:szCs w:val="20"/>
          <w:color w:val="auto"/>
        </w:rPr>
      </w:pPr>
    </w:p>
    <w:p>
      <w:pPr>
        <w:ind w:right="3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51"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92" w:lineRule="exact"/>
        <w:rPr>
          <w:sz w:val="20"/>
          <w:szCs w:val="20"/>
          <w:color w:val="auto"/>
        </w:rPr>
      </w:pPr>
    </w:p>
    <w:p>
      <w:pPr>
        <w:ind w:right="5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5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93" w:lineRule="exact"/>
        <w:rPr>
          <w:sz w:val="20"/>
          <w:szCs w:val="20"/>
          <w:color w:val="auto"/>
        </w:rPr>
      </w:pPr>
    </w:p>
    <w:p>
      <w:pPr>
        <w:ind w:right="4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Shipping Containers segment is affected by the lack of an international title registry for containers, which increases the risk of ownership disputes.</w:t>
      </w:r>
    </w:p>
    <w:p>
      <w:pPr>
        <w:spacing w:after="0" w:line="5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84" w:right="239" w:bottom="1440" w:gutter="0" w:footer="0" w:header="0"/>
        </w:sectPr>
      </w:pPr>
    </w:p>
    <w:bookmarkStart w:id="75" w:name="page76"/>
    <w:bookmarkEnd w:id="75"/>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51"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We and our customers operate in various regions throughout the world. As a result, we may, directly or indirectly, be exposed to political and other uncertainties, including risks of:</w:t>
      </w:r>
    </w:p>
    <w:p>
      <w:pPr>
        <w:spacing w:after="0" w:line="27" w:lineRule="exact"/>
        <w:rPr>
          <w:sz w:val="20"/>
          <w:szCs w:val="20"/>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armed hostilities, war and civil disturbances;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piracy;</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governmental influence over many aspects of local economies;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nationalization or expropriation of property or equipment;</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repudiation, nullification, modification or renegotiation of contracts;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insurance coverage, such as war risk coverage, in certain areas;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monetary policy and foreign currency fluctuations and devaluations;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repatriate income or capital;</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associated with repairing and replacing equipment in remote locations;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quotas, wage and price controls, imposition of trade barriers;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sanctions or trade embargoes;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into or out of countries in which we operate;</w:t>
      </w:r>
    </w:p>
    <w:p>
      <w:pPr>
        <w:spacing w:after="0" w:line="90" w:lineRule="exact"/>
        <w:rPr>
          <w:rFonts w:ascii="Times New Roman" w:cs="Times New Roman" w:eastAsia="Times New Roman" w:hAnsi="Times New Roman"/>
          <w:sz w:val="18"/>
          <w:szCs w:val="18"/>
          <w:color w:val="auto"/>
        </w:rPr>
      </w:pPr>
    </w:p>
    <w:p>
      <w:pPr>
        <w:ind w:left="1300" w:hanging="887"/>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Treasury sanctions regulations restricting doing business with certain nations or specially designated nationals;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financial requirements to comply with foreign bureaucratic actions;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anti-corruption laws and regulations;</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taxation policies, including confiscatory taxation;</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government regulation and economic conditions that are beyond our control; and</w:t>
      </w:r>
    </w:p>
    <w:p>
      <w:pPr>
        <w:spacing w:after="0" w:line="90"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corruption.</w:t>
      </w:r>
    </w:p>
    <w:p>
      <w:pPr>
        <w:spacing w:after="0" w:line="225"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Any of these or other risks could adversely impact our customers’ international operations which could materially adversely impact our operating results and growth opportunities.</w:t>
      </w:r>
    </w:p>
    <w:p>
      <w:pPr>
        <w:spacing w:after="0" w:line="266" w:lineRule="exact"/>
        <w:rPr>
          <w:sz w:val="20"/>
          <w:szCs w:val="20"/>
          <w:color w:val="auto"/>
        </w:rPr>
      </w:pPr>
    </w:p>
    <w:p>
      <w:pPr>
        <w:ind w:right="5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51"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8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360" w:right="259" w:bottom="1440" w:gutter="0" w:footer="0" w:header="0"/>
        </w:sectPr>
      </w:pPr>
    </w:p>
    <w:bookmarkStart w:id="76" w:name="page77"/>
    <w:bookmarkEnd w:id="76"/>
    <w:p>
      <w:pPr>
        <w:ind w:right="40"/>
        <w:spacing w:after="0" w:line="261" w:lineRule="auto"/>
        <w:rPr>
          <w:sz w:val="20"/>
          <w:szCs w:val="20"/>
          <w:color w:val="auto"/>
        </w:rPr>
      </w:pPr>
      <w:r>
        <w:rPr>
          <w:rFonts w:ascii="Times New Roman" w:cs="Times New Roman" w:eastAsia="Times New Roman" w:hAnsi="Times New Roman"/>
          <w:sz w:val="18"/>
          <w:szCs w:val="18"/>
          <w:color w:val="auto"/>
        </w:rPr>
        <w:t>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80"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266" w:lineRule="exact"/>
        <w:rPr>
          <w:sz w:val="20"/>
          <w:szCs w:val="20"/>
          <w:color w:val="auto"/>
        </w:rPr>
      </w:pPr>
    </w:p>
    <w:p>
      <w:pPr>
        <w:ind w:right="1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5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87"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6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2" w:lineRule="exact"/>
        <w:rPr>
          <w:sz w:val="20"/>
          <w:szCs w:val="20"/>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market participants;</w:t>
      </w:r>
    </w:p>
    <w:p>
      <w:pPr>
        <w:spacing w:after="0" w:line="2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and/or industry trends, including pricing for the products or services offered by our operating businesses;</w:t>
      </w:r>
    </w:p>
    <w:p>
      <w:pPr>
        <w:spacing w:after="0" w:line="98" w:lineRule="exact"/>
        <w:rPr>
          <w:rFonts w:ascii="Times New Roman" w:cs="Times New Roman" w:eastAsia="Times New Roman" w:hAnsi="Times New Roman"/>
          <w:sz w:val="18"/>
          <w:szCs w:val="18"/>
          <w:color w:val="auto"/>
        </w:rPr>
      </w:pPr>
    </w:p>
    <w:p>
      <w:pPr>
        <w:ind w:left="880" w:right="60" w:hanging="359"/>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53"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deficiencies in the design or construction of development projects;</w:t>
      </w:r>
    </w:p>
    <w:p>
      <w:pPr>
        <w:spacing w:after="0" w:line="11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or geological problems;</w:t>
      </w:r>
    </w:p>
    <w:p>
      <w:pPr>
        <w:spacing w:after="0" w:line="11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construction and operating costs due to changes in the cost and availability of fuel, power, materials and supplies;</w:t>
      </w:r>
    </w:p>
    <w:p>
      <w:pPr>
        <w:spacing w:after="0" w:line="11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labor and equipment;</w:t>
      </w:r>
    </w:p>
    <w:p>
      <w:pPr>
        <w:spacing w:after="0" w:line="117" w:lineRule="exact"/>
        <w:rPr>
          <w:rFonts w:ascii="Times New Roman" w:cs="Times New Roman" w:eastAsia="Times New Roman" w:hAnsi="Times New Roman"/>
          <w:sz w:val="18"/>
          <w:szCs w:val="18"/>
          <w:color w:val="auto"/>
        </w:rPr>
      </w:pPr>
    </w:p>
    <w:p>
      <w:pPr>
        <w:ind w:left="880" w:right="180" w:hanging="359"/>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68" w:lineRule="exact"/>
        <w:rPr>
          <w:rFonts w:ascii="Times New Roman" w:cs="Times New Roman" w:eastAsia="Times New Roman" w:hAnsi="Times New Roman"/>
          <w:sz w:val="18"/>
          <w:szCs w:val="18"/>
          <w:color w:val="auto"/>
        </w:rPr>
      </w:pPr>
    </w:p>
    <w:p>
      <w:pPr>
        <w:ind w:left="880" w:right="20" w:hanging="359"/>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opposition from non-governmental organizations, environmental groups, local or other groups which may delay or prevent development activities;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80"/>
          </w:cols>
          <w:pgMar w:left="240" w:top="580" w:right="279" w:bottom="1440" w:gutter="0" w:footer="0" w:header="0"/>
        </w:sectPr>
      </w:pPr>
    </w:p>
    <w:bookmarkStart w:id="77" w:name="page78"/>
    <w:bookmarkEnd w:id="77"/>
    <w:p>
      <w:pPr>
        <w:ind w:left="880" w:hanging="359"/>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economic conditions;</w:t>
      </w:r>
    </w:p>
    <w:p>
      <w:pPr>
        <w:spacing w:after="0" w:line="11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 and</w:t>
      </w:r>
    </w:p>
    <w:p>
      <w:pPr>
        <w:spacing w:after="0" w:line="117"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 including catastrophes and adverse weather conditions.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 these factors could materially affect our business, financial condition, liquidity and results of operations.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could negatively impact our operations and our profitability and may expose us to liability and reputational damage.</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208"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5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will only make acquisitions identified by our Manager. As a result of this concentration of assets, our financial performance will depend on the performance of our Manager in identifying target assets, the availability of opportunities falling within our asset acquisition strategy and the performance of those underlying assets.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accounting rules could significantly impact how both we and our customers account for our leases.</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May 2013, the Financial Accounting Standards Board (“FASB”) issued a revised exposure draft, “Leases” (the “Lease ED”), which would replace the existing guidance in the Accounting Standards Codification 840 (“ASC 840”), Leases. Pursuant to the Lease ED, leases would be classified as either leases of property or leases of assets other than property. Leases of property will continue to use operating lease accounting. Leases of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our consolidated financial statements.</w:t>
      </w:r>
    </w:p>
    <w:p>
      <w:pPr>
        <w:spacing w:after="0" w:line="208" w:lineRule="exact"/>
        <w:rPr>
          <w:sz w:val="20"/>
          <w:szCs w:val="20"/>
          <w:color w:val="auto"/>
        </w:rPr>
      </w:pPr>
    </w:p>
    <w:p>
      <w:pPr>
        <w:ind w:right="3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5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72" w:right="25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capital would constrain our ability to grow our portfolio and to increase our revenues.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80"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54" w:lineRule="exact"/>
        <w:rPr>
          <w:sz w:val="20"/>
          <w:szCs w:val="20"/>
          <w:color w:val="auto"/>
        </w:rPr>
      </w:pPr>
    </w:p>
    <w:p>
      <w:pPr>
        <w:ind w:left="1060" w:hanging="647"/>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terms and maturities of our existing and future debt facilities;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new assets or refinance existing assets;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working capital needs and maintain adequate liquidity; and</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other growth initiatives.</w:t>
      </w:r>
    </w:p>
    <w:p>
      <w:pPr>
        <w:spacing w:after="0" w:line="22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w:t>
      </w:r>
      <w:r>
        <w:rPr>
          <w:rFonts w:ascii="Times New Roman" w:cs="Times New Roman" w:eastAsia="Times New Roman" w:hAnsi="Times New Roman"/>
          <w:sz w:val="18"/>
          <w:szCs w:val="18"/>
          <w:i w:val="1"/>
          <w:iCs w:val="1"/>
          <w:color w:val="auto"/>
        </w:rPr>
        <w:t>If we are deemed an “investment company” under the Investment Company Act of 1940, it could have a material adverse effect on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financial condition, results of operations and cash flows.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ind w:right="4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5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95" w:lineRule="exact"/>
        <w:rPr>
          <w:sz w:val="20"/>
          <w:szCs w:val="20"/>
          <w:color w:val="auto"/>
        </w:rPr>
      </w:pPr>
    </w:p>
    <w:p>
      <w:pPr>
        <w:ind w:right="3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5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684" w:right="239" w:bottom="1440" w:gutter="0" w:footer="0" w:header="0"/>
        </w:sectPr>
      </w:pPr>
    </w:p>
    <w:bookmarkStart w:id="79" w:name="page80"/>
    <w:bookmarkEnd w:id="79"/>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Manager</w:t>
      </w:r>
    </w:p>
    <w:p>
      <w:pPr>
        <w:spacing w:after="0" w:line="117" w:lineRule="exact"/>
        <w:rPr>
          <w:sz w:val="20"/>
          <w:szCs w:val="20"/>
          <w:color w:val="auto"/>
        </w:rPr>
      </w:pPr>
    </w:p>
    <w:p>
      <w:pPr>
        <w:ind w:right="4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51" w:lineRule="exact"/>
        <w:rPr>
          <w:sz w:val="20"/>
          <w:szCs w:val="20"/>
          <w:color w:val="auto"/>
        </w:rPr>
      </w:pPr>
    </w:p>
    <w:p>
      <w:pPr>
        <w:ind w:right="240" w:firstLine="432"/>
        <w:spacing w:after="0" w:line="272" w:lineRule="auto"/>
        <w:rPr>
          <w:sz w:val="20"/>
          <w:szCs w:val="20"/>
          <w:color w:val="auto"/>
        </w:rPr>
      </w:pPr>
      <w:r>
        <w:rPr>
          <w:rFonts w:ascii="Times New Roman" w:cs="Times New Roman" w:eastAsia="Times New Roman" w:hAnsi="Times New Roman"/>
          <w:sz w:val="17"/>
          <w:szCs w:val="17"/>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17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are conflicts of interest in our relationship with our Manager.</w:t>
      </w:r>
    </w:p>
    <w:p>
      <w:pPr>
        <w:spacing w:after="0" w:line="121"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Our Management Agreement, the Partnership Agreement and our operating agreement were not negotiated at arm’s-length, and their terms, including fees payable, may not be as favorable to us as if they had been negotiated with an unaffiliated third-party.</w:t>
      </w:r>
    </w:p>
    <w:p>
      <w:pPr>
        <w:spacing w:after="0" w:line="16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There are conflicts of interest inherent in our relationship with our Manager insofar as our Manager and its affiliates-including investment funds, private investment funds, or businesses managed by our Manager, including Seacastle Ships Holdings Inc., Trac Intermodal and Florida East Coast Railway, L.L.C.-invest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580" w:right="259" w:bottom="1440" w:gutter="0" w:footer="0" w:header="0"/>
        </w:sectPr>
      </w:pPr>
    </w:p>
    <w:bookmarkStart w:id="80" w:name="page81"/>
    <w:bookmarkEnd w:id="80"/>
    <w:p>
      <w:pPr>
        <w:ind w:right="620"/>
        <w:spacing w:after="0" w:line="282" w:lineRule="auto"/>
        <w:rPr>
          <w:sz w:val="20"/>
          <w:szCs w:val="20"/>
          <w:color w:val="auto"/>
        </w:rPr>
      </w:pPr>
      <w:r>
        <w:rPr>
          <w:rFonts w:ascii="Times New Roman" w:cs="Times New Roman" w:eastAsia="Times New Roman" w:hAnsi="Times New Roman"/>
          <w:sz w:val="18"/>
          <w:szCs w:val="18"/>
          <w:color w:val="auto"/>
        </w:rPr>
        <w:t>infrastructure assets. Fortress funds generally have a fee structure similar to ours, but the fees actually paid will vary depending on the size, terms and performance of each fund. Fortress had approximately $69.9 billion of assets under management as of March 31, 2015.</w:t>
      </w:r>
    </w:p>
    <w:p>
      <w:pPr>
        <w:spacing w:after="0" w:line="32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86"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It is possible that actual, potential or perceived conflicts could give rise to investor dissatisfaction, litigation or regulatory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9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293" w:lineRule="exact"/>
        <w:rPr>
          <w:sz w:val="20"/>
          <w:szCs w:val="20"/>
          <w:color w:val="auto"/>
        </w:rPr>
      </w:pPr>
    </w:p>
    <w:p>
      <w:pPr>
        <w:jc w:val="both"/>
        <w:ind w:right="34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67"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580"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Agreement. In addition, we may change our asset acquisition strategy, including our target asset classes, without a shareholder vote.</w:t>
      </w:r>
    </w:p>
    <w:p>
      <w:pPr>
        <w:spacing w:after="0" w:line="22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90"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51"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282"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5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ind w:right="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be subject to U.S. federal income tax on their share of our taxable income, regardless of whether they receive any cash dividends from us.</w:t>
      </w:r>
    </w:p>
    <w:p>
      <w:pPr>
        <w:spacing w:after="0" w:line="5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72"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Shareholders may not receive cash dividends equal to their allocable share of our net taxable income or even the tax liability that results from that income.</w:t>
      </w:r>
    </w:p>
    <w:p>
      <w:pPr>
        <w:spacing w:after="0" w:line="225"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a sale or other disposition of our common shares could be more or less than expected.</w:t>
      </w:r>
    </w:p>
    <w:p>
      <w:pPr>
        <w:spacing w:after="0" w:line="121"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292" w:lineRule="exact"/>
        <w:rPr>
          <w:sz w:val="20"/>
          <w:szCs w:val="20"/>
          <w:color w:val="auto"/>
        </w:rPr>
      </w:pPr>
    </w:p>
    <w:p>
      <w:pPr>
        <w:ind w:right="9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51"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338"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we are treated as a corporation for U.S. federal income tax purposes, the value of the shares could be adversely affected.</w:t>
      </w:r>
    </w:p>
    <w:p>
      <w:pPr>
        <w:spacing w:after="0" w:line="12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72" w:right="239" w:bottom="1440" w:gutter="0" w:footer="0" w:header="0"/>
        </w:sectPr>
      </w:pPr>
    </w:p>
    <w:bookmarkStart w:id="83" w:name="page84"/>
    <w:bookmarkEnd w:id="83"/>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18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288"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5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97" w:lineRule="exact"/>
        <w:rPr>
          <w:sz w:val="20"/>
          <w:szCs w:val="20"/>
          <w:color w:val="auto"/>
        </w:rPr>
      </w:pPr>
    </w:p>
    <w:p>
      <w:pPr>
        <w:ind w:right="2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51" w:lineRule="exact"/>
        <w:rPr>
          <w:sz w:val="20"/>
          <w:szCs w:val="20"/>
          <w:color w:val="auto"/>
        </w:rPr>
      </w:pPr>
    </w:p>
    <w:p>
      <w:pPr>
        <w:jc w:val="both"/>
        <w:ind w:right="140" w:firstLine="432"/>
        <w:spacing w:after="0" w:line="261" w:lineRule="auto"/>
        <w:rPr>
          <w:sz w:val="20"/>
          <w:szCs w:val="20"/>
          <w:color w:val="auto"/>
        </w:rPr>
      </w:pPr>
      <w:r>
        <w:rPr>
          <w:rFonts w:ascii="Times New Roman" w:cs="Times New Roman" w:eastAsia="Times New Roman" w:hAnsi="Times New Roman"/>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Tax-exempt shareholders may face certain adverse U.S. tax consequences from owning our common shares.</w:t>
      </w:r>
    </w:p>
    <w:p>
      <w:pPr>
        <w:spacing w:after="0" w:line="121"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may hold or acquire certain investments through an entity classified as a PFIC or CFC for U.S. federal income tax purposes.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80" w:right="239" w:bottom="1440" w:gutter="0" w:footer="0" w:header="0"/>
        </w:sectPr>
      </w:pPr>
    </w:p>
    <w:bookmarkStart w:id="84" w:name="page85"/>
    <w:bookmarkEnd w:id="84"/>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388"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7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may become subject to unanticipated tax liabilities that may have a material adverse effect on our results of operations.</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92" w:lineRule="exact"/>
        <w:rPr>
          <w:sz w:val="20"/>
          <w:szCs w:val="20"/>
          <w:color w:val="auto"/>
        </w:rPr>
      </w:pPr>
    </w:p>
    <w:p>
      <w:pPr>
        <w:ind w:right="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5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185"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72" w:right="239" w:bottom="1440" w:gutter="0" w:footer="0" w:header="0"/>
        </w:sectPr>
      </w:pPr>
    </w:p>
    <w:bookmarkStart w:id="85" w:name="page86"/>
    <w:bookmarkEnd w:id="85"/>
    <w:p>
      <w:pPr>
        <w:ind w:right="1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5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93" w:lineRule="exact"/>
        <w:rPr>
          <w:sz w:val="20"/>
          <w:szCs w:val="20"/>
          <w:color w:val="auto"/>
        </w:rPr>
      </w:pPr>
    </w:p>
    <w:p>
      <w:pPr>
        <w:ind w:right="240" w:firstLine="432"/>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2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180"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292"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exchange of 50% or more of our common shares within a 12-month period will result in our termination for U.S. federal income tax purposes.</w:t>
      </w:r>
    </w:p>
    <w:p>
      <w:pPr>
        <w:spacing w:after="0" w:line="51"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market for our shares will provide you with adequate liquidity.</w:t>
      </w:r>
    </w:p>
    <w:p>
      <w:pPr>
        <w:spacing w:after="0" w:line="121"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388" w:lineRule="exact"/>
        <w:rPr>
          <w:sz w:val="20"/>
          <w:szCs w:val="20"/>
          <w:color w:val="auto"/>
        </w:rPr>
      </w:pPr>
    </w:p>
    <w:p>
      <w:pPr>
        <w:ind w:right="10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shares may be volatile, which could result in rapid and substantial losses for our shareholders.</w:t>
      </w:r>
    </w:p>
    <w:p>
      <w:pPr>
        <w:spacing w:after="0" w:line="5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Even if an active trading market develops, 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576" w:right="2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future. Some of the factors that could negatively affect our share price or result in fluctuations in the price or trading volume of our common shares include:</w:t>
      </w:r>
    </w:p>
    <w:p>
      <w:pPr>
        <w:spacing w:after="0" w:line="117" w:lineRule="exact"/>
        <w:rPr>
          <w:sz w:val="20"/>
          <w:szCs w:val="20"/>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comparable companies;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investments, acquisitions or dispositions;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shares;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17"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markets and market sectors in which we participate.</w:t>
      </w:r>
    </w:p>
    <w:p>
      <w:pPr>
        <w:spacing w:after="0" w:line="225"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28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51"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8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290"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5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While we have begun the process of evaluating our internal controls, we are in the early phases of our review.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fail to implement the requirements of Section 404 in a timely manner, we may be subject to sanctions or investigation by regulatory authorities, including the SEC or the NYSE. Furthermore, if we discover a material weakness, our share price could decline and our ability to raise capital could be impaired.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472" w:right="27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in the future.</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34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 or issuances of shares of our common shares could adversely affect the market price of our common shares.</w:t>
      </w:r>
    </w:p>
    <w:p>
      <w:pPr>
        <w:spacing w:after="0" w:line="121"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7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and our executive officers, directors, Initial Shareholders and the General Partner have agreed that, for a period of 180 days from May 14, 2015, we and they will not, without the prior written consent of the representatives of the underwriters in our initial public offering, dispose of or hedge any shares or any securities convertible into or exchangeable for our common shares. The underwriters, in their sole discretion, may release any of the securities subject to these lock-up agreements at any time, which, in the case of officers and directors, shall be with notice. If the restrictions under the lock-up agreements are waived or upon the expiration of the lock-up agreements, a substantial amount of our common shares may become available for sale into the market, subject to applicable law, which could reduce the market price for our common shares.</w:t>
      </w:r>
    </w:p>
    <w:p>
      <w:pPr>
        <w:spacing w:after="0" w:line="292"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6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684" w:right="239" w:bottom="1440" w:gutter="0" w:footer="0" w:header="0"/>
        </w:sectPr>
      </w:pPr>
    </w:p>
    <w:bookmarkStart w:id="88" w:name="page89"/>
    <w:bookmarkEnd w:id="88"/>
    <w:p>
      <w:pPr>
        <w:ind w:right="60"/>
        <w:spacing w:after="0" w:line="282" w:lineRule="auto"/>
        <w:rPr>
          <w:sz w:val="20"/>
          <w:szCs w:val="20"/>
          <w:color w:val="auto"/>
        </w:rPr>
      </w:pPr>
      <w:r>
        <w:rPr>
          <w:rFonts w:ascii="Times New Roman" w:cs="Times New Roman" w:eastAsia="Times New Roman" w:hAnsi="Times New Roman"/>
          <w:sz w:val="18"/>
          <w:szCs w:val="18"/>
          <w:color w:val="auto"/>
        </w:rPr>
        <w:t>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266"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5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While we currently intend to pay regular quarterly dividends to our shareholders, we may change our dividend policy at any time.</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50-60% of funds available for distribution, with remaining amounts used primarily to fund our future acquisitions and opportunities. As a public company, there can be no assurance that we will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For example, the Jefferson Terminal Credit Agreement (as herein defined) contains a covenant that limits its ability to pay dividends to us. See “Management’s Discussion and Analysis of Financial Condition and Results of Operations-Debt Obligations” for a discussion of the restrictions on distributions contained in the Jefferson Terminal Credit Agreement.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operating agreement and Delaware law could delay or prevent a change in control.</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00" w:lineRule="exact"/>
        <w:rPr>
          <w:sz w:val="20"/>
          <w:szCs w:val="20"/>
          <w:color w:val="auto"/>
        </w:rPr>
      </w:pPr>
    </w:p>
    <w:p>
      <w:pPr>
        <w:spacing w:after="0" w:line="227" w:lineRule="exact"/>
        <w:rPr>
          <w:sz w:val="20"/>
          <w:szCs w:val="20"/>
          <w:color w:val="auto"/>
        </w:rPr>
      </w:pPr>
    </w:p>
    <w:p>
      <w:pPr>
        <w:ind w:right="2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5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472" w:right="29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will incur additional costs and face increased demands on our management.</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a newly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added independent directors and created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293"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5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684" w:right="259" w:bottom="1440" w:gutter="0" w:footer="0" w:header="0"/>
        </w:sectPr>
      </w:pPr>
    </w:p>
    <w:bookmarkStart w:id="90" w:name="page91"/>
    <w:bookmarkEnd w:id="9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FORTRESS TRANSPORTATION AND INFRASTRUCTURE INVESTORS LLC</w:t>
      </w:r>
    </w:p>
    <w:p>
      <w:pPr>
        <w:spacing w:after="0" w:line="387"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Joseph P. Adams, Jr.</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June 3,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Jonathan G. Atkeson</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June 3,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Scott Christopher</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June 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240" w:top="576"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94"/>
        </w:trPr>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5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0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6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Formation (incorporated by reference to Amendment No. 4 to the Registrant's Registration Statement</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S-1, filed April 30,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 Fortress Transportation and Infrastructure Investors</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(incorporated by reference to the Registrant's Report on Form 8-K, filed on May 21,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Partnership Agreement of Fortress Worldwide Transportation and Infrastructure</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Partnership (incorporated by reference to the Registrant's Report on Form 8-K, filed on May 21,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Advisory Agreement, dated as of May 20, 2015, between Fortress Transportation and</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Investors LLC and FIG LLC (incorporated by reference to the Registrant's Report on Form 8-K, filed</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May 21,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Fortress Transportation and Infrastructure Investors LLC Nonqualified Stock Option and Incentive Award Plan</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the Registrant's Report on Form 8-K, filed on May 21,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dated as of May 20, 2015, among Fortress Transportation and Infrastructure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Investors LLC, FIG LLC and Fortress Transportation and Infrastructure Master GP LLC (incorporated by reference</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Report on Form 8-K, filed on May 21,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director and officer indemnification agreement of Fortress Transportation and Infrastructure Investors LLC</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Amendment No. 4 to the Registrant's Registration Statement on Form S-1, filed April</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August 27, 2014, among Morgan Stanley Senior Funding, Inc., as administrative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Jefferson Gulf Coast Energy Partners LLC and the other lenders party thereto (incorporated by reference to</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to the Registrant's Registration Statement on Form S-1, filed April 30,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 (incorporated by reference to Amendment No. 4 to the Registrant's Registration</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30, 2015).</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as adopted pursuant to Section 302 of</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34"/>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702"/>
        </w:trPr>
        <w:tc>
          <w:tcPr>
            <w:tcW w:w="200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92</w:t>
            </w:r>
          </w:p>
        </w:tc>
      </w:tr>
    </w:tbl>
    <w:p>
      <w:pPr>
        <w:sectPr>
          <w:pgSz w:w="11900" w:h="16838" w:orient="portrait"/>
          <w:cols w:equalWidth="0" w:num="1">
            <w:col w:w="10540"/>
          </w:cols>
          <w:pgMar w:left="700" w:top="576" w:right="6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Fortress Transportation and Infrastructure Investors LLC;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760" w:firstLine="8"/>
        <w:spacing w:after="0" w:line="282" w:lineRule="auto"/>
        <w:tabs>
          <w:tab w:leader="none" w:pos="3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have:</w:t>
      </w:r>
    </w:p>
    <w:p>
      <w:pPr>
        <w:spacing w:after="0" w:line="107" w:lineRule="exact"/>
        <w:rPr>
          <w:rFonts w:ascii="Times New Roman" w:cs="Times New Roman" w:eastAsia="Times New Roman" w:hAnsi="Times New Roman"/>
          <w:sz w:val="18"/>
          <w:szCs w:val="18"/>
          <w:color w:val="auto"/>
        </w:rPr>
      </w:pPr>
    </w:p>
    <w:p>
      <w:pPr>
        <w:ind w:right="240" w:firstLine="656"/>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71" w:lineRule="exact"/>
        <w:rPr>
          <w:rFonts w:ascii="Times New Roman" w:cs="Times New Roman" w:eastAsia="Times New Roman" w:hAnsi="Times New Roman"/>
          <w:sz w:val="18"/>
          <w:szCs w:val="18"/>
          <w:color w:val="auto"/>
        </w:rPr>
      </w:pPr>
    </w:p>
    <w:p>
      <w:pPr>
        <w:ind w:right="740" w:firstLine="656"/>
        <w:spacing w:after="0" w:line="282"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9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right="440" w:firstLine="8"/>
        <w:spacing w:after="0" w:line="282" w:lineRule="auto"/>
        <w:tabs>
          <w:tab w:leader="none" w:pos="3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9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00" w:firstLine="656"/>
        <w:spacing w:after="0" w:line="282"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June 3, 2015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576"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G. Atkeson, certify that:</w:t>
      </w:r>
    </w:p>
    <w:p>
      <w:pPr>
        <w:spacing w:after="0" w:line="225"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Fortress Transportation and Infrastructure Investors LLC;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760" w:firstLine="8"/>
        <w:spacing w:after="0" w:line="282" w:lineRule="auto"/>
        <w:tabs>
          <w:tab w:leader="none" w:pos="3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have:</w:t>
      </w:r>
    </w:p>
    <w:p>
      <w:pPr>
        <w:spacing w:after="0" w:line="107" w:lineRule="exact"/>
        <w:rPr>
          <w:rFonts w:ascii="Times New Roman" w:cs="Times New Roman" w:eastAsia="Times New Roman" w:hAnsi="Times New Roman"/>
          <w:sz w:val="18"/>
          <w:szCs w:val="18"/>
          <w:color w:val="auto"/>
        </w:rPr>
      </w:pPr>
    </w:p>
    <w:p>
      <w:pPr>
        <w:ind w:right="240" w:firstLine="656"/>
        <w:spacing w:after="0" w:line="266"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71" w:lineRule="exact"/>
        <w:rPr>
          <w:rFonts w:ascii="Times New Roman" w:cs="Times New Roman" w:eastAsia="Times New Roman" w:hAnsi="Times New Roman"/>
          <w:sz w:val="18"/>
          <w:szCs w:val="18"/>
          <w:color w:val="auto"/>
        </w:rPr>
      </w:pPr>
    </w:p>
    <w:p>
      <w:pPr>
        <w:ind w:right="740" w:firstLine="656"/>
        <w:spacing w:after="0" w:line="282"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9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right="440" w:firstLine="8"/>
        <w:spacing w:after="0" w:line="282" w:lineRule="auto"/>
        <w:tabs>
          <w:tab w:leader="none" w:pos="3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95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00" w:firstLine="656"/>
        <w:spacing w:after="0" w:line="282"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June 3, 2015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G. Atkeson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G. Atkeson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576" w:right="2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Fortress Transportation and Infrastructure Investors LLC (the “Company”) for the quarterly period ended March 31, 2015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3, 2015</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76" w:right="25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Fortress Transportation and Infrastructure Investors LLC (the “Company”) for the quarterly period ended March 31, 2015 as filed with the Securities and Exchange Commission on the date hereof (the “Report”), Jonathan G. Atkeson, as Chief Financial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Jonathan G. Atkeson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3, 2015</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End of Filing</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3"/>
    </w:lvl>
  </w:abstractNum>
  <w:abstractNum w:abstractNumId="4">
    <w:nsid w:val="B03E0C6"/>
    <w:multiLevelType w:val="hybridMultilevel"/>
    <w:lvl w:ilvl="0">
      <w:lvlJc w:val="left"/>
      <w:lvlText w:val="%1."/>
      <w:numFmt w:val="decimal"/>
      <w:start w:val="4"/>
    </w:lvl>
  </w:abstractNum>
  <w:abstractNum w:abstractNumId="5">
    <w:nsid w:val="189A769B"/>
    <w:multiLevelType w:val="hybridMultilevel"/>
    <w:lvl w:ilvl="0">
      <w:lvlJc w:val="left"/>
      <w:lvlText w:val="%1."/>
      <w:numFmt w:val="decimal"/>
      <w:start w:val="5"/>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decimal"/>
      <w:start w:val="7"/>
    </w:lvl>
  </w:abstractNum>
  <w:abstractNum w:abstractNumId="8">
    <w:nsid w:val="2CA88611"/>
    <w:multiLevelType w:val="hybridMultilevel"/>
    <w:lvl w:ilvl="0">
      <w:lvlJc w:val="left"/>
      <w:lvlText w:val="%1."/>
      <w:numFmt w:val="decimal"/>
      <w:start w:val="8"/>
    </w:lvl>
  </w:abstractNum>
  <w:abstractNum w:abstractNumId="9">
    <w:nsid w:val="836C40E"/>
    <w:multiLevelType w:val="hybridMultilevel"/>
    <w:lvl w:ilvl="0">
      <w:lvlJc w:val="left"/>
      <w:lvlText w:val="%1."/>
      <w:numFmt w:val="decimal"/>
      <w:start w:val="10"/>
    </w:lvl>
    <w:lvl w:ilvl="1">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1."/>
      <w:numFmt w:val="decimal"/>
      <w:start w:val="15"/>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decimal"/>
      <w:start w:val="16"/>
    </w:lvl>
  </w:abstractNum>
  <w:abstractNum w:abstractNumId="18">
    <w:nsid w:val="4516DDE9"/>
    <w:multiLevelType w:val="hybridMultilevel"/>
    <w:lvl w:ilvl="0">
      <w:lvlJc w:val="left"/>
      <w:lvlText w:val="%1."/>
      <w:numFmt w:val="decimal"/>
      <w:start w:val="17"/>
    </w:lvl>
  </w:abstractNum>
  <w:abstractNum w:abstractNumId="19">
    <w:nsid w:val="3006C83E"/>
    <w:multiLevelType w:val="hybridMultilevel"/>
    <w:lvl w:ilvl="0">
      <w:lvlJc w:val="left"/>
      <w:lvlText w:val="%1."/>
      <w:numFmt w:val="decimal"/>
      <w:start w:val="18"/>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3"/>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Roman"/>
      <w:start w:val="5"/>
    </w:lvl>
    <w:lvl w:ilvl="1">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lvl w:ilvl="1">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lowerLetter"/>
      <w:start w:val="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2019-12-29T16:36:16Z</dcterms:created>
  <dcterms:modified xsi:type="dcterms:W3CDTF">2019-12-29T16:36:16Z</dcterms:modified>
</cp:coreProperties>
</file>