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0" w:lineRule="exact"/>
        <w:rPr>
          <w:sz w:val="24"/>
          <w:szCs w:val="24"/>
          <w:color w:val="auto"/>
        </w:rPr>
      </w:pPr>
    </w:p>
    <w:p>
      <w:pPr>
        <w:spacing w:after="0" w:line="365" w:lineRule="exact"/>
        <w:rPr>
          <w:sz w:val="24"/>
          <w:szCs w:val="24"/>
          <w:color w:val="auto"/>
        </w:rPr>
      </w:pPr>
    </w:p>
    <w:p>
      <w:pPr>
        <w:ind w:left="1860" w:hanging="189"/>
        <w:spacing w:after="0"/>
        <w:tabs>
          <w:tab w:leader="none" w:pos="1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2018</w:t>
      </w: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left="4180" w:right="1480" w:hanging="2693"/>
        <w:spacing w:after="0" w:line="286" w:lineRule="auto"/>
        <w:tabs>
          <w:tab w:leader="none" w:pos="168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92075</wp:posOffset>
            </wp:positionV>
            <wp:extent cx="138049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280" w:type="dxa"/>
            <w:vAlign w:val="bottom"/>
          </w:tcPr>
          <w:p>
            <w:pPr>
              <w:spacing w:after="0"/>
              <w:rPr>
                <w:sz w:val="19"/>
                <w:szCs w:val="19"/>
                <w:color w:val="auto"/>
              </w:rPr>
            </w:pPr>
          </w:p>
        </w:tc>
        <w:tc>
          <w:tcPr>
            <w:tcW w:w="5200" w:type="dxa"/>
            <w:vAlign w:val="bottom"/>
            <w:tcBorders>
              <w:bottom w:val="single" w:sz="8" w:color="auto"/>
            </w:tcBorders>
          </w:tcPr>
          <w:p>
            <w:pPr>
              <w:jc w:val="right"/>
              <w:ind w:right="2119"/>
              <w:spacing w:after="0"/>
              <w:rPr>
                <w:sz w:val="20"/>
                <w:szCs w:val="20"/>
                <w:color w:val="auto"/>
              </w:rPr>
            </w:pPr>
            <w:r>
              <w:rPr>
                <w:rFonts w:ascii="Arial" w:cs="Arial" w:eastAsia="Arial" w:hAnsi="Arial"/>
                <w:sz w:val="16"/>
                <w:szCs w:val="16"/>
                <w:b w:val="1"/>
                <w:bCs w:val="1"/>
                <w:color w:val="auto"/>
              </w:rPr>
              <w:t>32-0434238</w:t>
            </w:r>
          </w:p>
        </w:tc>
      </w:tr>
      <w:tr>
        <w:trPr>
          <w:trHeight w:val="224"/>
        </w:trPr>
        <w:tc>
          <w:tcPr>
            <w:tcW w:w="6200" w:type="dxa"/>
            <w:vAlign w:val="bottom"/>
            <w:gridSpan w:val="2"/>
          </w:tcPr>
          <w:p>
            <w:pPr>
              <w:jc w:val="center"/>
              <w:ind w:right="300"/>
              <w:spacing w:after="0"/>
              <w:rPr>
                <w:sz w:val="20"/>
                <w:szCs w:val="20"/>
                <w:color w:val="auto"/>
              </w:rPr>
            </w:pPr>
            <w:r>
              <w:rPr>
                <w:rFonts w:ascii="Arial" w:cs="Arial" w:eastAsia="Arial" w:hAnsi="Arial"/>
                <w:sz w:val="16"/>
                <w:szCs w:val="16"/>
                <w:color w:val="auto"/>
              </w:rPr>
              <w:t>(State or other jurisdiction of incorporation or organization)</w:t>
            </w:r>
          </w:p>
        </w:tc>
        <w:tc>
          <w:tcPr>
            <w:tcW w:w="52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64"/>
        </w:trPr>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1345 Avenue of the Americas, 45th Floor, New York, NY</w:t>
            </w:r>
          </w:p>
        </w:tc>
        <w:tc>
          <w:tcPr>
            <w:tcW w:w="280" w:type="dxa"/>
            <w:vAlign w:val="bottom"/>
          </w:tcPr>
          <w:p>
            <w:pPr>
              <w:spacing w:after="0"/>
              <w:rPr>
                <w:sz w:val="24"/>
                <w:szCs w:val="24"/>
                <w:color w:val="auto"/>
              </w:rPr>
            </w:pPr>
          </w:p>
        </w:tc>
        <w:tc>
          <w:tcPr>
            <w:tcW w:w="5200" w:type="dxa"/>
            <w:vAlign w:val="bottom"/>
            <w:tcBorders>
              <w:bottom w:val="single" w:sz="8" w:color="auto"/>
            </w:tcBorders>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24"/>
        </w:trPr>
        <w:tc>
          <w:tcPr>
            <w:tcW w:w="6200" w:type="dxa"/>
            <w:vAlign w:val="bottom"/>
            <w:gridSpan w:val="2"/>
          </w:tcPr>
          <w:p>
            <w:pPr>
              <w:jc w:val="center"/>
              <w:ind w:right="300"/>
              <w:spacing w:after="0"/>
              <w:rPr>
                <w:sz w:val="20"/>
                <w:szCs w:val="20"/>
                <w:color w:val="auto"/>
              </w:rPr>
            </w:pPr>
            <w:r>
              <w:rPr>
                <w:rFonts w:ascii="Arial" w:cs="Arial" w:eastAsia="Arial" w:hAnsi="Arial"/>
                <w:sz w:val="16"/>
                <w:szCs w:val="16"/>
                <w:color w:val="auto"/>
              </w:rPr>
              <w:t>(Address of principal executive offices)</w:t>
            </w:r>
          </w:p>
        </w:tc>
        <w:tc>
          <w:tcPr>
            <w:tcW w:w="52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960" w:type="dxa"/>
            <w:vAlign w:val="bottom"/>
          </w:tcPr>
          <w:p>
            <w:pPr>
              <w:spacing w:after="0"/>
              <w:rPr>
                <w:sz w:val="19"/>
                <w:szCs w:val="19"/>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224"/>
        </w:trPr>
        <w:tc>
          <w:tcPr>
            <w:tcW w:w="6200" w:type="dxa"/>
            <w:vAlign w:val="bottom"/>
            <w:gridSpan w:val="2"/>
          </w:tcPr>
          <w:p>
            <w:pPr>
              <w:jc w:val="center"/>
              <w:ind w:right="960"/>
              <w:spacing w:after="0"/>
              <w:rPr>
                <w:sz w:val="20"/>
                <w:szCs w:val="20"/>
                <w:color w:val="auto"/>
              </w:rPr>
            </w:pPr>
            <w:r>
              <w:rPr>
                <w:rFonts w:ascii="Arial" w:cs="Arial" w:eastAsia="Arial" w:hAnsi="Arial"/>
                <w:sz w:val="16"/>
                <w:szCs w:val="16"/>
                <w:color w:val="auto"/>
              </w:rPr>
              <w:t>Class A common shares</w:t>
            </w:r>
          </w:p>
        </w:tc>
        <w:tc>
          <w:tcPr>
            <w:tcW w:w="5200" w:type="dxa"/>
            <w:vAlign w:val="bottom"/>
          </w:tcPr>
          <w:p>
            <w:pPr>
              <w:jc w:val="center"/>
              <w:spacing w:after="0"/>
              <w:rPr>
                <w:sz w:val="20"/>
                <w:szCs w:val="20"/>
                <w:color w:val="auto"/>
              </w:rPr>
            </w:pPr>
            <w:r>
              <w:rPr>
                <w:rFonts w:ascii="Arial" w:cs="Arial" w:eastAsia="Arial" w:hAnsi="Arial"/>
                <w:sz w:val="16"/>
                <w:szCs w:val="16"/>
                <w:color w:val="auto"/>
              </w:rPr>
              <w:t>New York Stock Exchange (NYSE)</w:t>
            </w:r>
          </w:p>
        </w:tc>
      </w:tr>
    </w:tbl>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7" w:lineRule="exact"/>
        <w:rPr>
          <w:sz w:val="24"/>
          <w:szCs w:val="24"/>
          <w:color w:val="auto"/>
        </w:rPr>
      </w:pPr>
    </w:p>
    <w:p>
      <w:pPr>
        <w:ind w:right="1960"/>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2"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p>
      <w:pPr>
        <w:ind w:left="2160"/>
        <w:spacing w:after="0" w:line="161" w:lineRule="exact"/>
        <w:tabs>
          <w:tab w:leader="none" w:pos="80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2180"/>
        <w:spacing w:after="0" w:line="161" w:lineRule="exact"/>
        <w:tabs>
          <w:tab w:leader="none" w:pos="768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19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2018 was $1.5 billion.</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There were 84,398,512 common shares representing limited liability company interests outstanding at February 26, 2019.</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8"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Portions of the registrant's definitive proxy statement for the registrant's 2019 annual meeting, to be filed within 120 days after the close of the registrant's fiscal year, are incorporated by reference into Part III of this Annual Report on Form 10-K.</w:t>
      </w:r>
    </w:p>
    <w:p>
      <w:pPr>
        <w:sectPr>
          <w:pgSz w:w="11900" w:h="16838" w:orient="portrait"/>
          <w:cols w:equalWidth="0" w:num="1">
            <w:col w:w="11420"/>
          </w:cols>
          <w:pgMar w:left="240" w:top="878" w:right="239" w:bottom="1440" w:gutter="0" w:footer="0" w:header="0"/>
        </w:sect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878"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7A.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Item 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9A.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9B.</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Item 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14.</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Item 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Item 16.</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86"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00497F"/>
        </w:rPr>
        <w:t>INDEX TO FORM 10-K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jc w:val="center"/>
              <w:ind w:left="639"/>
              <w:spacing w:after="0"/>
              <w:rPr>
                <w:sz w:val="20"/>
                <w:szCs w:val="20"/>
                <w:color w:val="auto"/>
              </w:rPr>
            </w:pPr>
            <w:r>
              <w:rPr>
                <w:rFonts w:ascii="Arial" w:cs="Arial" w:eastAsia="Arial" w:hAnsi="Arial"/>
                <w:sz w:val="16"/>
                <w:szCs w:val="16"/>
                <w:b w:val="1"/>
                <w:bCs w:val="1"/>
                <w:color w:val="00497F"/>
                <w:w w:val="99"/>
              </w:rPr>
              <w:t>PART I</w:t>
            </w:r>
          </w:p>
        </w:tc>
        <w:tc>
          <w:tcPr>
            <w:tcW w:w="1020" w:type="dxa"/>
            <w:vAlign w:val="bottom"/>
          </w:tcPr>
          <w:p>
            <w:pPr>
              <w:spacing w:after="0"/>
              <w:rPr>
                <w:sz w:val="18"/>
                <w:szCs w:val="18"/>
                <w:color w:val="auto"/>
              </w:rPr>
            </w:pPr>
          </w:p>
        </w:tc>
      </w:tr>
      <w:tr>
        <w:trPr>
          <w:trHeight w:val="230"/>
        </w:trPr>
        <w:tc>
          <w:tcPr>
            <w:tcW w:w="9080" w:type="dxa"/>
            <w:vAlign w:val="bottom"/>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Forward-Looking Statements</w:t>
              </w:r>
            </w:hyperlink>
          </w:p>
        </w:tc>
        <w:tc>
          <w:tcPr>
            <w:tcW w:w="1020" w:type="dxa"/>
            <w:vAlign w:val="bottom"/>
          </w:tcPr>
          <w:p>
            <w:pPr>
              <w:ind w:left="76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43"/>
        </w:trPr>
        <w:tc>
          <w:tcPr>
            <w:tcW w:w="9080" w:type="dxa"/>
            <w:vAlign w:val="bottom"/>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020" w:type="dxa"/>
            <w:vAlign w:val="bottom"/>
          </w:tcPr>
          <w:p>
            <w:pPr>
              <w:ind w:left="76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43"/>
        </w:trPr>
        <w:tc>
          <w:tcPr>
            <w:tcW w:w="9080" w:type="dxa"/>
            <w:vAlign w:val="bottom"/>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Risk Factors</w:t>
              </w:r>
            </w:hyperlink>
          </w:p>
        </w:tc>
        <w:tc>
          <w:tcPr>
            <w:tcW w:w="1020" w:type="dxa"/>
            <w:vAlign w:val="bottom"/>
          </w:tcPr>
          <w:p>
            <w:pPr>
              <w:ind w:left="76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r>
      <w:tr>
        <w:trPr>
          <w:trHeight w:val="243"/>
        </w:trPr>
        <w:tc>
          <w:tcPr>
            <w:tcW w:w="9080" w:type="dxa"/>
            <w:vAlign w:val="bottom"/>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Unresolved Staff Comments</w:t>
              </w:r>
            </w:hyperlink>
          </w:p>
        </w:tc>
        <w:tc>
          <w:tcPr>
            <w:tcW w:w="1020" w:type="dxa"/>
            <w:vAlign w:val="bottom"/>
          </w:tcPr>
          <w:p>
            <w:pPr>
              <w:ind w:left="76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43"/>
        </w:trPr>
        <w:tc>
          <w:tcPr>
            <w:tcW w:w="9080" w:type="dxa"/>
            <w:vAlign w:val="bottom"/>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Properties</w:t>
              </w:r>
            </w:hyperlink>
          </w:p>
        </w:tc>
        <w:tc>
          <w:tcPr>
            <w:tcW w:w="1020" w:type="dxa"/>
            <w:vAlign w:val="bottom"/>
          </w:tcPr>
          <w:p>
            <w:pPr>
              <w:ind w:left="76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43"/>
        </w:trPr>
        <w:tc>
          <w:tcPr>
            <w:tcW w:w="9080" w:type="dxa"/>
            <w:vAlign w:val="bottom"/>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1020" w:type="dxa"/>
            <w:vAlign w:val="bottom"/>
          </w:tcPr>
          <w:p>
            <w:pPr>
              <w:ind w:left="76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43"/>
        </w:trPr>
        <w:tc>
          <w:tcPr>
            <w:tcW w:w="9080" w:type="dxa"/>
            <w:vAlign w:val="bottom"/>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Mine Safety Disclosures</w:t>
              </w:r>
            </w:hyperlink>
          </w:p>
        </w:tc>
        <w:tc>
          <w:tcPr>
            <w:tcW w:w="1020" w:type="dxa"/>
            <w:vAlign w:val="bottom"/>
          </w:tcPr>
          <w:p>
            <w:pPr>
              <w:ind w:left="76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30"/>
        </w:trPr>
        <w:tc>
          <w:tcPr>
            <w:tcW w:w="9080" w:type="dxa"/>
            <w:vAlign w:val="bottom"/>
          </w:tcPr>
          <w:p>
            <w:pPr>
              <w:jc w:val="center"/>
              <w:ind w:left="639"/>
              <w:spacing w:after="0"/>
              <w:rPr>
                <w:sz w:val="20"/>
                <w:szCs w:val="20"/>
                <w:color w:val="auto"/>
              </w:rPr>
            </w:pPr>
            <w:r>
              <w:rPr>
                <w:rFonts w:ascii="Arial" w:cs="Arial" w:eastAsia="Arial" w:hAnsi="Arial"/>
                <w:sz w:val="16"/>
                <w:szCs w:val="16"/>
                <w:b w:val="1"/>
                <w:bCs w:val="1"/>
                <w:color w:val="00497F"/>
                <w:w w:val="98"/>
              </w:rPr>
              <w:t>PART II</w:t>
            </w:r>
          </w:p>
        </w:tc>
        <w:tc>
          <w:tcPr>
            <w:tcW w:w="1020" w:type="dxa"/>
            <w:vAlign w:val="bottom"/>
          </w:tcPr>
          <w:p>
            <w:pPr>
              <w:spacing w:after="0"/>
              <w:rPr>
                <w:sz w:val="19"/>
                <w:szCs w:val="19"/>
                <w:color w:val="auto"/>
              </w:rPr>
            </w:pPr>
          </w:p>
        </w:tc>
      </w:tr>
      <w:tr>
        <w:trPr>
          <w:trHeight w:val="257"/>
        </w:trPr>
        <w:tc>
          <w:tcPr>
            <w:tcW w:w="9080" w:type="dxa"/>
            <w:vAlign w:val="bottom"/>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Market for Registrant’s Common Equity, Related Stockholder Matters and Issuer Purchases of Equity Securities</w:t>
              </w:r>
            </w:hyperlink>
          </w:p>
        </w:tc>
        <w:tc>
          <w:tcPr>
            <w:tcW w:w="1020" w:type="dxa"/>
            <w:vAlign w:val="bottom"/>
          </w:tcPr>
          <w:p>
            <w:pPr>
              <w:ind w:left="760"/>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r>
      <w:tr>
        <w:trPr>
          <w:trHeight w:val="243"/>
        </w:trPr>
        <w:tc>
          <w:tcPr>
            <w:tcW w:w="9080" w:type="dxa"/>
            <w:vAlign w:val="bottom"/>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Selected Financial Data</w:t>
              </w:r>
            </w:hyperlink>
          </w:p>
        </w:tc>
        <w:tc>
          <w:tcPr>
            <w:tcW w:w="1020" w:type="dxa"/>
            <w:vAlign w:val="bottom"/>
          </w:tcPr>
          <w:p>
            <w:pPr>
              <w:ind w:left="760"/>
              <w:spacing w:after="0"/>
              <w:rPr>
                <w:rFonts w:ascii="Arial" w:cs="Arial" w:eastAsia="Arial" w:hAnsi="Arial"/>
                <w:sz w:val="16"/>
                <w:szCs w:val="16"/>
                <w:color w:val="0000FF"/>
              </w:rPr>
            </w:pPr>
            <w:hyperlink w:anchor="page36">
              <w:r>
                <w:rPr>
                  <w:rFonts w:ascii="Arial" w:cs="Arial" w:eastAsia="Arial" w:hAnsi="Arial"/>
                  <w:sz w:val="16"/>
                  <w:szCs w:val="16"/>
                  <w:color w:val="0000FF"/>
                </w:rPr>
                <w:t>37</w:t>
              </w:r>
            </w:hyperlink>
          </w:p>
        </w:tc>
      </w:tr>
      <w:tr>
        <w:trPr>
          <w:trHeight w:val="243"/>
        </w:trPr>
        <w:tc>
          <w:tcPr>
            <w:tcW w:w="9080" w:type="dxa"/>
            <w:vAlign w:val="bottom"/>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Management’s Discussion and Analysis of Financial Condition and Results of Operations</w:t>
              </w:r>
            </w:hyperlink>
          </w:p>
        </w:tc>
        <w:tc>
          <w:tcPr>
            <w:tcW w:w="1020" w:type="dxa"/>
            <w:vAlign w:val="bottom"/>
          </w:tcPr>
          <w:p>
            <w:pPr>
              <w:ind w:left="76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43"/>
        </w:trPr>
        <w:tc>
          <w:tcPr>
            <w:tcW w:w="9080" w:type="dxa"/>
            <w:vAlign w:val="bottom"/>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Quantitative and Qualitative Disclosures About Market Risk</w:t>
              </w:r>
            </w:hyperlink>
          </w:p>
        </w:tc>
        <w:tc>
          <w:tcPr>
            <w:tcW w:w="1020" w:type="dxa"/>
            <w:vAlign w:val="bottom"/>
          </w:tcPr>
          <w:p>
            <w:pPr>
              <w:ind w:left="760"/>
              <w:spacing w:after="0"/>
              <w:rPr>
                <w:rFonts w:ascii="Arial" w:cs="Arial" w:eastAsia="Arial" w:hAnsi="Arial"/>
                <w:sz w:val="16"/>
                <w:szCs w:val="16"/>
                <w:color w:val="0000FF"/>
              </w:rPr>
            </w:pPr>
            <w:hyperlink w:anchor="page82">
              <w:r>
                <w:rPr>
                  <w:rFonts w:ascii="Arial" w:cs="Arial" w:eastAsia="Arial" w:hAnsi="Arial"/>
                  <w:sz w:val="16"/>
                  <w:szCs w:val="16"/>
                  <w:color w:val="0000FF"/>
                </w:rPr>
                <w:t>82</w:t>
              </w:r>
            </w:hyperlink>
          </w:p>
        </w:tc>
      </w:tr>
      <w:tr>
        <w:trPr>
          <w:trHeight w:val="243"/>
        </w:trPr>
        <w:tc>
          <w:tcPr>
            <w:tcW w:w="9080" w:type="dxa"/>
            <w:vAlign w:val="bottom"/>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Consolidated Financial Statements of Fortress Transportation and Infrastructure Investors LLC:</w:t>
              </w:r>
            </w:hyperlink>
          </w:p>
        </w:tc>
        <w:tc>
          <w:tcPr>
            <w:tcW w:w="1020" w:type="dxa"/>
            <w:vAlign w:val="bottom"/>
          </w:tcPr>
          <w:p>
            <w:pPr>
              <w:ind w:left="760"/>
              <w:spacing w:after="0"/>
              <w:rPr>
                <w:rFonts w:ascii="Arial" w:cs="Arial" w:eastAsia="Arial" w:hAnsi="Arial"/>
                <w:sz w:val="16"/>
                <w:szCs w:val="16"/>
                <w:color w:val="0000FF"/>
              </w:rPr>
            </w:pPr>
            <w:hyperlink w:anchor="page82">
              <w:r>
                <w:rPr>
                  <w:rFonts w:ascii="Arial" w:cs="Arial" w:eastAsia="Arial" w:hAnsi="Arial"/>
                  <w:sz w:val="16"/>
                  <w:szCs w:val="16"/>
                  <w:color w:val="0000FF"/>
                </w:rPr>
                <w:t>83</w:t>
              </w:r>
            </w:hyperlink>
          </w:p>
        </w:tc>
      </w:tr>
      <w:tr>
        <w:trPr>
          <w:trHeight w:val="216"/>
        </w:trPr>
        <w:tc>
          <w:tcPr>
            <w:tcW w:w="9080" w:type="dxa"/>
            <w:vAlign w:val="bottom"/>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Report of Independent Registered Public Accounting Firm</w:t>
              </w:r>
            </w:hyperlink>
          </w:p>
        </w:tc>
        <w:tc>
          <w:tcPr>
            <w:tcW w:w="1020" w:type="dxa"/>
            <w:vAlign w:val="bottom"/>
          </w:tcPr>
          <w:p>
            <w:pPr>
              <w:ind w:left="760"/>
              <w:spacing w:after="0"/>
              <w:rPr>
                <w:rFonts w:ascii="Arial" w:cs="Arial" w:eastAsia="Arial" w:hAnsi="Arial"/>
                <w:sz w:val="16"/>
                <w:szCs w:val="16"/>
                <w:color w:val="0000FF"/>
              </w:rPr>
            </w:pPr>
            <w:hyperlink w:anchor="page83">
              <w:r>
                <w:rPr>
                  <w:rFonts w:ascii="Arial" w:cs="Arial" w:eastAsia="Arial" w:hAnsi="Arial"/>
                  <w:sz w:val="16"/>
                  <w:szCs w:val="16"/>
                  <w:color w:val="0000FF"/>
                </w:rPr>
                <w:t>84</w:t>
              </w:r>
            </w:hyperlink>
          </w:p>
        </w:tc>
      </w:tr>
      <w:tr>
        <w:trPr>
          <w:trHeight w:val="216"/>
        </w:trPr>
        <w:tc>
          <w:tcPr>
            <w:tcW w:w="9080" w:type="dxa"/>
            <w:vAlign w:val="bottom"/>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Consolidated Balance Sheets as of December 31, 2018 and December 31, 2017</w:t>
              </w:r>
            </w:hyperlink>
          </w:p>
        </w:tc>
        <w:tc>
          <w:tcPr>
            <w:tcW w:w="1020" w:type="dxa"/>
            <w:vAlign w:val="bottom"/>
          </w:tcPr>
          <w:p>
            <w:pPr>
              <w:ind w:left="760"/>
              <w:spacing w:after="0"/>
              <w:rPr>
                <w:rFonts w:ascii="Arial" w:cs="Arial" w:eastAsia="Arial" w:hAnsi="Arial"/>
                <w:sz w:val="16"/>
                <w:szCs w:val="16"/>
                <w:color w:val="0000FF"/>
              </w:rPr>
            </w:pPr>
            <w:hyperlink w:anchor="page84">
              <w:r>
                <w:rPr>
                  <w:rFonts w:ascii="Arial" w:cs="Arial" w:eastAsia="Arial" w:hAnsi="Arial"/>
                  <w:sz w:val="16"/>
                  <w:szCs w:val="16"/>
                  <w:color w:val="0000FF"/>
                </w:rPr>
                <w:t>85</w:t>
              </w:r>
            </w:hyperlink>
          </w:p>
        </w:tc>
      </w:tr>
      <w:tr>
        <w:trPr>
          <w:trHeight w:val="216"/>
        </w:trPr>
        <w:tc>
          <w:tcPr>
            <w:tcW w:w="9080" w:type="dxa"/>
            <w:vAlign w:val="bottom"/>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Consolidated Statements of Operations for the years ended December 31, 2018, 2017 and 2016</w:t>
              </w:r>
            </w:hyperlink>
          </w:p>
        </w:tc>
        <w:tc>
          <w:tcPr>
            <w:tcW w:w="1020" w:type="dxa"/>
            <w:vAlign w:val="bottom"/>
          </w:tcPr>
          <w:p>
            <w:pPr>
              <w:ind w:left="760"/>
              <w:spacing w:after="0"/>
              <w:rPr>
                <w:rFonts w:ascii="Arial" w:cs="Arial" w:eastAsia="Arial" w:hAnsi="Arial"/>
                <w:sz w:val="16"/>
                <w:szCs w:val="16"/>
                <w:color w:val="0000FF"/>
              </w:rPr>
            </w:pPr>
            <w:hyperlink w:anchor="page85">
              <w:r>
                <w:rPr>
                  <w:rFonts w:ascii="Arial" w:cs="Arial" w:eastAsia="Arial" w:hAnsi="Arial"/>
                  <w:sz w:val="16"/>
                  <w:szCs w:val="16"/>
                  <w:color w:val="0000FF"/>
                </w:rPr>
                <w:t>86</w:t>
              </w:r>
            </w:hyperlink>
          </w:p>
        </w:tc>
      </w:tr>
      <w:tr>
        <w:trPr>
          <w:trHeight w:val="216"/>
        </w:trPr>
        <w:tc>
          <w:tcPr>
            <w:tcW w:w="9080" w:type="dxa"/>
            <w:vAlign w:val="bottom"/>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Consolidated Statements of Comprehensive Income (Loss) for the years ended December 31, 2018, 2017 and 2016</w:t>
              </w:r>
            </w:hyperlink>
          </w:p>
        </w:tc>
        <w:tc>
          <w:tcPr>
            <w:tcW w:w="1020" w:type="dxa"/>
            <w:vAlign w:val="bottom"/>
          </w:tcPr>
          <w:p>
            <w:pPr>
              <w:ind w:left="760"/>
              <w:spacing w:after="0"/>
              <w:rPr>
                <w:rFonts w:ascii="Arial" w:cs="Arial" w:eastAsia="Arial" w:hAnsi="Arial"/>
                <w:sz w:val="16"/>
                <w:szCs w:val="16"/>
                <w:color w:val="0000FF"/>
              </w:rPr>
            </w:pPr>
            <w:hyperlink w:anchor="page86">
              <w:r>
                <w:rPr>
                  <w:rFonts w:ascii="Arial" w:cs="Arial" w:eastAsia="Arial" w:hAnsi="Arial"/>
                  <w:sz w:val="16"/>
                  <w:szCs w:val="16"/>
                  <w:color w:val="0000FF"/>
                </w:rPr>
                <w:t>87</w:t>
              </w:r>
            </w:hyperlink>
          </w:p>
        </w:tc>
      </w:tr>
      <w:tr>
        <w:trPr>
          <w:trHeight w:val="216"/>
        </w:trPr>
        <w:tc>
          <w:tcPr>
            <w:tcW w:w="9080" w:type="dxa"/>
            <w:vAlign w:val="bottom"/>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Consolidated Statement of Changes in Equity for the years ended December 31, 2018, 2017 and 2016</w:t>
              </w:r>
            </w:hyperlink>
          </w:p>
        </w:tc>
        <w:tc>
          <w:tcPr>
            <w:tcW w:w="1020" w:type="dxa"/>
            <w:vAlign w:val="bottom"/>
          </w:tcPr>
          <w:p>
            <w:pPr>
              <w:ind w:left="760"/>
              <w:spacing w:after="0"/>
              <w:rPr>
                <w:rFonts w:ascii="Arial" w:cs="Arial" w:eastAsia="Arial" w:hAnsi="Arial"/>
                <w:sz w:val="16"/>
                <w:szCs w:val="16"/>
                <w:color w:val="0000FF"/>
              </w:rPr>
            </w:pPr>
            <w:hyperlink w:anchor="page87">
              <w:r>
                <w:rPr>
                  <w:rFonts w:ascii="Arial" w:cs="Arial" w:eastAsia="Arial" w:hAnsi="Arial"/>
                  <w:sz w:val="16"/>
                  <w:szCs w:val="16"/>
                  <w:color w:val="0000FF"/>
                </w:rPr>
                <w:t>88</w:t>
              </w:r>
            </w:hyperlink>
          </w:p>
        </w:tc>
      </w:tr>
      <w:tr>
        <w:trPr>
          <w:trHeight w:val="216"/>
        </w:trPr>
        <w:tc>
          <w:tcPr>
            <w:tcW w:w="9080" w:type="dxa"/>
            <w:vAlign w:val="bottom"/>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Consolidated Statements of Cash Flows for the years ended December 31, 2018, 2017 and 2016</w:t>
              </w:r>
            </w:hyperlink>
          </w:p>
        </w:tc>
        <w:tc>
          <w:tcPr>
            <w:tcW w:w="1020" w:type="dxa"/>
            <w:vAlign w:val="bottom"/>
          </w:tcPr>
          <w:p>
            <w:pPr>
              <w:ind w:left="760"/>
              <w:spacing w:after="0"/>
              <w:rPr>
                <w:rFonts w:ascii="Arial" w:cs="Arial" w:eastAsia="Arial" w:hAnsi="Arial"/>
                <w:sz w:val="16"/>
                <w:szCs w:val="16"/>
                <w:color w:val="0000FF"/>
              </w:rPr>
            </w:pPr>
            <w:hyperlink w:anchor="page89">
              <w:r>
                <w:rPr>
                  <w:rFonts w:ascii="Arial" w:cs="Arial" w:eastAsia="Arial" w:hAnsi="Arial"/>
                  <w:sz w:val="16"/>
                  <w:szCs w:val="16"/>
                  <w:color w:val="0000FF"/>
                </w:rPr>
                <w:t>89</w:t>
              </w:r>
            </w:hyperlink>
          </w:p>
        </w:tc>
      </w:tr>
      <w:tr>
        <w:trPr>
          <w:trHeight w:val="216"/>
        </w:trPr>
        <w:tc>
          <w:tcPr>
            <w:tcW w:w="9080" w:type="dxa"/>
            <w:vAlign w:val="bottom"/>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Notes to Consolidated Financial Statements</w:t>
              </w:r>
            </w:hyperlink>
          </w:p>
        </w:tc>
        <w:tc>
          <w:tcPr>
            <w:tcW w:w="1020" w:type="dxa"/>
            <w:vAlign w:val="bottom"/>
          </w:tcPr>
          <w:p>
            <w:pPr>
              <w:ind w:left="760"/>
              <w:spacing w:after="0"/>
              <w:rPr>
                <w:rFonts w:ascii="Arial" w:cs="Arial" w:eastAsia="Arial" w:hAnsi="Arial"/>
                <w:sz w:val="16"/>
                <w:szCs w:val="16"/>
                <w:color w:val="0000FF"/>
              </w:rPr>
            </w:pPr>
            <w:hyperlink w:anchor="page91">
              <w:r>
                <w:rPr>
                  <w:rFonts w:ascii="Arial" w:cs="Arial" w:eastAsia="Arial" w:hAnsi="Arial"/>
                  <w:sz w:val="16"/>
                  <w:szCs w:val="16"/>
                  <w:color w:val="0000FF"/>
                </w:rPr>
                <w:t>91</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92">
              <w:r>
                <w:rPr>
                  <w:rFonts w:ascii="Arial" w:cs="Arial" w:eastAsia="Arial" w:hAnsi="Arial"/>
                  <w:sz w:val="16"/>
                  <w:szCs w:val="16"/>
                  <w:color w:val="0000FF"/>
                </w:rPr>
                <w:t>Note 1: Organization</w:t>
              </w:r>
            </w:hyperlink>
          </w:p>
        </w:tc>
        <w:tc>
          <w:tcPr>
            <w:tcW w:w="1020" w:type="dxa"/>
            <w:vAlign w:val="bottom"/>
          </w:tcPr>
          <w:p>
            <w:pPr>
              <w:ind w:left="760"/>
              <w:spacing w:after="0"/>
              <w:rPr>
                <w:rFonts w:ascii="Arial" w:cs="Arial" w:eastAsia="Arial" w:hAnsi="Arial"/>
                <w:sz w:val="16"/>
                <w:szCs w:val="16"/>
                <w:color w:val="0000FF"/>
              </w:rPr>
            </w:pPr>
            <w:hyperlink w:anchor="page92">
              <w:r>
                <w:rPr>
                  <w:rFonts w:ascii="Arial" w:cs="Arial" w:eastAsia="Arial" w:hAnsi="Arial"/>
                  <w:sz w:val="16"/>
                  <w:szCs w:val="16"/>
                  <w:color w:val="0000FF"/>
                </w:rPr>
                <w:t>91</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92">
              <w:r>
                <w:rPr>
                  <w:rFonts w:ascii="Arial" w:cs="Arial" w:eastAsia="Arial" w:hAnsi="Arial"/>
                  <w:sz w:val="16"/>
                  <w:szCs w:val="16"/>
                  <w:color w:val="0000FF"/>
                </w:rPr>
                <w:t>Note 2: Summary of Significant Accounting Policies</w:t>
              </w:r>
            </w:hyperlink>
          </w:p>
        </w:tc>
        <w:tc>
          <w:tcPr>
            <w:tcW w:w="1020" w:type="dxa"/>
            <w:vAlign w:val="bottom"/>
          </w:tcPr>
          <w:p>
            <w:pPr>
              <w:ind w:left="760"/>
              <w:spacing w:after="0"/>
              <w:rPr>
                <w:rFonts w:ascii="Arial" w:cs="Arial" w:eastAsia="Arial" w:hAnsi="Arial"/>
                <w:sz w:val="16"/>
                <w:szCs w:val="16"/>
                <w:color w:val="0000FF"/>
              </w:rPr>
            </w:pPr>
            <w:hyperlink w:anchor="page92">
              <w:r>
                <w:rPr>
                  <w:rFonts w:ascii="Arial" w:cs="Arial" w:eastAsia="Arial" w:hAnsi="Arial"/>
                  <w:sz w:val="16"/>
                  <w:szCs w:val="16"/>
                  <w:color w:val="0000FF"/>
                </w:rPr>
                <w:t>91</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1">
              <w:r>
                <w:rPr>
                  <w:rFonts w:ascii="Arial" w:cs="Arial" w:eastAsia="Arial" w:hAnsi="Arial"/>
                  <w:sz w:val="16"/>
                  <w:szCs w:val="16"/>
                  <w:color w:val="0000FF"/>
                </w:rPr>
                <w:t>Note 3: Leasing Equipment, net</w:t>
              </w:r>
            </w:hyperlink>
          </w:p>
        </w:tc>
        <w:tc>
          <w:tcPr>
            <w:tcW w:w="1020" w:type="dxa"/>
            <w:vAlign w:val="bottom"/>
          </w:tcPr>
          <w:p>
            <w:pPr>
              <w:ind w:left="760"/>
              <w:spacing w:after="0"/>
              <w:rPr>
                <w:rFonts w:ascii="Arial" w:cs="Arial" w:eastAsia="Arial" w:hAnsi="Arial"/>
                <w:sz w:val="16"/>
                <w:szCs w:val="16"/>
                <w:color w:val="0000FF"/>
                <w:w w:val="89"/>
              </w:rPr>
            </w:pPr>
            <w:hyperlink w:anchor="page101">
              <w:r>
                <w:rPr>
                  <w:rFonts w:ascii="Arial" w:cs="Arial" w:eastAsia="Arial" w:hAnsi="Arial"/>
                  <w:sz w:val="16"/>
                  <w:szCs w:val="16"/>
                  <w:color w:val="0000FF"/>
                  <w:w w:val="89"/>
                </w:rPr>
                <w:t>100</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1">
              <w:r>
                <w:rPr>
                  <w:rFonts w:ascii="Arial" w:cs="Arial" w:eastAsia="Arial" w:hAnsi="Arial"/>
                  <w:sz w:val="16"/>
                  <w:szCs w:val="16"/>
                  <w:color w:val="0000FF"/>
                </w:rPr>
                <w:t>Note 4: Finance Leases, net</w:t>
              </w:r>
            </w:hyperlink>
          </w:p>
        </w:tc>
        <w:tc>
          <w:tcPr>
            <w:tcW w:w="1020" w:type="dxa"/>
            <w:vAlign w:val="bottom"/>
          </w:tcPr>
          <w:p>
            <w:pPr>
              <w:ind w:left="760"/>
              <w:spacing w:after="0"/>
              <w:rPr>
                <w:rFonts w:ascii="Arial" w:cs="Arial" w:eastAsia="Arial" w:hAnsi="Arial"/>
                <w:sz w:val="16"/>
                <w:szCs w:val="16"/>
                <w:color w:val="0000FF"/>
                <w:w w:val="89"/>
              </w:rPr>
            </w:pPr>
            <w:hyperlink w:anchor="page101">
              <w:r>
                <w:rPr>
                  <w:rFonts w:ascii="Arial" w:cs="Arial" w:eastAsia="Arial" w:hAnsi="Arial"/>
                  <w:sz w:val="16"/>
                  <w:szCs w:val="16"/>
                  <w:color w:val="0000FF"/>
                  <w:w w:val="89"/>
                </w:rPr>
                <w:t>101</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2">
              <w:r>
                <w:rPr>
                  <w:rFonts w:ascii="Arial" w:cs="Arial" w:eastAsia="Arial" w:hAnsi="Arial"/>
                  <w:sz w:val="16"/>
                  <w:szCs w:val="16"/>
                  <w:color w:val="0000FF"/>
                </w:rPr>
                <w:t>Note 5: Property, Plant and Equipment, net</w:t>
              </w:r>
            </w:hyperlink>
          </w:p>
        </w:tc>
        <w:tc>
          <w:tcPr>
            <w:tcW w:w="1020" w:type="dxa"/>
            <w:vAlign w:val="bottom"/>
          </w:tcPr>
          <w:p>
            <w:pPr>
              <w:ind w:left="760"/>
              <w:spacing w:after="0"/>
              <w:rPr>
                <w:rFonts w:ascii="Arial" w:cs="Arial" w:eastAsia="Arial" w:hAnsi="Arial"/>
                <w:sz w:val="16"/>
                <w:szCs w:val="16"/>
                <w:color w:val="0000FF"/>
                <w:w w:val="89"/>
              </w:rPr>
            </w:pPr>
            <w:hyperlink w:anchor="page102">
              <w:r>
                <w:rPr>
                  <w:rFonts w:ascii="Arial" w:cs="Arial" w:eastAsia="Arial" w:hAnsi="Arial"/>
                  <w:sz w:val="16"/>
                  <w:szCs w:val="16"/>
                  <w:color w:val="0000FF"/>
                  <w:w w:val="89"/>
                </w:rPr>
                <w:t>101</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3">
              <w:r>
                <w:rPr>
                  <w:rFonts w:ascii="Arial" w:cs="Arial" w:eastAsia="Arial" w:hAnsi="Arial"/>
                  <w:sz w:val="16"/>
                  <w:szCs w:val="16"/>
                  <w:color w:val="0000FF"/>
                </w:rPr>
                <w:t>Note 6: Investments</w:t>
              </w:r>
            </w:hyperlink>
          </w:p>
        </w:tc>
        <w:tc>
          <w:tcPr>
            <w:tcW w:w="1020" w:type="dxa"/>
            <w:vAlign w:val="bottom"/>
          </w:tcPr>
          <w:p>
            <w:pPr>
              <w:ind w:left="760"/>
              <w:spacing w:after="0"/>
              <w:rPr>
                <w:rFonts w:ascii="Arial" w:cs="Arial" w:eastAsia="Arial" w:hAnsi="Arial"/>
                <w:sz w:val="16"/>
                <w:szCs w:val="16"/>
                <w:color w:val="0000FF"/>
                <w:w w:val="89"/>
              </w:rPr>
            </w:pPr>
            <w:hyperlink w:anchor="page103">
              <w:r>
                <w:rPr>
                  <w:rFonts w:ascii="Arial" w:cs="Arial" w:eastAsia="Arial" w:hAnsi="Arial"/>
                  <w:sz w:val="16"/>
                  <w:szCs w:val="16"/>
                  <w:color w:val="0000FF"/>
                  <w:w w:val="89"/>
                </w:rPr>
                <w:t>102</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4">
              <w:r>
                <w:rPr>
                  <w:rFonts w:ascii="Arial" w:cs="Arial" w:eastAsia="Arial" w:hAnsi="Arial"/>
                  <w:sz w:val="16"/>
                  <w:szCs w:val="16"/>
                  <w:color w:val="0000FF"/>
                </w:rPr>
                <w:t>Note 7: Intangible Assets and Liabilities, net</w:t>
              </w:r>
            </w:hyperlink>
          </w:p>
        </w:tc>
        <w:tc>
          <w:tcPr>
            <w:tcW w:w="1020" w:type="dxa"/>
            <w:vAlign w:val="bottom"/>
          </w:tcPr>
          <w:p>
            <w:pPr>
              <w:ind w:left="760"/>
              <w:spacing w:after="0"/>
              <w:rPr>
                <w:rFonts w:ascii="Arial" w:cs="Arial" w:eastAsia="Arial" w:hAnsi="Arial"/>
                <w:sz w:val="16"/>
                <w:szCs w:val="16"/>
                <w:color w:val="0000FF"/>
                <w:w w:val="89"/>
              </w:rPr>
            </w:pPr>
            <w:hyperlink w:anchor="page104">
              <w:r>
                <w:rPr>
                  <w:rFonts w:ascii="Arial" w:cs="Arial" w:eastAsia="Arial" w:hAnsi="Arial"/>
                  <w:sz w:val="16"/>
                  <w:szCs w:val="16"/>
                  <w:color w:val="0000FF"/>
                  <w:w w:val="89"/>
                </w:rPr>
                <w:t>104</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6">
              <w:r>
                <w:rPr>
                  <w:rFonts w:ascii="Arial" w:cs="Arial" w:eastAsia="Arial" w:hAnsi="Arial"/>
                  <w:sz w:val="16"/>
                  <w:szCs w:val="16"/>
                  <w:color w:val="0000FF"/>
                </w:rPr>
                <w:t>Note 8: Debt, net</w:t>
              </w:r>
            </w:hyperlink>
          </w:p>
        </w:tc>
        <w:tc>
          <w:tcPr>
            <w:tcW w:w="1020" w:type="dxa"/>
            <w:vAlign w:val="bottom"/>
          </w:tcPr>
          <w:p>
            <w:pPr>
              <w:ind w:left="760"/>
              <w:spacing w:after="0"/>
              <w:rPr>
                <w:rFonts w:ascii="Arial" w:cs="Arial" w:eastAsia="Arial" w:hAnsi="Arial"/>
                <w:sz w:val="16"/>
                <w:szCs w:val="16"/>
                <w:color w:val="0000FF"/>
                <w:w w:val="89"/>
              </w:rPr>
            </w:pPr>
            <w:hyperlink w:anchor="page106">
              <w:r>
                <w:rPr>
                  <w:rFonts w:ascii="Arial" w:cs="Arial" w:eastAsia="Arial" w:hAnsi="Arial"/>
                  <w:sz w:val="16"/>
                  <w:szCs w:val="16"/>
                  <w:color w:val="0000FF"/>
                  <w:w w:val="89"/>
                </w:rPr>
                <w:t>105</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8">
              <w:r>
                <w:rPr>
                  <w:rFonts w:ascii="Arial" w:cs="Arial" w:eastAsia="Arial" w:hAnsi="Arial"/>
                  <w:sz w:val="16"/>
                  <w:szCs w:val="16"/>
                  <w:color w:val="0000FF"/>
                </w:rPr>
                <w:t>Note 9: Fair Value Measurements</w:t>
              </w:r>
            </w:hyperlink>
          </w:p>
        </w:tc>
        <w:tc>
          <w:tcPr>
            <w:tcW w:w="1020" w:type="dxa"/>
            <w:vAlign w:val="bottom"/>
          </w:tcPr>
          <w:p>
            <w:pPr>
              <w:ind w:left="760"/>
              <w:spacing w:after="0"/>
              <w:rPr>
                <w:rFonts w:ascii="Arial" w:cs="Arial" w:eastAsia="Arial" w:hAnsi="Arial"/>
                <w:sz w:val="16"/>
                <w:szCs w:val="16"/>
                <w:color w:val="0000FF"/>
                <w:w w:val="89"/>
              </w:rPr>
            </w:pPr>
            <w:hyperlink w:anchor="page108">
              <w:r>
                <w:rPr>
                  <w:rFonts w:ascii="Arial" w:cs="Arial" w:eastAsia="Arial" w:hAnsi="Arial"/>
                  <w:sz w:val="16"/>
                  <w:szCs w:val="16"/>
                  <w:color w:val="0000FF"/>
                  <w:w w:val="89"/>
                </w:rPr>
                <w:t>107</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09">
              <w:r>
                <w:rPr>
                  <w:rFonts w:ascii="Arial" w:cs="Arial" w:eastAsia="Arial" w:hAnsi="Arial"/>
                  <w:sz w:val="16"/>
                  <w:szCs w:val="16"/>
                  <w:color w:val="0000FF"/>
                </w:rPr>
                <w:t>Note 10: Revenues</w:t>
              </w:r>
            </w:hyperlink>
          </w:p>
        </w:tc>
        <w:tc>
          <w:tcPr>
            <w:tcW w:w="1020" w:type="dxa"/>
            <w:vAlign w:val="bottom"/>
          </w:tcPr>
          <w:p>
            <w:pPr>
              <w:ind w:left="760"/>
              <w:spacing w:after="0"/>
              <w:rPr>
                <w:rFonts w:ascii="Arial" w:cs="Arial" w:eastAsia="Arial" w:hAnsi="Arial"/>
                <w:sz w:val="16"/>
                <w:szCs w:val="16"/>
                <w:color w:val="0000FF"/>
                <w:w w:val="89"/>
              </w:rPr>
            </w:pPr>
            <w:hyperlink w:anchor="page109">
              <w:r>
                <w:rPr>
                  <w:rFonts w:ascii="Arial" w:cs="Arial" w:eastAsia="Arial" w:hAnsi="Arial"/>
                  <w:sz w:val="16"/>
                  <w:szCs w:val="16"/>
                  <w:color w:val="0000FF"/>
                  <w:w w:val="89"/>
                </w:rPr>
                <w:t>109</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11">
              <w:r>
                <w:rPr>
                  <w:rFonts w:ascii="Arial" w:cs="Arial" w:eastAsia="Arial" w:hAnsi="Arial"/>
                  <w:sz w:val="16"/>
                  <w:szCs w:val="16"/>
                  <w:color w:val="0000FF"/>
                </w:rPr>
                <w:t>Note 11: Equity-Based Compensation</w:t>
              </w:r>
            </w:hyperlink>
          </w:p>
        </w:tc>
        <w:tc>
          <w:tcPr>
            <w:tcW w:w="1020" w:type="dxa"/>
            <w:vAlign w:val="bottom"/>
          </w:tcPr>
          <w:p>
            <w:pPr>
              <w:ind w:left="760"/>
              <w:spacing w:after="0"/>
              <w:rPr>
                <w:rFonts w:ascii="Arial" w:cs="Arial" w:eastAsia="Arial" w:hAnsi="Arial"/>
                <w:sz w:val="16"/>
                <w:szCs w:val="16"/>
                <w:color w:val="0000FF"/>
                <w:w w:val="89"/>
              </w:rPr>
            </w:pPr>
            <w:hyperlink w:anchor="page111">
              <w:r>
                <w:rPr>
                  <w:rFonts w:ascii="Arial" w:cs="Arial" w:eastAsia="Arial" w:hAnsi="Arial"/>
                  <w:sz w:val="16"/>
                  <w:szCs w:val="16"/>
                  <w:color w:val="0000FF"/>
                  <w:w w:val="89"/>
                </w:rPr>
                <w:t>110</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13">
              <w:r>
                <w:rPr>
                  <w:rFonts w:ascii="Arial" w:cs="Arial" w:eastAsia="Arial" w:hAnsi="Arial"/>
                  <w:sz w:val="16"/>
                  <w:szCs w:val="16"/>
                  <w:color w:val="0000FF"/>
                </w:rPr>
                <w:t>Note 12: Income Taxes</w:t>
              </w:r>
            </w:hyperlink>
          </w:p>
        </w:tc>
        <w:tc>
          <w:tcPr>
            <w:tcW w:w="1020" w:type="dxa"/>
            <w:vAlign w:val="bottom"/>
          </w:tcPr>
          <w:p>
            <w:pPr>
              <w:ind w:left="760"/>
              <w:spacing w:after="0"/>
              <w:rPr>
                <w:rFonts w:ascii="Arial" w:cs="Arial" w:eastAsia="Arial" w:hAnsi="Arial"/>
                <w:sz w:val="16"/>
                <w:szCs w:val="16"/>
                <w:color w:val="0000FF"/>
                <w:w w:val="89"/>
              </w:rPr>
            </w:pPr>
            <w:hyperlink w:anchor="page113">
              <w:r>
                <w:rPr>
                  <w:rFonts w:ascii="Arial" w:cs="Arial" w:eastAsia="Arial" w:hAnsi="Arial"/>
                  <w:sz w:val="16"/>
                  <w:szCs w:val="16"/>
                  <w:color w:val="0000FF"/>
                  <w:w w:val="89"/>
                </w:rPr>
                <w:t>112</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14">
              <w:r>
                <w:rPr>
                  <w:rFonts w:ascii="Arial" w:cs="Arial" w:eastAsia="Arial" w:hAnsi="Arial"/>
                  <w:sz w:val="16"/>
                  <w:szCs w:val="16"/>
                  <w:color w:val="0000FF"/>
                </w:rPr>
                <w:t>Note 13: Management Agreement and Affiliate Transactions</w:t>
              </w:r>
            </w:hyperlink>
          </w:p>
        </w:tc>
        <w:tc>
          <w:tcPr>
            <w:tcW w:w="1020" w:type="dxa"/>
            <w:vAlign w:val="bottom"/>
          </w:tcPr>
          <w:p>
            <w:pPr>
              <w:ind w:left="760"/>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114</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17">
              <w:r>
                <w:rPr>
                  <w:rFonts w:ascii="Arial" w:cs="Arial" w:eastAsia="Arial" w:hAnsi="Arial"/>
                  <w:sz w:val="16"/>
                  <w:szCs w:val="16"/>
                  <w:color w:val="0000FF"/>
                </w:rPr>
                <w:t>Note 14: Segment Information</w:t>
              </w:r>
            </w:hyperlink>
          </w:p>
        </w:tc>
        <w:tc>
          <w:tcPr>
            <w:tcW w:w="1020" w:type="dxa"/>
            <w:vAlign w:val="bottom"/>
          </w:tcPr>
          <w:p>
            <w:pPr>
              <w:ind w:left="760"/>
              <w:spacing w:after="0"/>
              <w:rPr>
                <w:rFonts w:ascii="Arial" w:cs="Arial" w:eastAsia="Arial" w:hAnsi="Arial"/>
                <w:sz w:val="16"/>
                <w:szCs w:val="16"/>
                <w:color w:val="0000FF"/>
                <w:w w:val="89"/>
              </w:rPr>
            </w:pPr>
            <w:hyperlink w:anchor="page117">
              <w:r>
                <w:rPr>
                  <w:rFonts w:ascii="Arial" w:cs="Arial" w:eastAsia="Arial" w:hAnsi="Arial"/>
                  <w:sz w:val="16"/>
                  <w:szCs w:val="16"/>
                  <w:color w:val="0000FF"/>
                  <w:w w:val="89"/>
                </w:rPr>
                <w:t>116</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25">
              <w:r>
                <w:rPr>
                  <w:rFonts w:ascii="Arial" w:cs="Arial" w:eastAsia="Arial" w:hAnsi="Arial"/>
                  <w:sz w:val="16"/>
                  <w:szCs w:val="16"/>
                  <w:color w:val="0000FF"/>
                </w:rPr>
                <w:t>Note 15: Earnings per Share</w:t>
              </w:r>
            </w:hyperlink>
          </w:p>
        </w:tc>
        <w:tc>
          <w:tcPr>
            <w:tcW w:w="1020" w:type="dxa"/>
            <w:vAlign w:val="bottom"/>
          </w:tcPr>
          <w:p>
            <w:pPr>
              <w:ind w:left="760"/>
              <w:spacing w:after="0"/>
              <w:rPr>
                <w:rFonts w:ascii="Arial" w:cs="Arial" w:eastAsia="Arial" w:hAnsi="Arial"/>
                <w:sz w:val="16"/>
                <w:szCs w:val="16"/>
                <w:color w:val="0000FF"/>
                <w:w w:val="89"/>
              </w:rPr>
            </w:pPr>
            <w:hyperlink w:anchor="page125">
              <w:r>
                <w:rPr>
                  <w:rFonts w:ascii="Arial" w:cs="Arial" w:eastAsia="Arial" w:hAnsi="Arial"/>
                  <w:sz w:val="16"/>
                  <w:szCs w:val="16"/>
                  <w:color w:val="0000FF"/>
                  <w:w w:val="89"/>
                </w:rPr>
                <w:t>124</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26">
              <w:r>
                <w:rPr>
                  <w:rFonts w:ascii="Arial" w:cs="Arial" w:eastAsia="Arial" w:hAnsi="Arial"/>
                  <w:sz w:val="16"/>
                  <w:szCs w:val="16"/>
                  <w:color w:val="0000FF"/>
                </w:rPr>
                <w:t>Note 16: Commitments and Contingencies</w:t>
              </w:r>
            </w:hyperlink>
          </w:p>
        </w:tc>
        <w:tc>
          <w:tcPr>
            <w:tcW w:w="1020" w:type="dxa"/>
            <w:vAlign w:val="bottom"/>
          </w:tcPr>
          <w:p>
            <w:pPr>
              <w:ind w:left="760"/>
              <w:spacing w:after="0"/>
              <w:rPr>
                <w:rFonts w:ascii="Arial" w:cs="Arial" w:eastAsia="Arial" w:hAnsi="Arial"/>
                <w:sz w:val="16"/>
                <w:szCs w:val="16"/>
                <w:color w:val="0000FF"/>
                <w:w w:val="89"/>
              </w:rPr>
            </w:pPr>
            <w:hyperlink w:anchor="page126">
              <w:r>
                <w:rPr>
                  <w:rFonts w:ascii="Arial" w:cs="Arial" w:eastAsia="Arial" w:hAnsi="Arial"/>
                  <w:sz w:val="16"/>
                  <w:szCs w:val="16"/>
                  <w:color w:val="0000FF"/>
                  <w:w w:val="89"/>
                </w:rPr>
                <w:t>125</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26">
              <w:r>
                <w:rPr>
                  <w:rFonts w:ascii="Arial" w:cs="Arial" w:eastAsia="Arial" w:hAnsi="Arial"/>
                  <w:sz w:val="16"/>
                  <w:szCs w:val="16"/>
                  <w:color w:val="0000FF"/>
                </w:rPr>
                <w:t>Note 17: Quarterly Financial Information (Unaudited)</w:t>
              </w:r>
            </w:hyperlink>
          </w:p>
        </w:tc>
        <w:tc>
          <w:tcPr>
            <w:tcW w:w="1020" w:type="dxa"/>
            <w:vAlign w:val="bottom"/>
          </w:tcPr>
          <w:p>
            <w:pPr>
              <w:ind w:left="760"/>
              <w:spacing w:after="0"/>
              <w:rPr>
                <w:rFonts w:ascii="Arial" w:cs="Arial" w:eastAsia="Arial" w:hAnsi="Arial"/>
                <w:sz w:val="16"/>
                <w:szCs w:val="16"/>
                <w:color w:val="0000FF"/>
                <w:w w:val="89"/>
              </w:rPr>
            </w:pPr>
            <w:hyperlink w:anchor="page126">
              <w:r>
                <w:rPr>
                  <w:rFonts w:ascii="Arial" w:cs="Arial" w:eastAsia="Arial" w:hAnsi="Arial"/>
                  <w:sz w:val="16"/>
                  <w:szCs w:val="16"/>
                  <w:color w:val="0000FF"/>
                  <w:w w:val="89"/>
                </w:rPr>
                <w:t>126</w:t>
              </w:r>
            </w:hyperlink>
          </w:p>
        </w:tc>
      </w:tr>
      <w:tr>
        <w:trPr>
          <w:trHeight w:val="216"/>
        </w:trPr>
        <w:tc>
          <w:tcPr>
            <w:tcW w:w="9080" w:type="dxa"/>
            <w:vAlign w:val="bottom"/>
          </w:tcPr>
          <w:p>
            <w:pPr>
              <w:ind w:left="220"/>
              <w:spacing w:after="0"/>
              <w:rPr>
                <w:rFonts w:ascii="Arial" w:cs="Arial" w:eastAsia="Arial" w:hAnsi="Arial"/>
                <w:sz w:val="16"/>
                <w:szCs w:val="16"/>
                <w:color w:val="0000FF"/>
              </w:rPr>
            </w:pPr>
            <w:hyperlink w:anchor="page127">
              <w:r>
                <w:rPr>
                  <w:rFonts w:ascii="Arial" w:cs="Arial" w:eastAsia="Arial" w:hAnsi="Arial"/>
                  <w:sz w:val="16"/>
                  <w:szCs w:val="16"/>
                  <w:color w:val="0000FF"/>
                </w:rPr>
                <w:t>Note 18: Subsequent Events</w:t>
              </w:r>
            </w:hyperlink>
          </w:p>
        </w:tc>
        <w:tc>
          <w:tcPr>
            <w:tcW w:w="1020" w:type="dxa"/>
            <w:vAlign w:val="bottom"/>
          </w:tcPr>
          <w:p>
            <w:pPr>
              <w:ind w:left="760"/>
              <w:spacing w:after="0"/>
              <w:rPr>
                <w:rFonts w:ascii="Arial" w:cs="Arial" w:eastAsia="Arial" w:hAnsi="Arial"/>
                <w:sz w:val="16"/>
                <w:szCs w:val="16"/>
                <w:color w:val="0000FF"/>
                <w:w w:val="89"/>
              </w:rPr>
            </w:pPr>
            <w:hyperlink w:anchor="page127">
              <w:r>
                <w:rPr>
                  <w:rFonts w:ascii="Arial" w:cs="Arial" w:eastAsia="Arial" w:hAnsi="Arial"/>
                  <w:sz w:val="16"/>
                  <w:szCs w:val="16"/>
                  <w:color w:val="0000FF"/>
                  <w:w w:val="89"/>
                </w:rPr>
                <w:t>126</w:t>
              </w:r>
            </w:hyperlink>
          </w:p>
        </w:tc>
      </w:tr>
      <w:tr>
        <w:trPr>
          <w:trHeight w:val="216"/>
        </w:trPr>
        <w:tc>
          <w:tcPr>
            <w:tcW w:w="9080" w:type="dxa"/>
            <w:vAlign w:val="bottom"/>
          </w:tcPr>
          <w:p>
            <w:pPr>
              <w:spacing w:after="0"/>
              <w:rPr>
                <w:rFonts w:ascii="Arial" w:cs="Arial" w:eastAsia="Arial" w:hAnsi="Arial"/>
                <w:sz w:val="16"/>
                <w:szCs w:val="16"/>
                <w:color w:val="0000FF"/>
              </w:rPr>
            </w:pPr>
            <w:hyperlink w:anchor="page128">
              <w:r>
                <w:rPr>
                  <w:rFonts w:ascii="Arial" w:cs="Arial" w:eastAsia="Arial" w:hAnsi="Arial"/>
                  <w:sz w:val="16"/>
                  <w:szCs w:val="16"/>
                  <w:color w:val="0000FF"/>
                </w:rPr>
                <w:t>Consolidated Financial Statements of Intermodal Finance I Ltd</w:t>
              </w:r>
            </w:hyperlink>
          </w:p>
        </w:tc>
        <w:tc>
          <w:tcPr>
            <w:tcW w:w="1020" w:type="dxa"/>
            <w:vAlign w:val="bottom"/>
          </w:tcPr>
          <w:p>
            <w:pPr>
              <w:ind w:left="760"/>
              <w:spacing w:after="0"/>
              <w:rPr>
                <w:rFonts w:ascii="Arial" w:cs="Arial" w:eastAsia="Arial" w:hAnsi="Arial"/>
                <w:sz w:val="16"/>
                <w:szCs w:val="16"/>
                <w:color w:val="0000FF"/>
                <w:w w:val="89"/>
              </w:rPr>
            </w:pPr>
            <w:hyperlink w:anchor="page128">
              <w:r>
                <w:rPr>
                  <w:rFonts w:ascii="Arial" w:cs="Arial" w:eastAsia="Arial" w:hAnsi="Arial"/>
                  <w:sz w:val="16"/>
                  <w:szCs w:val="16"/>
                  <w:color w:val="0000FF"/>
                  <w:w w:val="89"/>
                </w:rPr>
                <w:t>127</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5">
              <w:r>
                <w:rPr>
                  <w:rFonts w:ascii="Arial" w:cs="Arial" w:eastAsia="Arial" w:hAnsi="Arial"/>
                  <w:sz w:val="16"/>
                  <w:szCs w:val="16"/>
                  <w:color w:val="0000FF"/>
                </w:rPr>
                <w:t>Changes in and Disagreements with Accountants on Accounting and Financial Disclosure</w:t>
              </w:r>
            </w:hyperlink>
          </w:p>
        </w:tc>
        <w:tc>
          <w:tcPr>
            <w:tcW w:w="1020" w:type="dxa"/>
            <w:vAlign w:val="bottom"/>
          </w:tcPr>
          <w:p>
            <w:pPr>
              <w:ind w:left="760"/>
              <w:spacing w:after="0"/>
              <w:rPr>
                <w:rFonts w:ascii="Arial" w:cs="Arial" w:eastAsia="Arial" w:hAnsi="Arial"/>
                <w:sz w:val="16"/>
                <w:szCs w:val="16"/>
                <w:color w:val="0000FF"/>
                <w:w w:val="89"/>
              </w:rPr>
            </w:pPr>
            <w:hyperlink w:anchor="page145">
              <w:r>
                <w:rPr>
                  <w:rFonts w:ascii="Arial" w:cs="Arial" w:eastAsia="Arial" w:hAnsi="Arial"/>
                  <w:sz w:val="16"/>
                  <w:szCs w:val="16"/>
                  <w:color w:val="0000FF"/>
                  <w:w w:val="89"/>
                </w:rPr>
                <w:t>144</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5">
              <w:r>
                <w:rPr>
                  <w:rFonts w:ascii="Arial" w:cs="Arial" w:eastAsia="Arial" w:hAnsi="Arial"/>
                  <w:sz w:val="16"/>
                  <w:szCs w:val="16"/>
                  <w:color w:val="0000FF"/>
                </w:rPr>
                <w:t>Controls and Procedures</w:t>
              </w:r>
            </w:hyperlink>
          </w:p>
        </w:tc>
        <w:tc>
          <w:tcPr>
            <w:tcW w:w="1020" w:type="dxa"/>
            <w:vAlign w:val="bottom"/>
          </w:tcPr>
          <w:p>
            <w:pPr>
              <w:ind w:left="760"/>
              <w:spacing w:after="0"/>
              <w:rPr>
                <w:rFonts w:ascii="Arial" w:cs="Arial" w:eastAsia="Arial" w:hAnsi="Arial"/>
                <w:sz w:val="16"/>
                <w:szCs w:val="16"/>
                <w:color w:val="0000FF"/>
                <w:w w:val="89"/>
              </w:rPr>
            </w:pPr>
            <w:hyperlink w:anchor="page145">
              <w:r>
                <w:rPr>
                  <w:rFonts w:ascii="Arial" w:cs="Arial" w:eastAsia="Arial" w:hAnsi="Arial"/>
                  <w:sz w:val="16"/>
                  <w:szCs w:val="16"/>
                  <w:color w:val="0000FF"/>
                  <w:w w:val="89"/>
                </w:rPr>
                <w:t>144</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8">
              <w:r>
                <w:rPr>
                  <w:rFonts w:ascii="Arial" w:cs="Arial" w:eastAsia="Arial" w:hAnsi="Arial"/>
                  <w:sz w:val="16"/>
                  <w:szCs w:val="16"/>
                  <w:color w:val="0000FF"/>
                </w:rPr>
                <w:t>Other Information</w:t>
              </w:r>
            </w:hyperlink>
          </w:p>
        </w:tc>
        <w:tc>
          <w:tcPr>
            <w:tcW w:w="1020" w:type="dxa"/>
            <w:vAlign w:val="bottom"/>
          </w:tcPr>
          <w:p>
            <w:pPr>
              <w:ind w:left="760"/>
              <w:spacing w:after="0"/>
              <w:rPr>
                <w:rFonts w:ascii="Arial" w:cs="Arial" w:eastAsia="Arial" w:hAnsi="Arial"/>
                <w:sz w:val="16"/>
                <w:szCs w:val="16"/>
                <w:color w:val="0000FF"/>
                <w:w w:val="89"/>
              </w:rPr>
            </w:pPr>
            <w:hyperlink w:anchor="page148">
              <w:r>
                <w:rPr>
                  <w:rFonts w:ascii="Arial" w:cs="Arial" w:eastAsia="Arial" w:hAnsi="Arial"/>
                  <w:sz w:val="16"/>
                  <w:szCs w:val="16"/>
                  <w:color w:val="0000FF"/>
                  <w:w w:val="89"/>
                </w:rPr>
                <w:t>147</w:t>
              </w:r>
            </w:hyperlink>
          </w:p>
        </w:tc>
      </w:tr>
      <w:tr>
        <w:trPr>
          <w:trHeight w:val="230"/>
        </w:trPr>
        <w:tc>
          <w:tcPr>
            <w:tcW w:w="9080" w:type="dxa"/>
            <w:vAlign w:val="bottom"/>
          </w:tcPr>
          <w:p>
            <w:pPr>
              <w:jc w:val="center"/>
              <w:ind w:left="639"/>
              <w:spacing w:after="0"/>
              <w:rPr>
                <w:sz w:val="20"/>
                <w:szCs w:val="20"/>
                <w:color w:val="auto"/>
              </w:rPr>
            </w:pPr>
            <w:r>
              <w:rPr>
                <w:rFonts w:ascii="Arial" w:cs="Arial" w:eastAsia="Arial" w:hAnsi="Arial"/>
                <w:sz w:val="16"/>
                <w:szCs w:val="16"/>
                <w:b w:val="1"/>
                <w:bCs w:val="1"/>
                <w:color w:val="00497F"/>
                <w:w w:val="97"/>
              </w:rPr>
              <w:t>PART III</w:t>
            </w:r>
          </w:p>
        </w:tc>
        <w:tc>
          <w:tcPr>
            <w:tcW w:w="1020" w:type="dxa"/>
            <w:vAlign w:val="bottom"/>
          </w:tcPr>
          <w:p>
            <w:pPr>
              <w:spacing w:after="0"/>
              <w:rPr>
                <w:sz w:val="19"/>
                <w:szCs w:val="19"/>
                <w:color w:val="auto"/>
              </w:rPr>
            </w:pPr>
          </w:p>
        </w:tc>
      </w:tr>
      <w:tr>
        <w:trPr>
          <w:trHeight w:val="257"/>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Directors, Executive Officers and Corporate Governance</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Executive Compensation</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Security Ownership of Certain Beneficial Owners and Management and Related Stockholder Matters</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Certain Relationships and Related Transactions, and Director Independence</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43"/>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Principal Accountant Fees and Services</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30"/>
        </w:trPr>
        <w:tc>
          <w:tcPr>
            <w:tcW w:w="9080" w:type="dxa"/>
            <w:vAlign w:val="bottom"/>
          </w:tcPr>
          <w:p>
            <w:pPr>
              <w:jc w:val="center"/>
              <w:ind w:left="639"/>
              <w:spacing w:after="0"/>
              <w:rPr>
                <w:sz w:val="20"/>
                <w:szCs w:val="20"/>
                <w:color w:val="auto"/>
              </w:rPr>
            </w:pPr>
            <w:r>
              <w:rPr>
                <w:rFonts w:ascii="Arial" w:cs="Arial" w:eastAsia="Arial" w:hAnsi="Arial"/>
                <w:sz w:val="16"/>
                <w:szCs w:val="16"/>
                <w:b w:val="1"/>
                <w:bCs w:val="1"/>
                <w:color w:val="00497F"/>
              </w:rPr>
              <w:t>PART IV</w:t>
            </w:r>
          </w:p>
        </w:tc>
        <w:tc>
          <w:tcPr>
            <w:tcW w:w="1020" w:type="dxa"/>
            <w:vAlign w:val="bottom"/>
          </w:tcPr>
          <w:p>
            <w:pPr>
              <w:spacing w:after="0"/>
              <w:rPr>
                <w:sz w:val="19"/>
                <w:szCs w:val="19"/>
                <w:color w:val="auto"/>
              </w:rPr>
            </w:pPr>
          </w:p>
        </w:tc>
      </w:tr>
      <w:tr>
        <w:trPr>
          <w:trHeight w:val="257"/>
        </w:trPr>
        <w:tc>
          <w:tcPr>
            <w:tcW w:w="9080" w:type="dxa"/>
            <w:vAlign w:val="bottom"/>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Exhibits</w:t>
              </w:r>
            </w:hyperlink>
          </w:p>
        </w:tc>
        <w:tc>
          <w:tcPr>
            <w:tcW w:w="1020" w:type="dxa"/>
            <w:vAlign w:val="bottom"/>
          </w:tcPr>
          <w:p>
            <w:pPr>
              <w:ind w:left="760"/>
              <w:spacing w:after="0"/>
              <w:rPr>
                <w:rFonts w:ascii="Arial" w:cs="Arial" w:eastAsia="Arial" w:hAnsi="Arial"/>
                <w:sz w:val="16"/>
                <w:szCs w:val="16"/>
                <w:color w:val="0000FF"/>
                <w:w w:val="89"/>
              </w:rPr>
            </w:pPr>
            <w:hyperlink w:anchor="page149">
              <w:r>
                <w:rPr>
                  <w:rFonts w:ascii="Arial" w:cs="Arial" w:eastAsia="Arial" w:hAnsi="Arial"/>
                  <w:sz w:val="16"/>
                  <w:szCs w:val="16"/>
                  <w:color w:val="0000FF"/>
                  <w:w w:val="89"/>
                </w:rPr>
                <w:t>148</w:t>
              </w:r>
            </w:hyperlink>
          </w:p>
        </w:tc>
      </w:tr>
      <w:tr>
        <w:trPr>
          <w:trHeight w:val="243"/>
        </w:trPr>
        <w:tc>
          <w:tcPr>
            <w:tcW w:w="9080" w:type="dxa"/>
            <w:vAlign w:val="bottom"/>
          </w:tcPr>
          <w:p>
            <w:pPr>
              <w:spacing w:after="0"/>
              <w:rPr>
                <w:rFonts w:ascii="Arial" w:cs="Arial" w:eastAsia="Arial" w:hAnsi="Arial"/>
                <w:sz w:val="16"/>
                <w:szCs w:val="16"/>
                <w:color w:val="0000FF"/>
              </w:rPr>
            </w:pPr>
            <w:hyperlink w:anchor="page151">
              <w:r>
                <w:rPr>
                  <w:rFonts w:ascii="Arial" w:cs="Arial" w:eastAsia="Arial" w:hAnsi="Arial"/>
                  <w:sz w:val="16"/>
                  <w:szCs w:val="16"/>
                  <w:color w:val="0000FF"/>
                </w:rPr>
                <w:t>Form 10-K Summary</w:t>
              </w:r>
            </w:hyperlink>
          </w:p>
        </w:tc>
        <w:tc>
          <w:tcPr>
            <w:tcW w:w="1020" w:type="dxa"/>
            <w:vAlign w:val="bottom"/>
          </w:tcPr>
          <w:p>
            <w:pPr>
              <w:ind w:left="760"/>
              <w:spacing w:after="0"/>
              <w:rPr>
                <w:rFonts w:ascii="Arial" w:cs="Arial" w:eastAsia="Arial" w:hAnsi="Arial"/>
                <w:sz w:val="16"/>
                <w:szCs w:val="16"/>
                <w:color w:val="0000FF"/>
                <w:w w:val="89"/>
              </w:rPr>
            </w:pPr>
            <w:hyperlink w:anchor="page151">
              <w:r>
                <w:rPr>
                  <w:rFonts w:ascii="Arial" w:cs="Arial" w:eastAsia="Arial" w:hAnsi="Arial"/>
                  <w:sz w:val="16"/>
                  <w:szCs w:val="16"/>
                  <w:color w:val="0000FF"/>
                  <w:w w:val="89"/>
                </w:rPr>
                <w:t>150</w:t>
              </w:r>
            </w:hyperlink>
          </w:p>
        </w:tc>
      </w:tr>
      <w:tr>
        <w:trPr>
          <w:trHeight w:val="216"/>
        </w:trPr>
        <w:tc>
          <w:tcPr>
            <w:tcW w:w="9080" w:type="dxa"/>
            <w:vAlign w:val="bottom"/>
          </w:tcPr>
          <w:p>
            <w:pPr>
              <w:spacing w:after="0"/>
              <w:rPr>
                <w:rFonts w:ascii="Arial" w:cs="Arial" w:eastAsia="Arial" w:hAnsi="Arial"/>
                <w:sz w:val="16"/>
                <w:szCs w:val="16"/>
                <w:color w:val="0000FF"/>
              </w:rPr>
            </w:pPr>
            <w:hyperlink w:anchor="page151">
              <w:r>
                <w:rPr>
                  <w:rFonts w:ascii="Arial" w:cs="Arial" w:eastAsia="Arial" w:hAnsi="Arial"/>
                  <w:sz w:val="16"/>
                  <w:szCs w:val="16"/>
                  <w:color w:val="0000FF"/>
                </w:rPr>
                <w:t>Signatures</w:t>
              </w:r>
            </w:hyperlink>
          </w:p>
        </w:tc>
        <w:tc>
          <w:tcPr>
            <w:tcW w:w="1020" w:type="dxa"/>
            <w:vAlign w:val="bottom"/>
          </w:tcPr>
          <w:p>
            <w:pPr>
              <w:ind w:left="760"/>
              <w:spacing w:after="0"/>
              <w:rPr>
                <w:rFonts w:ascii="Arial" w:cs="Arial" w:eastAsia="Arial" w:hAnsi="Arial"/>
                <w:sz w:val="16"/>
                <w:szCs w:val="16"/>
                <w:color w:val="0000FF"/>
                <w:w w:val="89"/>
              </w:rPr>
            </w:pPr>
            <w:hyperlink w:anchor="page151">
              <w:r>
                <w:rPr>
                  <w:rFonts w:ascii="Arial" w:cs="Arial" w:eastAsia="Arial" w:hAnsi="Arial"/>
                  <w:sz w:val="16"/>
                  <w:szCs w:val="16"/>
                  <w:color w:val="0000FF"/>
                  <w:w w:val="89"/>
                </w:rPr>
                <w:t>150</w:t>
              </w:r>
            </w:hyperlink>
          </w:p>
        </w:tc>
      </w:tr>
    </w:tbl>
    <w:p>
      <w:pPr>
        <w:spacing w:after="0" w:line="200" w:lineRule="exact"/>
        <w:rPr>
          <w:sz w:val="20"/>
          <w:szCs w:val="20"/>
          <w:color w:val="auto"/>
        </w:rPr>
      </w:pPr>
    </w:p>
    <w:p>
      <w:pPr>
        <w:sectPr>
          <w:pgSz w:w="11900" w:h="16838" w:orient="portrait"/>
          <w:cols w:equalWidth="0" w:num="2">
            <w:col w:w="600" w:space="380"/>
            <w:col w:w="10100"/>
          </w:cols>
          <w:pgMar w:left="280" w:top="1026" w:right="539" w:bottom="1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80"/>
          </w:cols>
          <w:pgMar w:left="280" w:top="1026" w:right="539" w:bottom="1112"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00497F"/>
        </w:rPr>
        <w:t>FORWARD-LOOKING STATEMENTS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87"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hanging="326"/>
        <w:spacing w:after="0" w:line="26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932" w:right="239" w:bottom="1440" w:gutter="0" w:footer="0" w:header="0"/>
        </w:sectPr>
      </w:pPr>
    </w:p>
    <w:bookmarkStart w:id="3" w:name="page4"/>
    <w:bookmarkEnd w:id="3"/>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Fortress Transportation and Infrastructure Investors LLC, a Delaware limited liability company, was formed on February 19, 2014. Except as otherwise specified, “FTAI”, “we”, “us”, “our”, or “the Company” refer to us and our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0.05% of Holdco and is the general partner of Holdco, which was formed on May 9, 2011 and commenced operations on June 23, 2011.</w:t>
      </w: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a management agreement, we are externally managed and advised by FIG LLC (the “Manager”), an affiliate of Fortress Investment Group LLC (“Fortress”). Fortress is a leading global investment management firm which has a dedicated team of experienced professionals focused on the acquisition of transportation and infrastructure assets since 2002. On December 27, 2017, SoftBank Group Corp. (“SoftBank”) announced that it completed its previously announced acquisition of Fortress (the “SoftBank Merger”). In connection with the Merger, Fortress operates within SoftBank as an independent business headquartered in New York.</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As of December 31, 2018, we had total consolidated assets of $2.6 billion and total equity of $1.1 billion.</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060"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293370</wp:posOffset>
            </wp:positionV>
            <wp:extent cx="5257165" cy="6586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57165" cy="658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3" w:lineRule="exact"/>
        <w:rPr>
          <w:sz w:val="20"/>
          <w:szCs w:val="20"/>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Jefferson Terminal, Railroad and Ports and Terminals are included in our Infrastructure Business; Aviation Leasing, Offshore Energy and Shipping Containers are included in our Equipment Leasing Business.</w:t>
      </w:r>
    </w:p>
    <w:p>
      <w:pPr>
        <w:sectPr>
          <w:pgSz w:w="11900" w:h="16838" w:orient="portrait"/>
          <w:cols w:equalWidth="0" w:num="1">
            <w:col w:w="11420"/>
          </w:cols>
          <w:pgMar w:left="240" w:top="10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6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00497F"/>
        </w:rPr>
        <w:t>Our Strategy</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in connection with our initial public offering (“IPO”),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Note 13 of our consolidated financial statements included in Item 8 in this Annual Report on Form 10-K for further details regarding our Management 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0497F"/>
        </w:rPr>
        <w:t>Our Portfolio</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Leasing Equipment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Aviation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our Aviation Leasing segment, we own and manage 212 aviation assets, including 70 aircraft and 142 commercial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2018, 67 of our commercial aircraft and 109 of our engines were leased to operators or other third parties. Aviation assets currently off lease are either undergoing repair and/or maintenance, being prepared to go on lease or held in short term storage awaiting a future lease. Our aviation equipment was approximately 91% utilized as of December 31, 2018, based on the equity value of our on-hire leasing equipment as a percentage of the total equity value of our aviation leasing equipment. Our aircraft currently have a weighted average remaining lease term of 34 months, and our engines currently on-lease have an average remaining lease term of 15 months. The table below provides additional information on the assets in our Aviation Leasing segment:</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shd w:val="clear" w:color="auto" w:fill="00497F"/>
          </w:tcPr>
          <w:p>
            <w:pPr>
              <w:spacing w:after="0"/>
              <w:rPr>
                <w:sz w:val="18"/>
                <w:szCs w:val="18"/>
                <w:color w:val="auto"/>
              </w:rPr>
            </w:pPr>
          </w:p>
        </w:tc>
        <w:tc>
          <w:tcPr>
            <w:tcW w:w="588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36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360" w:type="dxa"/>
            <w:vAlign w:val="bottom"/>
            <w:shd w:val="clear" w:color="auto" w:fill="00497F"/>
          </w:tcPr>
          <w:p>
            <w:pPr>
              <w:spacing w:after="0"/>
              <w:rPr>
                <w:sz w:val="18"/>
                <w:szCs w:val="18"/>
                <w:color w:val="auto"/>
              </w:rPr>
            </w:pPr>
          </w:p>
        </w:tc>
        <w:tc>
          <w:tcPr>
            <w:tcW w:w="120" w:type="dxa"/>
            <w:vAlign w:val="bottom"/>
            <w:shd w:val="clear" w:color="auto" w:fill="00497F"/>
          </w:tcPr>
          <w:p>
            <w:pPr>
              <w:spacing w:after="0"/>
              <w:rPr>
                <w:sz w:val="18"/>
                <w:szCs w:val="18"/>
                <w:color w:val="auto"/>
              </w:rPr>
            </w:pPr>
          </w:p>
        </w:tc>
        <w:tc>
          <w:tcPr>
            <w:tcW w:w="1420" w:type="dxa"/>
            <w:vAlign w:val="bottom"/>
            <w:shd w:val="clear" w:color="auto" w:fill="00497F"/>
          </w:tcPr>
          <w:p>
            <w:pPr>
              <w:ind w:left="460"/>
              <w:spacing w:after="0"/>
              <w:rPr>
                <w:sz w:val="20"/>
                <w:szCs w:val="20"/>
                <w:color w:val="auto"/>
              </w:rPr>
            </w:pPr>
            <w:r>
              <w:rPr>
                <w:rFonts w:ascii="Arial" w:cs="Arial" w:eastAsia="Arial" w:hAnsi="Arial"/>
                <w:sz w:val="14"/>
                <w:szCs w:val="14"/>
                <w:b w:val="1"/>
                <w:bCs w:val="1"/>
                <w:color w:val="FFFFFF"/>
              </w:rPr>
              <w:t>Narrowbody</w:t>
            </w:r>
          </w:p>
        </w:tc>
        <w:tc>
          <w:tcPr>
            <w:tcW w:w="320" w:type="dxa"/>
            <w:vAlign w:val="bottom"/>
            <w:shd w:val="clear" w:color="auto" w:fill="00497F"/>
          </w:tcPr>
          <w:p>
            <w:pPr>
              <w:spacing w:after="0"/>
              <w:rPr>
                <w:sz w:val="18"/>
                <w:szCs w:val="18"/>
                <w:color w:val="auto"/>
              </w:rPr>
            </w:pPr>
          </w:p>
        </w:tc>
        <w:tc>
          <w:tcPr>
            <w:tcW w:w="120" w:type="dxa"/>
            <w:vAlign w:val="bottom"/>
            <w:shd w:val="clear" w:color="auto" w:fill="00497F"/>
          </w:tcPr>
          <w:p>
            <w:pPr>
              <w:spacing w:after="0"/>
              <w:rPr>
                <w:sz w:val="18"/>
                <w:szCs w:val="18"/>
                <w:color w:val="auto"/>
              </w:rPr>
            </w:pPr>
          </w:p>
        </w:tc>
        <w:tc>
          <w:tcPr>
            <w:tcW w:w="1760" w:type="dxa"/>
            <w:vAlign w:val="bottom"/>
            <w:shd w:val="clear" w:color="auto" w:fill="00497F"/>
          </w:tcPr>
          <w:p>
            <w:pPr>
              <w:jc w:val="right"/>
              <w:ind w:right="64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20" w:type="dxa"/>
            <w:vAlign w:val="bottom"/>
          </w:tcPr>
          <w:p>
            <w:pPr>
              <w:spacing w:after="0"/>
              <w:rPr>
                <w:sz w:val="15"/>
                <w:szCs w:val="15"/>
                <w:color w:val="auto"/>
              </w:rPr>
            </w:pPr>
          </w:p>
        </w:tc>
        <w:tc>
          <w:tcPr>
            <w:tcW w:w="5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2018</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r>
      <w:tr>
        <w:trPr>
          <w:trHeight w:val="210"/>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2"/>
        </w:trPr>
        <w:tc>
          <w:tcPr>
            <w:tcW w:w="20" w:type="dxa"/>
            <w:vAlign w:val="bottom"/>
            <w:shd w:val="clear" w:color="auto" w:fill="CCEEFF"/>
          </w:tcPr>
          <w:p>
            <w:pPr>
              <w:spacing w:after="0"/>
              <w:rPr>
                <w:sz w:val="19"/>
                <w:szCs w:val="19"/>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36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5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4"/>
                <w:szCs w:val="14"/>
                <w:color w:val="auto"/>
              </w:rPr>
              <w:t>Transfers</w:t>
            </w:r>
          </w:p>
        </w:tc>
        <w:tc>
          <w:tcPr>
            <w:tcW w:w="1360" w:type="dxa"/>
            <w:vAlign w:val="bottom"/>
          </w:tcPr>
          <w:p>
            <w:pPr>
              <w:spacing w:after="0"/>
              <w:rPr>
                <w:sz w:val="18"/>
                <w:szCs w:val="18"/>
                <w:color w:val="auto"/>
              </w:rPr>
            </w:pPr>
          </w:p>
        </w:tc>
        <w:tc>
          <w:tcPr>
            <w:tcW w:w="1900" w:type="dxa"/>
            <w:vAlign w:val="bottom"/>
            <w:gridSpan w:val="3"/>
          </w:tcPr>
          <w:p>
            <w:pPr>
              <w:jc w:val="right"/>
              <w:ind w:right="152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2018</w:t>
            </w: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r>
      <w:tr>
        <w:trPr>
          <w:trHeight w:val="256"/>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5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110</w:t>
            </w:r>
          </w:p>
        </w:tc>
      </w:tr>
      <w:tr>
        <w:trPr>
          <w:trHeight w:val="222"/>
        </w:trPr>
        <w:tc>
          <w:tcPr>
            <w:tcW w:w="20" w:type="dxa"/>
            <w:vAlign w:val="bottom"/>
            <w:shd w:val="clear" w:color="auto" w:fill="CCEEFF"/>
          </w:tcPr>
          <w:p>
            <w:pPr>
              <w:spacing w:after="0"/>
              <w:rPr>
                <w:sz w:val="19"/>
                <w:szCs w:val="19"/>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10"/>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4"/>
                <w:szCs w:val="14"/>
                <w:color w:val="auto"/>
              </w:rPr>
              <w:t>Sales</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3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2018</w:t>
            </w: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Offshore Energy</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own one Anchor Handling Towing Supply ("AHTS") vessel, one construction support vessel, and one Remote Operated Vehicle ("ROV") support vessel. We seek to lease our assets in our Offshore Energy segment on medium to long-term charters. Depending upon the charter, the charterer may assume the operating expense and utilization risk. The AHTS vessel is a 2010-built DP-1, 5,150 bhp vessel used in the offshore oil and gas industry. The AHTS vessel was built by Guangzhou Panyu Lingshan Shipyard Ltd. in China and is designed to provide support services to offshore platforms, rigs and larger construction vessels. The AHTS vessel has accommodation for 30 personnel and is equipped with an advanced firefighting system and rescue boat to provide standby / emergency rescue services and a winch with total bollard pull of 68.5 tons. The AHTS vessel is subject to a 10-year direct finance lease with a local Mexican operator that expires in November 2023.</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construction support vessel is a 2014-built subsea construction support vessel for the SURF (subsea, umbilicals, risers, and flowlines), IMR, and pipelay markets. The construction support vessel was built at Davie Shipyard in Quebec, Canada and is designed to provide a range of services including flexible and small-diameter rigid pipelay, cable lay, saturation diving, ROV support, well intervention, top hole drilling and subsea installation. Our construction support vessel has advanced dynamic positioning (DP-3) systems, a 250-ton subsea crane, a moon pool, 2,000 square meters of open deck space and 100-person accommodation.</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ROV support vessel is a 2011-built DP-2, 6,000 bhp ROV support vessel that is used in the offshore oil and gas industry. The ROV support vessel was built by Jaya Holdings at their yard in Batam, Indonesia and is designed to provide construction support services including ROV support, dive support, accommodation and subsea and platform lifts. The ROV support vessel has accommodation for 120 personnel, a moon pool, a 50-ton crane, and can carry up to three ROVs.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chart below describes the assets in our Offshore Energy segment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37730" cy="114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14935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Borders>
              <w:top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color w:val="auto"/>
              </w:rPr>
              <w:t>Asset Type</w:t>
            </w:r>
          </w:p>
        </w:tc>
        <w:tc>
          <w:tcPr>
            <w:tcW w:w="10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840" w:type="dxa"/>
            <w:vAlign w:val="bottom"/>
            <w:tcBorders>
              <w:top w:val="single" w:sz="8" w:color="auto"/>
              <w:bottom w:val="single" w:sz="8" w:color="auto"/>
              <w:right w:val="single" w:sz="8" w:color="auto"/>
            </w:tcBorders>
            <w:shd w:val="clear" w:color="auto" w:fill="D8D8D8"/>
          </w:tcPr>
          <w:p>
            <w:pPr>
              <w:ind w:left="2560"/>
              <w:spacing w:after="0"/>
              <w:rPr>
                <w:sz w:val="20"/>
                <w:szCs w:val="20"/>
                <w:color w:val="auto"/>
              </w:rPr>
            </w:pPr>
            <w:r>
              <w:rPr>
                <w:rFonts w:ascii="Arial" w:cs="Arial" w:eastAsia="Arial" w:hAnsi="Arial"/>
                <w:sz w:val="14"/>
                <w:szCs w:val="14"/>
                <w:color w:val="auto"/>
              </w:rPr>
              <w:t>Description</w:t>
            </w:r>
          </w:p>
        </w:tc>
        <w:tc>
          <w:tcPr>
            <w:tcW w:w="1940" w:type="dxa"/>
            <w:vAlign w:val="bottom"/>
            <w:tcBorders>
              <w:top w:val="single" w:sz="8" w:color="auto"/>
              <w:bottom w:val="single" w:sz="8" w:color="auto"/>
            </w:tcBorders>
            <w:shd w:val="clear" w:color="auto" w:fill="D8D8D8"/>
          </w:tcPr>
          <w:p>
            <w:pPr>
              <w:jc w:val="right"/>
              <w:ind w:right="188"/>
              <w:spacing w:after="0"/>
              <w:rPr>
                <w:sz w:val="20"/>
                <w:szCs w:val="20"/>
                <w:color w:val="auto"/>
              </w:rPr>
            </w:pPr>
            <w:r>
              <w:rPr>
                <w:rFonts w:ascii="Arial" w:cs="Arial" w:eastAsia="Arial" w:hAnsi="Arial"/>
                <w:sz w:val="14"/>
                <w:szCs w:val="14"/>
                <w:color w:val="auto"/>
              </w:rPr>
              <w:t>Economic Interest (%)</w:t>
            </w:r>
          </w:p>
        </w:tc>
      </w:tr>
      <w:tr>
        <w:trPr>
          <w:trHeight w:val="193"/>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AHTS Vessel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2010</w:t>
            </w: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1940" w:type="dxa"/>
            <w:vAlign w:val="bottom"/>
          </w:tcPr>
          <w:p>
            <w:pPr>
              <w:jc w:val="right"/>
              <w:ind w:right="788"/>
              <w:spacing w:after="0"/>
              <w:rPr>
                <w:sz w:val="20"/>
                <w:szCs w:val="20"/>
                <w:color w:val="auto"/>
              </w:rPr>
            </w:pPr>
            <w:r>
              <w:rPr>
                <w:rFonts w:ascii="Arial" w:cs="Arial" w:eastAsia="Arial" w:hAnsi="Arial"/>
                <w:sz w:val="14"/>
                <w:szCs w:val="14"/>
                <w:color w:val="auto"/>
              </w:rPr>
              <w:t>100%</w:t>
            </w:r>
          </w:p>
        </w:tc>
      </w:tr>
      <w:tr>
        <w:trPr>
          <w:trHeight w:val="178"/>
        </w:trPr>
        <w:tc>
          <w:tcPr>
            <w:tcW w:w="26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and a total bollard pull of 68.5 tons</w:t>
            </w:r>
          </w:p>
        </w:tc>
        <w:tc>
          <w:tcPr>
            <w:tcW w:w="1940" w:type="dxa"/>
            <w:vAlign w:val="bottom"/>
            <w:tcBorders>
              <w:bottom w:val="single" w:sz="8" w:color="auto"/>
            </w:tcBorders>
          </w:tcPr>
          <w:p>
            <w:pPr>
              <w:spacing w:after="0"/>
              <w:rPr>
                <w:sz w:val="15"/>
                <w:szCs w:val="15"/>
                <w:color w:val="auto"/>
              </w:rPr>
            </w:pPr>
          </w:p>
        </w:tc>
      </w:tr>
      <w:tr>
        <w:trPr>
          <w:trHeight w:val="193"/>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Construction Support Vessel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DP-3 construction support and well intervention vessel with</w:t>
            </w:r>
          </w:p>
        </w:tc>
        <w:tc>
          <w:tcPr>
            <w:tcW w:w="1940" w:type="dxa"/>
            <w:vAlign w:val="bottom"/>
          </w:tcPr>
          <w:p>
            <w:pPr>
              <w:jc w:val="right"/>
              <w:ind w:right="788"/>
              <w:spacing w:after="0"/>
              <w:rPr>
                <w:sz w:val="20"/>
                <w:szCs w:val="20"/>
                <w:color w:val="auto"/>
              </w:rPr>
            </w:pPr>
            <w:r>
              <w:rPr>
                <w:rFonts w:ascii="Arial" w:cs="Arial" w:eastAsia="Arial" w:hAnsi="Arial"/>
                <w:sz w:val="14"/>
                <w:szCs w:val="14"/>
                <w:color w:val="auto"/>
              </w:rPr>
              <w:t>100%</w:t>
            </w:r>
          </w:p>
        </w:tc>
      </w:tr>
      <w:tr>
        <w:trPr>
          <w:trHeight w:val="162"/>
        </w:trPr>
        <w:tc>
          <w:tcPr>
            <w:tcW w:w="26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1940" w:type="dxa"/>
            <w:vAlign w:val="bottom"/>
          </w:tcPr>
          <w:p>
            <w:pPr>
              <w:spacing w:after="0"/>
              <w:rPr>
                <w:sz w:val="14"/>
                <w:szCs w:val="14"/>
                <w:color w:val="auto"/>
              </w:rPr>
            </w:pPr>
          </w:p>
        </w:tc>
      </w:tr>
      <w:tr>
        <w:trPr>
          <w:trHeight w:val="178"/>
        </w:trPr>
        <w:tc>
          <w:tcPr>
            <w:tcW w:w="26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accommodation for 100 personnel</w:t>
            </w:r>
          </w:p>
        </w:tc>
        <w:tc>
          <w:tcPr>
            <w:tcW w:w="1940" w:type="dxa"/>
            <w:vAlign w:val="bottom"/>
            <w:tcBorders>
              <w:bottom w:val="single" w:sz="8" w:color="auto"/>
            </w:tcBorders>
          </w:tcPr>
          <w:p>
            <w:pPr>
              <w:spacing w:after="0"/>
              <w:rPr>
                <w:sz w:val="15"/>
                <w:szCs w:val="15"/>
                <w:color w:val="auto"/>
              </w:rPr>
            </w:pPr>
          </w:p>
        </w:tc>
      </w:tr>
      <w:tr>
        <w:trPr>
          <w:trHeight w:val="193"/>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ROV Support Vessel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2011</w:t>
            </w: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DP-2 dive and ROV support vessel with 50-ton crane, moon pool and accommodation for</w:t>
            </w:r>
          </w:p>
        </w:tc>
        <w:tc>
          <w:tcPr>
            <w:tcW w:w="1940" w:type="dxa"/>
            <w:vAlign w:val="bottom"/>
          </w:tcPr>
          <w:p>
            <w:pPr>
              <w:jc w:val="right"/>
              <w:ind w:right="708"/>
              <w:spacing w:after="0"/>
              <w:rPr>
                <w:sz w:val="20"/>
                <w:szCs w:val="20"/>
                <w:color w:val="auto"/>
              </w:rPr>
            </w:pPr>
            <w:r>
              <w:rPr>
                <w:rFonts w:ascii="Arial" w:cs="Arial" w:eastAsia="Arial" w:hAnsi="Arial"/>
                <w:sz w:val="14"/>
                <w:szCs w:val="14"/>
                <w:color w:val="auto"/>
              </w:rPr>
              <w:t>100%</w:t>
            </w:r>
          </w:p>
        </w:tc>
      </w:tr>
      <w:tr>
        <w:trPr>
          <w:trHeight w:val="178"/>
        </w:trPr>
        <w:tc>
          <w:tcPr>
            <w:tcW w:w="26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120 personnel</w:t>
            </w:r>
          </w:p>
        </w:tc>
        <w:tc>
          <w:tcPr>
            <w:tcW w:w="19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Intermodal Transport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own, through a joint venture, a 51% interest in a portfolio of approximately 8,000 maritime shipping containers, including both dry and refrigerated units. The containers in this portfolio are subject to operating leases with a large Asian shipping line and finance leases with one other container shipping line. As of December 31, 2018, approximately 5,000 containers were on lease with the remaining average lease term of less than one year.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describes the assets in our Shipping Containers segment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7220585" cy="746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0585" cy="746125"/>
                    </a:xfrm>
                    <a:prstGeom prst="rect">
                      <a:avLst/>
                    </a:prstGeom>
                    <a:noFill/>
                  </pic:spPr>
                </pic:pic>
              </a:graphicData>
            </a:graphic>
          </wp:anchor>
        </w:drawing>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Shipping Containers Assets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00" w:type="dxa"/>
            <w:vAlign w:val="bottom"/>
            <w:tcBorders>
              <w:top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color w:val="auto"/>
              </w:rPr>
              <w:t>Number of Containers</w:t>
            </w:r>
          </w:p>
        </w:tc>
        <w:tc>
          <w:tcPr>
            <w:tcW w:w="1580" w:type="dxa"/>
            <w:vAlign w:val="bottom"/>
            <w:tcBorders>
              <w:top w:val="single" w:sz="8" w:color="auto"/>
              <w:bottom w:val="single" w:sz="8" w:color="auto"/>
              <w:right w:val="single" w:sz="8" w:color="auto"/>
            </w:tcBorders>
            <w:shd w:val="clear" w:color="auto" w:fill="D8D8D8"/>
          </w:tcPr>
          <w:p>
            <w:pPr>
              <w:ind w:left="620"/>
              <w:spacing w:after="0"/>
              <w:rPr>
                <w:sz w:val="20"/>
                <w:szCs w:val="20"/>
                <w:color w:val="auto"/>
              </w:rPr>
            </w:pPr>
            <w:r>
              <w:rPr>
                <w:rFonts w:ascii="Arial" w:cs="Arial" w:eastAsia="Arial" w:hAnsi="Arial"/>
                <w:sz w:val="14"/>
                <w:szCs w:val="14"/>
                <w:color w:val="auto"/>
              </w:rPr>
              <w:t>Type</w:t>
            </w:r>
          </w:p>
        </w:tc>
        <w:tc>
          <w:tcPr>
            <w:tcW w:w="1420" w:type="dxa"/>
            <w:vAlign w:val="bottom"/>
            <w:tcBorders>
              <w:top w:val="single" w:sz="8" w:color="auto"/>
              <w:bottom w:val="single" w:sz="8" w:color="auto"/>
              <w:right w:val="single" w:sz="8" w:color="auto"/>
            </w:tcBorders>
            <w:shd w:val="clear" w:color="auto" w:fill="D8D8D8"/>
          </w:tcPr>
          <w:p>
            <w:pPr>
              <w:ind w:left="280"/>
              <w:spacing w:after="0"/>
              <w:rPr>
                <w:sz w:val="20"/>
                <w:szCs w:val="20"/>
                <w:color w:val="auto"/>
              </w:rPr>
            </w:pPr>
            <w:r>
              <w:rPr>
                <w:rFonts w:ascii="Arial" w:cs="Arial" w:eastAsia="Arial" w:hAnsi="Arial"/>
                <w:sz w:val="14"/>
                <w:szCs w:val="14"/>
                <w:color w:val="auto"/>
              </w:rPr>
              <w:t>Average Age</w:t>
            </w:r>
          </w:p>
        </w:tc>
        <w:tc>
          <w:tcPr>
            <w:tcW w:w="1880" w:type="dxa"/>
            <w:vAlign w:val="bottom"/>
            <w:tcBorders>
              <w:top w:val="single" w:sz="8" w:color="auto"/>
              <w:bottom w:val="single" w:sz="8" w:color="auto"/>
              <w:right w:val="single" w:sz="8" w:color="auto"/>
            </w:tcBorders>
            <w:shd w:val="clear" w:color="auto" w:fill="D8D8D8"/>
          </w:tcPr>
          <w:p>
            <w:pPr>
              <w:ind w:left="560"/>
              <w:spacing w:after="0"/>
              <w:rPr>
                <w:sz w:val="20"/>
                <w:szCs w:val="20"/>
                <w:color w:val="auto"/>
              </w:rPr>
            </w:pPr>
            <w:r>
              <w:rPr>
                <w:rFonts w:ascii="Arial" w:cs="Arial" w:eastAsia="Arial" w:hAnsi="Arial"/>
                <w:sz w:val="14"/>
                <w:szCs w:val="14"/>
                <w:color w:val="auto"/>
              </w:rPr>
              <w:t>Lease Type</w:t>
            </w:r>
          </w:p>
        </w:tc>
        <w:tc>
          <w:tcPr>
            <w:tcW w:w="1940" w:type="dxa"/>
            <w:vAlign w:val="bottom"/>
            <w:tcBorders>
              <w:top w:val="single" w:sz="8" w:color="auto"/>
              <w:bottom w:val="single" w:sz="8" w:color="auto"/>
              <w:right w:val="single" w:sz="8" w:color="auto"/>
            </w:tcBorders>
            <w:shd w:val="clear" w:color="auto" w:fill="D8D8D8"/>
          </w:tcPr>
          <w:p>
            <w:pPr>
              <w:ind w:left="520"/>
              <w:spacing w:after="0"/>
              <w:rPr>
                <w:sz w:val="20"/>
                <w:szCs w:val="20"/>
                <w:color w:val="auto"/>
              </w:rPr>
            </w:pPr>
            <w:r>
              <w:rPr>
                <w:rFonts w:ascii="Arial" w:cs="Arial" w:eastAsia="Arial" w:hAnsi="Arial"/>
                <w:sz w:val="14"/>
                <w:szCs w:val="14"/>
                <w:color w:val="auto"/>
              </w:rPr>
              <w:t>Customer Mix</w:t>
            </w:r>
          </w:p>
        </w:tc>
        <w:tc>
          <w:tcPr>
            <w:tcW w:w="1940" w:type="dxa"/>
            <w:vAlign w:val="bottom"/>
            <w:tcBorders>
              <w:top w:val="single" w:sz="8" w:color="auto"/>
              <w:bottom w:val="single" w:sz="8" w:color="auto"/>
            </w:tcBorders>
            <w:shd w:val="clear" w:color="auto" w:fill="D8D8D8"/>
          </w:tcPr>
          <w:p>
            <w:pPr>
              <w:jc w:val="right"/>
              <w:ind w:right="188"/>
              <w:spacing w:after="0"/>
              <w:rPr>
                <w:sz w:val="20"/>
                <w:szCs w:val="20"/>
                <w:color w:val="auto"/>
              </w:rPr>
            </w:pPr>
            <w:r>
              <w:rPr>
                <w:rFonts w:ascii="Arial" w:cs="Arial" w:eastAsia="Arial" w:hAnsi="Arial"/>
                <w:sz w:val="14"/>
                <w:szCs w:val="14"/>
                <w:color w:val="auto"/>
              </w:rPr>
              <w:t>Economic Interest (%)</w:t>
            </w:r>
          </w:p>
        </w:tc>
      </w:tr>
      <w:tr>
        <w:trPr>
          <w:trHeight w:val="193"/>
        </w:trPr>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8,000</w:t>
            </w:r>
          </w:p>
        </w:tc>
        <w:tc>
          <w:tcPr>
            <w:tcW w:w="15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Dry</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 Years</w:t>
            </w:r>
          </w:p>
        </w:tc>
        <w:tc>
          <w:tcPr>
            <w:tcW w:w="1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Direct Finance</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 Customers</w:t>
            </w:r>
          </w:p>
        </w:tc>
        <w:tc>
          <w:tcPr>
            <w:tcW w:w="1940" w:type="dxa"/>
            <w:vAlign w:val="bottom"/>
          </w:tcPr>
          <w:p>
            <w:pPr>
              <w:jc w:val="right"/>
              <w:ind w:right="828"/>
              <w:spacing w:after="0"/>
              <w:rPr>
                <w:sz w:val="20"/>
                <w:szCs w:val="20"/>
                <w:color w:val="auto"/>
              </w:rPr>
            </w:pPr>
            <w:r>
              <w:rPr>
                <w:rFonts w:ascii="Arial" w:cs="Arial" w:eastAsia="Arial" w:hAnsi="Arial"/>
                <w:sz w:val="14"/>
                <w:szCs w:val="14"/>
                <w:color w:val="auto"/>
              </w:rPr>
              <w:t>51%</w:t>
            </w:r>
          </w:p>
        </w:tc>
      </w:tr>
      <w:tr>
        <w:trPr>
          <w:trHeight w:val="162"/>
        </w:trPr>
        <w:tc>
          <w:tcPr>
            <w:tcW w:w="26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Reefer</w:t>
            </w:r>
          </w:p>
        </w:tc>
        <w:tc>
          <w:tcPr>
            <w:tcW w:w="14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Lease/Operating Lease</w:t>
            </w:r>
          </w:p>
        </w:tc>
        <w:tc>
          <w:tcPr>
            <w:tcW w:w="1940" w:type="dxa"/>
            <w:vAlign w:val="bottom"/>
            <w:tcBorders>
              <w:right w:val="single" w:sz="8" w:color="auto"/>
            </w:tcBorders>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26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40’ Dry</w:t>
            </w:r>
          </w:p>
        </w:tc>
        <w:tc>
          <w:tcPr>
            <w:tcW w:w="142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940" w:type="dxa"/>
            <w:vAlign w:val="bottom"/>
          </w:tcPr>
          <w:p>
            <w:pPr>
              <w:spacing w:after="0"/>
              <w:rPr>
                <w:sz w:val="14"/>
                <w:szCs w:val="14"/>
                <w:color w:val="auto"/>
              </w:rPr>
            </w:pPr>
          </w:p>
        </w:tc>
      </w:tr>
      <w:tr>
        <w:trPr>
          <w:trHeight w:val="178"/>
        </w:trPr>
        <w:tc>
          <w:tcPr>
            <w:tcW w:w="260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40’ HC Dry</w:t>
            </w:r>
          </w:p>
        </w:tc>
        <w:tc>
          <w:tcPr>
            <w:tcW w:w="142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Jefferson Terminal</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2014, we and certain other Fortress affiliates purchased substantially all of the assets and assumed certain liabilities of Jefferson Terminal ("Jefferson"), a Texas-based group of companies developing crude oil and refined products logistics assets. As of December 31, 2018, Jefferson is wholly owned by us and certain Fortress affiliates.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Jefferson Terminal is located on approximately 250 acres of land at the Port of Beaumont, Texas (the “Port”). Today, Jefferson leases 202 acres from the Port under four separate leases. Three of the leases have 50 year terms that expire in June 2062 (20 acres), August 2063 (31 acres), and January 2065 (145 acres). The fourth lease expires in August 2019 (6 acres). As part of the leases, Jefferson was granted the concession to operate as the sole handler of liquid hydrocarbons at the Port. Jefferson does not own any land at Jefferson Terminal, but does own certain equipment and leasehold improvements carried out as part of the Jefferson Terminal build-out.</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Jefferson Terminal is developing a large multi-modal crude oil and refined products handling terminal at the Port and also owns several other assets for the transportation and processing of crude oil and related products. Jefferson Terminal has a unique combination of direct rail service from three Class I railroads, barge docks and deep water ship loading capacity, capabilities to handle multiple types of products including ethanol, refined products and both free-flowing crude oil and bitumen, and a prime location close to Port Arthur and Lake Charles, which are home to refineries with over 2.3 million barrels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per day of capacity. Today, Jefferson Terminal has approximately 4.3 million barrels of storage tanks in operation or under construction. As we secure new storage/handling contracts, we expect to expand storage capacity and/or develop new assets. The timing of the ultimate development of Jefferson Terminal will be dependent, in part, on the pace at which contracts are executed as well as the amount of volume subject to such contracts.</w:t>
      </w:r>
    </w:p>
    <w:p>
      <w:pPr>
        <w:spacing w:after="0" w:line="94"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All capacities refer to shell-tank capacity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60" w:right="239" w:bottom="1440" w:gutter="0" w:footer="0" w:header="0"/>
        </w:sectPr>
      </w:pPr>
    </w:p>
    <w:bookmarkStart w:id="8" w:name="page9"/>
    <w:bookmarkEnd w:id="8"/>
    <w:p>
      <w:pPr>
        <w:jc w:val="both"/>
        <w:spacing w:after="0" w:line="248" w:lineRule="auto"/>
        <w:rPr>
          <w:sz w:val="20"/>
          <w:szCs w:val="20"/>
          <w:color w:val="auto"/>
        </w:rPr>
      </w:pPr>
      <w:r>
        <w:rPr>
          <w:rFonts w:ascii="Arial" w:cs="Arial" w:eastAsia="Arial" w:hAnsi="Arial"/>
          <w:sz w:val="16"/>
          <w:szCs w:val="16"/>
          <w:color w:val="auto"/>
        </w:rPr>
        <w:t>Jefferson Terminal’s prime location and excellent transportation connectivity make it well suited to provide logistics solutions to local refineries, including blending, storage and delivery of crude oil, ethanol and refined products. Heavy crude oil from Western Canada is in high demand on the Gulf Coast because most refineries in the area are configured to handle heavier crudes (previously sourced predominately from Mexico and Venezuela) than those in other parts of the United States. Canadian conventionally produced heavy crude is well suited for transport by rail rather than pipeline because of its high viscosity. Jefferson Terminal is one of only a few terminals on the Gulf Coast that has heated unloading system capabilities to handle this type of heavy crude. As the production of Western Canadian crude oil grows in excess of existing pipeline capacity, demand for crude-by-rail to the Gulf Coast is expected to increase. Growing U.S. ethanol production and relatively flat domestic demand is expected to lead to more storage and logistics opportunities, primarily for exports. Additionally, demand for services to export ethanol is expected to increase as countries establish mandates on ethanol use or raise the required ethanol percentages in gasoline blends. Refined products opportunities for storage and logistics are expected to be positively impacted by Mexico deregulating its imports of both gasoline and diesel. Mexico’s imports of both gasoline and diesel increased from 24% in 2006 to 72% in 2018 as output from Mexican refineries has fallen.</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Jefferson Terminal operates an unheated crude oil unloading system, which has the capacity to discharge a unit train of up to 114 cars and a heated crude oil unloading system, which has the capacity to unload a unit train of up to 128 cars of high viscosity crude oil. Jefferson Terminal has two crude truck unloading bays. Jefferson Terminal has storage tanks with capacity to hold approximately 1.16 million barrels configured for crude oil in service. Additionally, approximately 2.2 million barrels of additional crude storage is under construction and expected to be in service in 2019. We are developing pipeline connections to some local refineries, which would allow for a lower cost of transportation to and from Jefferson Terminal. To date, we have initiated permitting and substantially completed engineering plans for several pipelines. Once we execute formal contracts with a customer, pipeline construction is estimated to take between 15 and 18 months depending on the final specifications of each project. Completion of construction is subject to a number of factors, some of which are beyond our control, and there can be no assurance that we will not experience a delay.</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2016, Jefferson Ethanol Holdings LLC, our subsidiary, formed a joint venture to construct and operate an ethanol distribution hub at Jefferson Terminal. The ethanol hub has direct access to multiple transportation options including up to Aframax class vessels, inland coastwise barges, trucks, and unit trains with direct mainline service from three Class I railroads. The ethanol hub leverages some existing infrastructure at Jefferson Terminal. The initial system, including unit train offloading, 610,000 barrels of storage, marine loading and offloading, and truck loading, was placed into operation in the fourth quarter of 2017.</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Mexican demand for U.S.-sourced refined products continues to increase, however Mexico lacks the infrastructure required to efficiently import, store and distribute large volumes of gasoline and diesel. This has spurred the rapid build-out of new Mexican transloading rail terminals, as well as storage capacity on both sides of the U.S.-Mexico border. To meet such increased demand, Jefferson built and placed into service in late 2017 a refined products system which receives three grades of products by inland tank barge via the barge dock, stores the cargo in three tanks with a combined capacity of approximately 282,000 barrels, and a rail car loading system with the capacity to load a unit train. In 2018, three additional tanks totaling 369,000 barrels were configured for additional grades of fuel. The rail loading rack was increased from six to 20 spots, increasing the system capacity to approximately 40,000 barrels per day. This system may be further expanded to meet additional market demand.</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Jefferson Terminal, Jefferson owns several other energy and transportation-related assets, including 300 tank railcars which are leased to a third party; a gas processing and condensate stabilization plant; pipeline rights-of-way; and a private inland marine terminal property all of which can be developed. These assets can be deployed or developed in the future to meet market demands for transportation and hydrocarbon processing, and if successfully deployed or developed, may represent additional opportunities to generate stable, recurring cash flow. As we secure customer contracts, we expect to invest equity capital to fund working capital needs and future construction, which may be required.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CMQR</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Central Maine and Québec Railway (“CMQR”) is a 480-mile Class III railroad that runs from Montreal to the east coast of Maine, primarily transporting pulp and paper, construction products and chemicals. The CMQR offers the most direct route from ports in Montreal and on the east coast of the United States to manufacturers and other customers in Maine and Quebec. We believe that CMQR represents an investment in critical infrastructure with a captive customer base at an attractive valuation and significant growth potential.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 Ridge Energy Terminal</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16, 2017, through Ohio River Partners Shareholders LLC (“ORP”), a consolidated subsidiary, we purchased the assets of Long Ridge Energy Terminal (“Long Ridge”), formerly known as Hannibal, which consisted primarily of land, buildings, railroad track, docks, water rights, site improvements and other rights. We purchased 100% of the interest in these assets. ORP is solely reliant on us to finance its activities and therefore is a variable interest entity (“VIE”). We concluded that we are the primary beneficiary; accordingly, ORP has been presented on a consolidated basis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6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Repauno</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1, 2016, through Delaware River Partners LLC (“DRP”), a consolidated subsidiary, we purchased the assets of a deep-water port located along the Delaware River with multiple industrial development opportunities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 90% economic interest and a 100% voting interest in DRP. DRP is solely reliant on us to finance activities and therefore is a VIE. We concluded that we are the primary beneficiary; and accordingly, DRP has been presented on a consolidated basis in the accompanying financial statements. We have the right to purchase an additional 8% economic interest from the non-controlling party after the second anniversary but prior to the fifth year anniversary of the acquisition of Repauno. At the time of the purchase, we concluded that 8% of the 10% interest held by the non-controlling party does not share in the risks or rewards of true equity; and therefore $5.3 million was recorded in other liabilities on our Consolidated Balance Sheet. The remaining 2% economic non-controlling interest was valued at $0.6 million at the acquisition date.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the year ended December 31, 2018, we earned approximately 16% of our revenue from our largest customer.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044" w:right="23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 and operators.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Environmental Regulations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Employees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and as a result, we have no employees other than 49 individuals employed by Jefferson, 148 individuals employed by CMQR, of which 105 CMQR employees are covered under a collective bargaining agreement, two individuals employed by the Offshore Energy segment, eight individuals employed by Repauno and ten employees employed by Long Ridge.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952" w:right="239" w:bottom="1440" w:gutter="0" w:footer="0" w:header="0"/>
        </w:sectPr>
      </w:pPr>
    </w:p>
    <w:bookmarkStart w:id="11" w:name="page12"/>
    <w:bookmarkEnd w:id="11"/>
    <w:p>
      <w:pPr>
        <w:jc w:val="both"/>
        <w:spacing w:after="0" w:line="249"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refer to Note 14 of our consolidated financial statements included in Item 8 in this Annual Report on Form 10-K for a report, by geographic area for each segment, of revenues from our external customers, for the years ended December 31, 2018 and 2017, as well as a report, by geographic area for each segment, of our total property, plant and equipment and equipment held for lease as of December 31, 2018 and 2017.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Our SEC filings are available to the public from the SEC’s internet site at http://www.sec.gov.</w:t>
      </w:r>
    </w:p>
    <w:p>
      <w:pPr>
        <w:spacing w:after="0" w:line="2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6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0497F"/>
        </w:rPr>
        <w:t>Item 1A. Risk Factors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Risks Related to Our Business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9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60" w:right="2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2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60"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11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9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60" w:right="239" w:bottom="1440" w:gutter="0" w:footer="0" w:header="0"/>
        </w:sectPr>
      </w:pPr>
    </w:p>
    <w:bookmarkStart w:id="17" w:name="page18"/>
    <w:bookmarkEnd w:id="17"/>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(DOT or Transport Canada), the Occupational Safety and Health Act (OSHA or Canadian provincial equivalents), the U.S. Federal Railroad Administration (FRA), and the U.S. Surface Transportation Board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60" w:right="2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8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40" w:right="239" w:bottom="1440" w:gutter="0" w:footer="0" w:header="0"/>
        </w:sectPr>
      </w:pPr>
    </w:p>
    <w:bookmarkStart w:id="20" w:name="page21"/>
    <w:bookmarkEnd w:id="20"/>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transportation and infrastructure sectors which could result in additional risks and uncertainties for our business and unexpected regulatory compliance costs.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potential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60" w:right="2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the indenture governing our Senior Notes and the revolving credit facility entered into on June 16, 2017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9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a limited operating history, our historical financial and operating data may not be representative of our future results.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8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040" w:right="239" w:bottom="1440" w:gutter="0" w:footer="0" w:header="0"/>
        </w:sectPr>
      </w:pPr>
    </w:p>
    <w:bookmarkStart w:id="23" w:name="page24"/>
    <w:bookmarkEnd w:id="23"/>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 not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December 31, 2018 and we do not anticipate any expenditures relating to environmental clean-up (including impacts to the Chaudière River) as a result of the Incident.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060" w:right="2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Manager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060" w:right="23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60"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Taxation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(as defined in the Code) (a “CFC”)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tax reform could adversely affect us and our shareholders.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 In some cases, there is uncertainty around the scope and application of the new legislation that may be addressed in future guidance issued by the U.S. Department of Treasury and the IRS.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040"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040" w:right="2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60"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ability of our corporate subsidiaries to utilize net operating losses ("NOLs") to offset their future taxable income may become limited.</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Certain of our corporate subsidiaries have significant NOLs, and any limitation on their use could materially affect our profitability. Such a limitation could occur if our corporate subsidiaries were to experience an "ownership change" as defined under Section 382 of the Code. The rules for determining ownership changes are complex, and changes in the ownership of our common shares could cause an ownership change in one or more of our corporate subsidiaries. Sales of our common shares by our shareholders, as well as future issuances of our common shares, could contribute to a potential ownership change in our corporate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Further, the Multilateral Convention to Implement Tax Treaty Related Measures to Prevent Base Erosion and Profit Shifting ("BEPS") recently entered into force among the jurisdictions that ratified it. The implementation of BEPS prevention measures could result in a higher effective tax rate on our worldwide earnings by, for example, reducing the tax deductions or otherwise increasing the taxable income of our subsidiaries. In addition,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040" w:right="2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legislation regarding U.S. federal income tax liability arising from IRS audits could adversely affect our shareholders.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Shares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3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9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2018, and will be required to do so going forward.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In early 2018, we granted our Manager an option to acquire 700,000 common shares are part of the equity offering discussed in Note 15 to this Annual Report on Form 10-K.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December 31, 2018, rights relating to 851,642 of our common shares were outstanding under the Incentive Plan. In connection with offerings that closed on January 16, 2018 and December 4, 2018, the number of shares reserved for issuance under the Incentive Plan will be increased in an amount equal to 826,342 common shares, which amount corresponds to the common shares subject to the option described above.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60" w:right="239" w:bottom="1440" w:gutter="0" w:footer="0" w:header="0"/>
        </w:sectPr>
      </w:pPr>
    </w:p>
    <w:bookmarkStart w:id="32" w:name="page33"/>
    <w:bookmarkEnd w:id="32"/>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6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Florida, Ireland, and Dubai. Our Railroad operating segment owns approximately 480 miles of rail lines, related corridor, and railyards in Maine, Vermont, Quebec, Canada, as well as leases 56 miles of rail lines, approximately 8,500 square feet of office space and approximately 20 acres of railroad facilities in Maine. Our Jefferson Terminal operating segment leases approximately 200 acres of property for its terminal facilities and leases approximately 12,300 square feet of office space in Texas and 300 square feet in Canada. In 2016, we acquired Repauno, located in New Jersey, which includes over 1,600 acres of land, riparian rights, rail tracks and a 186,000 barrel underground storage cavern. We are redeveloping the asset to be a multi-purpose, multi-modal deepwater port. In 2017, we acquired Long Ridge, located in Ohio, which is a 1,660 acre multi-modal port. Our Offshore operating segment leases a small office in Singapore. We believe that our office facilities and properties are suitable and adequate for our business as it is contemplated to be conducted.</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ind w:left="54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common shares began trading on the NYSE under the symbol “FTAI” on May 15, 2015, the date of the IPO. As of February 26, 2019, there were approximately nine record holders of our common shares. This figure does not reflect the beneficial ownership of shares held in nominee name.</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27, 2019, our Board of Directors declared a cash dividend on our common shares of $0.33 per share for the quarter ended December 31, 2018, payable on March 27, 2019 to the holders of record on March 15,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2015, in connection with the IPO,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As of December 31, 2018, the Incentive Plan provides for the issuance of up to 30,000,000 shares.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summarizes the total number of outstanding securities in the Plan and the number of securities remaining for future issuance, as well as the weighted average strike price of all outstanding securities as of December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Equity Compensation Plan Information</w:t>
            </w:r>
          </w:p>
        </w:tc>
        <w:tc>
          <w:tcPr>
            <w:tcW w:w="2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 issued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Weighted-average exercise price of</w:t>
            </w:r>
          </w:p>
        </w:tc>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upon exercise of outstanding options,</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outstanding options, warrants, and</w:t>
            </w: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1"/>
                <w:szCs w:val="11"/>
                <w:color w:val="auto"/>
              </w:rPr>
            </w:pPr>
          </w:p>
        </w:tc>
        <w:tc>
          <w:tcPr>
            <w:tcW w:w="2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2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CCEEFF"/>
            </w:tcBorders>
          </w:tcPr>
          <w:p>
            <w:pPr>
              <w:spacing w:after="0"/>
              <w:rPr>
                <w:sz w:val="15"/>
                <w:szCs w:val="15"/>
                <w:color w:val="auto"/>
              </w:rPr>
            </w:pPr>
          </w:p>
        </w:tc>
        <w:tc>
          <w:tcPr>
            <w:tcW w:w="2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w:t>
            </w: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851,342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29,905,717</w:t>
            </w:r>
          </w:p>
        </w:tc>
        <w:tc>
          <w:tcPr>
            <w:tcW w:w="0" w:type="dxa"/>
            <w:vAlign w:val="bottom"/>
          </w:tcPr>
          <w:p>
            <w:pPr>
              <w:spacing w:after="0"/>
              <w:rPr>
                <w:sz w:val="1"/>
                <w:szCs w:val="1"/>
                <w:color w:val="auto"/>
              </w:rPr>
            </w:pPr>
          </w:p>
        </w:tc>
      </w:tr>
      <w:tr>
        <w:trPr>
          <w:trHeight w:val="194"/>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w:t>
            </w: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by security holders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851,342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29,905,717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98"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Excludes 25,000 stock options and 69,283 shares of our common stock issued to directors as compensation.</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05" w:lineRule="exact"/>
        <w:rPr>
          <w:rFonts w:ascii="Arial" w:cs="Arial" w:eastAsia="Arial" w:hAnsi="Arial"/>
          <w:sz w:val="16"/>
          <w:szCs w:val="16"/>
          <w:color w:val="auto"/>
          <w:vertAlign w:val="superscript"/>
        </w:rPr>
      </w:pPr>
    </w:p>
    <w:p>
      <w:pPr>
        <w:ind w:left="5640"/>
        <w:spacing w:after="0"/>
        <w:rPr>
          <w:rFonts w:ascii="Arial" w:cs="Arial" w:eastAsia="Arial" w:hAnsi="Arial"/>
          <w:sz w:val="16"/>
          <w:szCs w:val="16"/>
          <w:color w:val="auto"/>
          <w:vertAlign w:val="superscript"/>
        </w:rPr>
      </w:pPr>
      <w:r>
        <w:rPr>
          <w:rFonts w:ascii="Arial" w:cs="Arial" w:eastAsia="Arial" w:hAnsi="Arial"/>
          <w:sz w:val="14"/>
          <w:szCs w:val="14"/>
          <w:color w:val="auto"/>
        </w:rPr>
        <w:t>35</w:t>
      </w:r>
    </w:p>
    <w:p>
      <w:pPr>
        <w:sectPr>
          <w:pgSz w:w="11900" w:h="16838" w:orient="portrait"/>
          <w:cols w:equalWidth="0" w:num="1">
            <w:col w:w="11420"/>
          </w:cols>
          <w:pgMar w:left="240" w:top="89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497F"/>
        </w:rPr>
        <w:t>Performance Graph</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graph compares the cumulative total return for our shares (stock price change plus reinvested dividends) with the comparable return of three indices: S&amp;P Mid Cap 400, Dow Jones US Transportation Services, and Alerian Index. The graph assumes an investment of $100 in our shares on May 14, 2015 and in each of the indices on April 30, 2015, and that all dividends were reinvested. The past performance of our shares is not an indication of future performance.</w:t>
      </w:r>
    </w:p>
    <w:p>
      <w:pPr>
        <w:spacing w:after="0" w:line="7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ind w:left="4140" w:right="140" w:hanging="3521"/>
        <w:spacing w:after="0" w:line="287" w:lineRule="auto"/>
        <w:rPr>
          <w:sz w:val="20"/>
          <w:szCs w:val="20"/>
          <w:color w:val="auto"/>
        </w:rPr>
      </w:pPr>
      <w:r>
        <w:rPr>
          <w:rFonts w:ascii="Arial" w:cs="Arial" w:eastAsia="Arial" w:hAnsi="Arial"/>
          <w:sz w:val="18"/>
          <w:szCs w:val="18"/>
          <w:b w:val="1"/>
          <w:bCs w:val="1"/>
          <w:color w:val="auto"/>
        </w:rPr>
        <w:t>Among Fortress Transportation &amp; Infrastructure Investors LLC, the S&amp;P Midcap 400 Index, the Dow Jones US Transportation Services Index and the Alerian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43180</wp:posOffset>
            </wp:positionV>
            <wp:extent cx="5840095" cy="325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009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*$100 invested on 5/14/15 in stock or 4/30/15 in index, including reinvestment of dividends. Fiscal year ending December 31.</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Index</w:t>
            </w:r>
          </w:p>
        </w:tc>
        <w:tc>
          <w:tcPr>
            <w:tcW w:w="1080" w:type="dxa"/>
            <w:vAlign w:val="bottom"/>
          </w:tcPr>
          <w:p>
            <w:pPr>
              <w:jc w:val="center"/>
              <w:ind w:left="448"/>
              <w:spacing w:after="0"/>
              <w:rPr>
                <w:sz w:val="20"/>
                <w:szCs w:val="20"/>
                <w:color w:val="auto"/>
              </w:rPr>
            </w:pPr>
            <w:r>
              <w:rPr>
                <w:rFonts w:ascii="Arial" w:cs="Arial" w:eastAsia="Arial" w:hAnsi="Arial"/>
                <w:sz w:val="14"/>
                <w:szCs w:val="14"/>
                <w:b w:val="1"/>
                <w:bCs w:val="1"/>
                <w:color w:val="auto"/>
              </w:rPr>
              <w:t>May 15,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3"/>
                <w:szCs w:val="13"/>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3"/>
                <w:szCs w:val="13"/>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6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&amp; Infrastructure</w:t>
            </w:r>
          </w:p>
        </w:tc>
        <w:tc>
          <w:tcPr>
            <w:tcW w:w="1080" w:type="dxa"/>
            <w:vAlign w:val="bottom"/>
            <w:vMerge w:val="restart"/>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91.78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148.90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91"/>
        </w:trPr>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Investors LLC</w:t>
            </w:r>
          </w:p>
        </w:tc>
        <w:tc>
          <w:tcPr>
            <w:tcW w:w="1080" w:type="dxa"/>
            <w:vAlign w:val="bottom"/>
            <w:vMerge w:val="continue"/>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960" w:type="dxa"/>
            <w:vAlign w:val="bottom"/>
            <w:vMerge w:val="continue"/>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117.68</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Dow Jones US Transportation Services</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204"/>
        </w:trPr>
        <w:tc>
          <w:tcPr>
            <w:tcW w:w="2960" w:type="dxa"/>
            <w:vAlign w:val="bottom"/>
          </w:tcPr>
          <w:p>
            <w:pPr>
              <w:ind w:left="20"/>
              <w:spacing w:after="0"/>
              <w:rPr>
                <w:sz w:val="20"/>
                <w:szCs w:val="20"/>
                <w:color w:val="auto"/>
              </w:rPr>
            </w:pPr>
            <w:r>
              <w:rPr>
                <w:rFonts w:ascii="Arial" w:cs="Arial" w:eastAsia="Arial" w:hAnsi="Arial"/>
                <w:sz w:val="14"/>
                <w:szCs w:val="14"/>
                <w:color w:val="auto"/>
              </w:rPr>
              <w:t>Alerian Index</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999"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497F"/>
        </w:rPr>
        <w:t>Item 6. Selected Financial Data</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selected historical financial information set forth below as of and for the years ended December 31, 2018, 2017, 2016, 2015 and 2014 has been derived from our audited historical consolidated financial statements.</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completed our IPO on May 20, 2015 in which Fortress Worldwide Transportation and Infrastructure Investors LP, Fortress Worldwide Transportation and Infrastructure Offshore LP, and Fortress Worldwide Transportation and Infrastructure Master GP LLP (collectively the "Initial Shareholders"), immediately prior to the consummation of the IPO, received shares in proportion to their respective ownership percentages. As a result, we have retrospectively presented the shares outstanding for all prior periods presented.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As of and for the year ended December 31,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253,039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170,000</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101,949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92,743</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43,984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126,839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13,946</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379,878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57,930</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401,542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256,930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180,708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68,013</w:t>
            </w: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13,875</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income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 attributable to non-controlling interest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consolidated subsidiaries</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83,654,068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75,766,811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75,738,698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67,039,439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53,502,873</w:t>
            </w:r>
          </w:p>
        </w:tc>
        <w:tc>
          <w:tcPr>
            <w:tcW w:w="0" w:type="dxa"/>
            <w:vAlign w:val="bottom"/>
          </w:tcPr>
          <w:p>
            <w:pPr>
              <w:spacing w:after="0"/>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83,664,833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75,766,811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75,738,698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67,039,439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53,502,873</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Dividends declared per share of common stock</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2,638,778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1,644,805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1,399,821</w:t>
            </w:r>
          </w:p>
        </w:tc>
        <w:tc>
          <w:tcPr>
            <w:tcW w:w="0" w:type="dxa"/>
            <w:vAlign w:val="bottom"/>
          </w:tcPr>
          <w:p>
            <w:pPr>
              <w:spacing w:after="0"/>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4"/>
                <w:szCs w:val="14"/>
                <w:color w:val="auto"/>
              </w:rPr>
              <w:t>Debt,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1,237,347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703,264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587,948</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1,584,996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686,324</w:t>
            </w:r>
          </w:p>
        </w:tc>
        <w:tc>
          <w:tcPr>
            <w:tcW w:w="0" w:type="dxa"/>
            <w:vAlign w:val="bottom"/>
          </w:tcPr>
          <w:p>
            <w:pPr>
              <w:spacing w:after="0"/>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4"/>
                <w:szCs w:val="14"/>
                <w:color w:val="auto"/>
              </w:rPr>
              <w:t>Total equity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1,053,782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1,035,075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1,165,680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1,290,686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713,497</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40"/>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133,697</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68,497</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30,903</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23,528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(31,551)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(703,533)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(571,416)</w:t>
            </w:r>
          </w:p>
        </w:tc>
        <w:tc>
          <w:tcPr>
            <w:tcW w:w="0" w:type="dxa"/>
            <w:vAlign w:val="bottom"/>
          </w:tcPr>
          <w:p>
            <w:pPr>
              <w:spacing w:after="0"/>
              <w:rPr>
                <w:sz w:val="1"/>
                <w:szCs w:val="1"/>
                <w:color w:val="auto"/>
              </w:rPr>
            </w:pPr>
          </w:p>
        </w:tc>
      </w:tr>
      <w:tr>
        <w:trPr>
          <w:trHeight w:val="204"/>
        </w:trPr>
        <w:tc>
          <w:tcPr>
            <w:tcW w:w="4080" w:type="dxa"/>
            <w:vAlign w:val="bottom"/>
          </w:tcPr>
          <w:p>
            <w:pPr>
              <w:ind w:left="440"/>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597,867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363,078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575,971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617,856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Our MD&amp;A should be read in conjunction with our consolidated financial statements and the accompanying notes, and with Part I, Item 1A, “Risk Factors” and “Forward-Looking Statements” included elsewhere in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December 31, 2018, we had total consolidated assets of $2.6 billion and total equity of $1.1 billion.</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December 31, 2014, through their investment in us, the beneficial owners of the Fortress Worldwide Transportation and Infrastructure General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held a 0.05% interest. The Master GP is owned by an affiliate of Fortress. The Onshore Fund and the Offshore Fund (collectively, the “Initial Shareholders”) were investment vehicles which were sponsored by Fortress. The general partner of the Onshore Fund and the Offshore Fund was an affiliate of Fortress.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us. In November 2015, the Onshore Fund and the Offshore Fund each distributed to their respective limited partners the common shares allocated to their limited partners in accordance with their respective limited partnership agreements.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May 20, 2015, we completed an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strategy permits us to acquire a broad array of transportation-related assets, we are currently active in five sectors where we believe there are meaningful opportunities to deploy capital to achieve attractive risk adjusted returns: aviation, energy, intermodal transport, rail and ports and terminals.</w:t>
      </w:r>
    </w:p>
    <w:p>
      <w:pPr>
        <w:spacing w:after="0" w:line="88" w:lineRule="exact"/>
        <w:rPr>
          <w:sz w:val="20"/>
          <w:szCs w:val="20"/>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Commercial air travel and air freight activity have historically been long-term growth sectors and are tied to the underlying demand for passenger and freight movement. We continue to see strong demand for aviation related assets.</w:t>
      </w:r>
    </w:p>
    <w:p>
      <w:pPr>
        <w:spacing w:after="0" w:line="87" w:lineRule="exact"/>
        <w:rPr>
          <w:rFonts w:ascii="Arial" w:cs="Arial" w:eastAsia="Arial" w:hAnsi="Arial"/>
          <w:sz w:val="16"/>
          <w:szCs w:val="16"/>
          <w:color w:val="auto"/>
        </w:rPr>
      </w:pPr>
    </w:p>
    <w:p>
      <w:pPr>
        <w:jc w:val="both"/>
        <w:ind w:left="660" w:right="2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Offshore energy service equipment refers to vessels supporting the extraction, processing and transportation of oil and natural gas from deposits located beneath the sea floor. The recent oil price decline has led to oil and gas companies reducing and deferring spending decisions, creating an oversupply of offshore energy assets, and in turn, lower day-rates, utilization and earnings for offshore service companies.</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new container prices have increased substantially, which has led to a rebound in lease rates and residual values from the lows of 2015 and 2016.</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Rail refers to the railroad industry, which has increased its share of freight ton-miles compared to other forms of freight transportation over the past quarter century. This infrastructure, most of which was originally established over 100 years ago, represents a limited supply of assets and a difficult-to-replicate network. We continue to see increased volumes and efficiencies on our network since our investment in CMQR in 2014.</w:t>
      </w:r>
    </w:p>
    <w:p>
      <w:pPr>
        <w:spacing w:after="0" w:line="9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999"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Operating Segments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i) Aviation Leasing, ii) Offshore Energy, iii) Shipping Containers, all of which are within Equipment Leasing Business, and iv) Jefferson Terminal, v) Railroad, and vi)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Ports and Terminals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 The Corporate operating segment primarily consists of unallocated corporate general and administrative expenses and management fees.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Chief Operating Decision Maker (“CODM”) utilizes Adjusted Net Income (Loss) as the key performance measure. This performance measure provides the CODM with the information necessary to assess operational performance, as well as make resource and allocation decisions.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Net Income (Loss)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spacing w:after="0" w:line="1" w:lineRule="exact"/>
        <w:rPr>
          <w:sz w:val="20"/>
          <w:szCs w:val="20"/>
          <w:color w:val="auto"/>
        </w:rPr>
      </w:pPr>
    </w:p>
    <w:p>
      <w:pPr>
        <w:jc w:val="both"/>
        <w:ind w:firstLine="8"/>
        <w:spacing w:after="0" w:line="251" w:lineRule="auto"/>
        <w:tabs>
          <w:tab w:leader="none" w:pos="2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2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0" w:lineRule="auto"/>
        <w:tabs>
          <w:tab w:leader="none" w:pos="2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999"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00497F"/>
        </w:rPr>
        <w:t>Comparison of the year ended December 31, 2018 to the year ended December 31,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 and reconciliation of net income attributable to shareholders to Adjusted Net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157,190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57,654</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89,870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24,219</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253,039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83,039</w:t>
            </w:r>
          </w:p>
        </w:tc>
      </w:tr>
      <w:tr>
        <w:trPr>
          <w:trHeight w:val="19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38,410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5,803</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76,587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72,875</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126,839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79,180</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379,878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162,219</w:t>
            </w:r>
          </w:p>
        </w:tc>
      </w:tr>
      <w:tr>
        <w:trPr>
          <w:trHeight w:val="216"/>
        </w:trPr>
        <w:tc>
          <w:tcPr>
            <w:tcW w:w="5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75,129</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2,556</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15,726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48,244</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19,027</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401,542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144,612</w:t>
            </w:r>
          </w:p>
        </w:tc>
      </w:tr>
      <w:tr>
        <w:trPr>
          <w:trHeight w:val="216"/>
        </w:trPr>
        <w:tc>
          <w:tcPr>
            <w:tcW w:w="5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(14,370)</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(10,653)</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(14,332)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6,954</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1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7,536</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w:t>
            </w:r>
          </w:p>
        </w:tc>
      </w:tr>
      <w:tr>
        <w:trPr>
          <w:trHeight w:val="216"/>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5,748</w:t>
            </w:r>
          </w:p>
        </w:tc>
      </w:tr>
      <w:tr>
        <w:trPr>
          <w:trHeight w:val="819"/>
        </w:trPr>
        <w:tc>
          <w:tcPr>
            <w:tcW w:w="5380" w:type="dxa"/>
            <w:vAlign w:val="bottom"/>
          </w:tcPr>
          <w:p>
            <w:pPr>
              <w:spacing w:after="0"/>
              <w:rPr>
                <w:sz w:val="24"/>
                <w:szCs w:val="24"/>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40</w:t>
            </w: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380"/>
          </w:cols>
          <w:pgMar w:left="240" w:top="1040" w:right="27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(Loss) from unconsolidated entities</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8"/>
                <w:szCs w:val="18"/>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10,128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our proportionate share of the unconsolidated entities’ net income adjusted for the excluded and included items detailed in the table above.</w:t>
      </w:r>
    </w:p>
    <w:p>
      <w:pPr>
        <w:ind w:left="180" w:hanging="172"/>
        <w:spacing w:after="0" w:line="211" w:lineRule="auto"/>
        <w:tabs>
          <w:tab w:leader="none" w:pos="17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equity-based compensation of $131 and $169, (ii) provision for income tax of $(47) and $16, and (iii) changes in fair value of non-hedge derivative instruments of $(1,099) and $404, less (vii) cash tax payments of $15 and $31,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6,968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(5,523)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(4,501)</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(3)</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66,596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57,854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19,027</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222,237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85,713</w:t>
            </w:r>
          </w:p>
        </w:tc>
      </w:tr>
      <w:tr>
        <w:trPr>
          <w:trHeight w:val="21"/>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04" w:lineRule="auto"/>
        <w:tabs>
          <w:tab w:leader="none" w:pos="171"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depreciation and amortization expense of $136,354 and $88,110, (ii) lease intangible amortization of $8,588 and $4,716, and (iii) amortization for lease incentives of $18,071 and $3,591, respectively.</w:t>
      </w:r>
    </w:p>
    <w:p>
      <w:pPr>
        <w:spacing w:after="0" w:line="1" w:lineRule="exact"/>
        <w:rPr>
          <w:rFonts w:ascii="Arial" w:cs="Arial" w:eastAsia="Arial" w:hAnsi="Arial"/>
          <w:sz w:val="19"/>
          <w:szCs w:val="19"/>
          <w:color w:val="auto"/>
          <w:vertAlign w:val="superscript"/>
        </w:rPr>
      </w:pPr>
    </w:p>
    <w:p>
      <w:pPr>
        <w:ind w:left="180" w:hanging="172"/>
        <w:spacing w:after="0" w:line="204" w:lineRule="auto"/>
        <w:tabs>
          <w:tab w:leader="none" w:pos="181"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net loss of $1,196 and $1,786, (ii) interest expense of $477 and $785, and (iii) depreciation and amortization expense of $1,078 and $758, respectively.</w:t>
      </w:r>
    </w:p>
    <w:p>
      <w:pPr>
        <w:spacing w:after="0" w:line="1" w:lineRule="exact"/>
        <w:rPr>
          <w:rFonts w:ascii="Arial" w:cs="Arial" w:eastAsia="Arial" w:hAnsi="Arial"/>
          <w:sz w:val="19"/>
          <w:szCs w:val="19"/>
          <w:color w:val="auto"/>
          <w:vertAlign w:val="superscript"/>
        </w:rPr>
      </w:pPr>
    </w:p>
    <w:p>
      <w:pPr>
        <w:ind w:left="160" w:hanging="152"/>
        <w:spacing w:after="0" w:line="187" w:lineRule="auto"/>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2018 and 2017: (i) equity based compensation of $131 and $169, (ii) provision for income taxes of $(47) and $16,</w:t>
      </w:r>
    </w:p>
    <w:p>
      <w:pPr>
        <w:ind w:left="180" w:hanging="10"/>
        <w:spacing w:after="0" w:line="258" w:lineRule="auto"/>
        <w:tabs>
          <w:tab w:leader="none" w:pos="418" w:val="left"/>
        </w:tabs>
        <w:numPr>
          <w:ilvl w:val="1"/>
          <w:numId w:val="20"/>
        </w:numPr>
        <w:rPr>
          <w:rFonts w:ascii="Arial" w:cs="Arial" w:eastAsia="Arial" w:hAnsi="Arial"/>
          <w:sz w:val="14"/>
          <w:szCs w:val="14"/>
          <w:color w:val="auto"/>
        </w:rPr>
      </w:pPr>
      <w:r>
        <w:rPr>
          <w:rFonts w:ascii="Arial" w:cs="Arial" w:eastAsia="Arial" w:hAnsi="Arial"/>
          <w:sz w:val="14"/>
          <w:szCs w:val="14"/>
          <w:color w:val="auto"/>
        </w:rPr>
        <w:t>interest expense of $4,722 and $5,030, (iv) depreciation and amortization expense of $6,297 and $7,144, and (v) changes in fair value of non-hedge derivative instruments of $(1,099) and $404,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540"/>
        <w:spacing w:after="0" w:line="387" w:lineRule="auto"/>
        <w:rPr>
          <w:sz w:val="20"/>
          <w:szCs w:val="20"/>
          <w:color w:val="auto"/>
        </w:rPr>
      </w:pPr>
      <w:r>
        <w:rPr>
          <w:rFonts w:ascii="Arial" w:cs="Arial" w:eastAsia="Arial" w:hAnsi="Arial"/>
          <w:sz w:val="16"/>
          <w:szCs w:val="16"/>
          <w:color w:val="auto"/>
        </w:rPr>
        <w:t>Total revenues increased $162.2 million primarily due to higher revenues in the Aviation Leasing, Jefferson Terminal and Ports and Terminals segments. Equipment Leasing</w:t>
      </w:r>
    </w:p>
    <w:p>
      <w:pPr>
        <w:spacing w:after="0" w:line="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Lease income increased $57.7 million driven by an increase in assets on lease in the Aviation Leasing segment.</w:t>
      </w:r>
    </w:p>
    <w:p>
      <w:pPr>
        <w:spacing w:after="0" w:line="113" w:lineRule="exact"/>
        <w:rPr>
          <w:rFonts w:ascii="Arial" w:cs="Arial" w:eastAsia="Arial" w:hAnsi="Arial"/>
          <w:sz w:val="16"/>
          <w:szCs w:val="16"/>
          <w:color w:val="auto"/>
        </w:rPr>
      </w:pPr>
    </w:p>
    <w:p>
      <w:pPr>
        <w:ind w:left="660" w:right="20" w:hanging="328"/>
        <w:spacing w:after="0" w:line="25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Maintenance revenue increased by $24.2 million as we increased the number of aircraft and engines subject to leases with maintenance arrangements.</w:t>
      </w:r>
    </w:p>
    <w:p>
      <w:pPr>
        <w:sectPr>
          <w:pgSz w:w="11900" w:h="16838" w:orient="portrait"/>
          <w:cols w:equalWidth="0" w:num="1">
            <w:col w:w="11420"/>
          </w:cols>
          <w:pgMar w:left="240" w:top="109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99"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jc w:val="both"/>
        <w:ind w:left="660" w:hanging="328"/>
        <w:spacing w:after="0" w:line="25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revenue increased $72.9 million primarily due to crude marketing revenue of $60.6 million in the Jefferson Terminal segment. During the third quarter of 2018, Jefferson initiated a strategy in Canada sourcing crude from producers, arranging logistics to Jefferson Terminal and marketing crude to third parties. These resulting crude sales and corresponding crude costs including logistics are reflected in Other revenue and Operating expenses, respectively. The additional increase in other revenue of $12.3 million is within the Ports and Terminals segment and is due to increased activity at Long Ridge and Repauno.</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$144.6 million primarily due to increases in (i) operating expenses, (ii) depreciation and amortization and (iii) interest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$75.1 million primarily due to increases in:</w:t>
      </w:r>
    </w:p>
    <w:p>
      <w:pPr>
        <w:spacing w:after="0" w:line="11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of sales of $50.1 million primarily due to costs associated with crude marketing in the Jefferson Terminal segment;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facility operations of $6.9 million primarily in the Jefferson Terminal and Ports and Terminals segments due to increases in volume;</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compensation and benefits of $5.4 million primarily due to an increase in headcount in the Jefferson Terminal, Ports and Terminals and Railroad segments;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repairs and maintenance of $3.8 million primarily in the Offshore Energy, Jefferson Terminal and Ports and Terminals segments.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$48.2 million primarily due to additional assets acquired in the Aviation Leasing segment and assets placed into service in the Jefferson Terminal and Ports and Terminals segments.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$19.0 million primarily due to an increase in our average outstanding debt of approximately $398.3 million, which primarily consists of increases in the (i) senior unsecured notes due 2022 ("2022 Notes") of $259.7 million, (ii) senior unsecured notes due 2025 ("2025 Notes") of $98.5 million, (iii) our subsidiary's revolving credit facility ("Jefferson Revolver") of $33.2 million and (iv) Revolving Credit Facility of $7.9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decreased $10.7 million due to a lower gain on the sale of assets, net of $14.4 million, primarily due to a gain on the sale of available-for-sale securities of $11.4 million in 2017 and fewer asset sales in the Aviation Leasing segment in 2018, partially offset by the loss on extinguishment of debt of $2.5 million in 2017.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Attributable to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shareholders increased $5.7 million primarily due to the changes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Income decreased $0.3 million primarily due to the changes in revenue, expenses and other income noted above, and (i) changes in fair value of non-hedge derivatives and (ii) cash payments for income taxes, partially offset by the loss on extinguishment of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increased $85.7 million primarily due to the changes in revenue, expenses and other income noted above, and (i) depreciation and amortization expense and (ii) interest expense.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6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in our Aviation Leasing segment, we own and manage 212 aviation assets, including 70 aircraft and 142 commercial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2018, 67 of our commercial aircraft and 109 of our engines were leased to operators or other third parties. Aviation assets currently off lease are either undergoing repair and/or maintenance, being prepared to go on lease or held in short term storage awaiting a future lease. Our aviation equipment was approximately 91% utilized as of December 31, 2018, based on the equity value of our on-hire leasing equipment as a percentage of the total equity value of our aviation leasing equipment. Our aircraft currently have a weighted average remaining lease term of 34 months, and our engines currently on-lease have an average remaining lease term of 15 months. The table below provides additional information on the assets in our Aviation Leasing segment: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gridSpan w:val="4"/>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72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48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74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6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2018</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color w:val="auto"/>
              </w:rPr>
              <w:t>Purchases</w:t>
            </w:r>
          </w:p>
        </w:tc>
        <w:tc>
          <w:tcPr>
            <w:tcW w:w="1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2"/>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1720" w:type="dxa"/>
            <w:vAlign w:val="bottom"/>
            <w:shd w:val="clear" w:color="auto" w:fill="CCEEFF"/>
          </w:tcPr>
          <w:p>
            <w:pPr>
              <w:spacing w:after="0"/>
              <w:rPr>
                <w:sz w:val="19"/>
                <w:szCs w:val="19"/>
                <w:color w:val="auto"/>
              </w:rPr>
            </w:pPr>
          </w:p>
        </w:tc>
        <w:tc>
          <w:tcPr>
            <w:tcW w:w="2320" w:type="dxa"/>
            <w:vAlign w:val="bottom"/>
            <w:gridSpan w:val="3"/>
            <w:shd w:val="clear" w:color="auto" w:fill="CCEEFF"/>
          </w:tcPr>
          <w:p>
            <w:pPr>
              <w:jc w:val="right"/>
              <w:ind w:right="1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color w:val="auto"/>
              </w:rPr>
              <w:t>Transfers</w:t>
            </w:r>
          </w:p>
        </w:tc>
        <w:tc>
          <w:tcPr>
            <w:tcW w:w="1720" w:type="dxa"/>
            <w:vAlign w:val="bottom"/>
          </w:tcPr>
          <w:p>
            <w:pPr>
              <w:spacing w:after="0"/>
              <w:rPr>
                <w:sz w:val="18"/>
                <w:szCs w:val="18"/>
                <w:color w:val="auto"/>
              </w:rPr>
            </w:pPr>
          </w:p>
        </w:tc>
        <w:tc>
          <w:tcPr>
            <w:tcW w:w="2320" w:type="dxa"/>
            <w:vAlign w:val="bottom"/>
            <w:gridSpan w:val="3"/>
          </w:tcPr>
          <w:p>
            <w:pPr>
              <w:jc w:val="right"/>
              <w:ind w:right="18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0"/>
        </w:trPr>
        <w:tc>
          <w:tcPr>
            <w:tcW w:w="46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December 31, 2018</w:t>
            </w:r>
          </w:p>
        </w:tc>
        <w:tc>
          <w:tcPr>
            <w:tcW w:w="17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17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January 1, 2018</w:t>
            </w:r>
          </w:p>
        </w:tc>
        <w:tc>
          <w:tcPr>
            <w:tcW w:w="1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110</w:t>
            </w:r>
          </w:p>
        </w:tc>
      </w:tr>
      <w:tr>
        <w:trPr>
          <w:trHeight w:val="222"/>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17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Transfers</w:t>
            </w:r>
          </w:p>
        </w:tc>
        <w:tc>
          <w:tcPr>
            <w:tcW w:w="1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December 31, 2018</w:t>
            </w:r>
          </w:p>
        </w:tc>
        <w:tc>
          <w:tcPr>
            <w:tcW w:w="1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60,428</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89,870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65,651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24,219</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244,270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87,477</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9,149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2,902</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102,419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40,624</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111,883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43,400</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135,757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41,238</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133,477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40,924</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209"/>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133,501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41,645</w:t>
            </w:r>
          </w:p>
        </w:tc>
      </w:tr>
      <w:tr>
        <w:trPr>
          <w:trHeight w:val="893"/>
        </w:trPr>
        <w:tc>
          <w:tcPr>
            <w:tcW w:w="6540" w:type="dxa"/>
            <w:vAlign w:val="bottom"/>
          </w:tcPr>
          <w:p>
            <w:pPr>
              <w:ind w:left="5640"/>
              <w:spacing w:after="0"/>
              <w:rPr>
                <w:sz w:val="20"/>
                <w:szCs w:val="20"/>
                <w:color w:val="auto"/>
              </w:rPr>
            </w:pPr>
            <w:r>
              <w:rPr>
                <w:rFonts w:ascii="Arial" w:cs="Arial" w:eastAsia="Arial" w:hAnsi="Arial"/>
                <w:sz w:val="14"/>
                <w:szCs w:val="14"/>
                <w:color w:val="auto"/>
              </w:rPr>
              <w:t>43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135,428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92,637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42,791</w:t>
            </w:r>
          </w:p>
        </w:tc>
      </w:tr>
      <w:tr>
        <w:trPr>
          <w:trHeight w:val="21"/>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11" w:lineRule="auto"/>
        <w:tabs>
          <w:tab w:leader="none" w:pos="176"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Aviation’s proportionate share of the unconsolidated entities’ net income adjusted for the excluded and included items detailed in the table above, for which there were no adjustments.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133,501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129,078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265,002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163,828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101,174</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1" w:lineRule="auto"/>
        <w:tabs>
          <w:tab w:leader="none" w:pos="15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2018 and 2017: (i) depreciation expense of $102,419 and $61,795, (ii) lease intangible amortization of $8,588 and $4,716, and (iii) amortization for lease incentives of $18,071 and $3,591, respectively.</w:t>
      </w:r>
    </w:p>
    <w:p>
      <w:pPr>
        <w:ind w:left="140" w:hanging="132"/>
        <w:spacing w:after="0" w:line="211"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Includes net loss of $743 and $1,276 for the years ended December 31, 2018 and 2017, respectively.</w:t>
      </w:r>
    </w:p>
    <w:p>
      <w:pPr>
        <w:ind w:left="160" w:hanging="152"/>
        <w:spacing w:after="0" w:line="199"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lease amortization expense of $172 and $537 for the years ended December 31, 2018 and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$87.5 million driven by higher lease income and maintenance revenue.</w:t>
      </w:r>
    </w:p>
    <w:p>
      <w:pPr>
        <w:spacing w:after="0" w:line="113" w:lineRule="exact"/>
        <w:rPr>
          <w:sz w:val="20"/>
          <w:szCs w:val="20"/>
          <w:color w:val="auto"/>
        </w:rPr>
      </w:pPr>
    </w:p>
    <w:p>
      <w:pPr>
        <w:jc w:val="both"/>
        <w:ind w:left="660" w:hanging="328"/>
        <w:spacing w:after="0" w:line="258"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 income increased $60.4 million mainly due to an increase in (i) aircraft lease income of $40.5 million primarily driven by the addition of 27 aircraft on lease and (ii) engine lease income of $19.9 million primarily driven by an additional 45 revenue generating engines in 2018 compared to 2017.</w:t>
      </w:r>
    </w:p>
    <w:p>
      <w:pPr>
        <w:spacing w:after="0" w:line="27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Maintenance revenue increased $24.2 million due to an increase in the number of aircraft and engines on lease.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Finance lease income increased $1.9 million due to income earned from aircraft classified as a finance lease.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95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$43.4 million primarily due to an increase in depreciation and amortization expense.</w:t>
      </w:r>
    </w:p>
    <w:p>
      <w:pPr>
        <w:spacing w:after="0" w:line="113" w:lineRule="exact"/>
        <w:rPr>
          <w:sz w:val="20"/>
          <w:szCs w:val="20"/>
          <w:color w:val="auto"/>
        </w:rPr>
      </w:pPr>
    </w:p>
    <w:p>
      <w:pPr>
        <w:ind w:left="660" w:hanging="328"/>
        <w:spacing w:after="0" w:line="25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Depreciation and amortization expense increased $40.6 million driven by additional aircraft and engines owned and on lease in 2018 compared to 2017.</w:t>
      </w:r>
    </w:p>
    <w:p>
      <w:pPr>
        <w:spacing w:after="0" w:line="294"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Operating expenses increased $2.9 million primarily as a result of increases in bad debt expense of $1.5 million related to receivables deemed uncollectible, professional fee expenses of $0.9 million and shipping and storage fees of $0.5 million due to the positioning of our assets for lease.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other income decreased $2.8 million driven by lower gain on sale of assets due to fewer sales in 2018 in comparison to 2017, partially offset by lower losses incurred by the advanced engine repair JV of $0.5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Net Income increased $42.8 million primarily driven by the changes to net income attributable to shareholders noted above, and cash payments for income taxes due to our corporate subsidiaries subject to U.S. taxation.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$101.2 million primarily due to the changes in net income attributable to shareholders noted above, and higher depreciation and amortization expense for the additional aircraft and engines owned and on lease.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891"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Offshore Energy Segment</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37730" cy="1140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140460"/>
                    </a:xfrm>
                    <a:prstGeom prst="rect">
                      <a:avLst/>
                    </a:prstGeom>
                    <a:noFill/>
                  </pic:spPr>
                </pic:pic>
              </a:graphicData>
            </a:graphic>
          </wp:anchor>
        </w:drawing>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Borders>
              <w:top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color w:val="auto"/>
              </w:rPr>
              <w:t>Asset Type</w:t>
            </w:r>
          </w:p>
        </w:tc>
        <w:tc>
          <w:tcPr>
            <w:tcW w:w="128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Year Built</w:t>
            </w:r>
          </w:p>
        </w:tc>
        <w:tc>
          <w:tcPr>
            <w:tcW w:w="5640" w:type="dxa"/>
            <w:vAlign w:val="bottom"/>
            <w:tcBorders>
              <w:top w:val="single" w:sz="8" w:color="auto"/>
              <w:bottom w:val="single" w:sz="8" w:color="auto"/>
              <w:right w:val="single" w:sz="8" w:color="auto"/>
            </w:tcBorders>
            <w:shd w:val="clear" w:color="auto" w:fill="D8D8D8"/>
          </w:tcPr>
          <w:p>
            <w:pPr>
              <w:ind w:left="2440"/>
              <w:spacing w:after="0"/>
              <w:rPr>
                <w:sz w:val="20"/>
                <w:szCs w:val="20"/>
                <w:color w:val="auto"/>
              </w:rPr>
            </w:pPr>
            <w:r>
              <w:rPr>
                <w:rFonts w:ascii="Arial" w:cs="Arial" w:eastAsia="Arial" w:hAnsi="Arial"/>
                <w:sz w:val="14"/>
                <w:szCs w:val="14"/>
                <w:color w:val="auto"/>
              </w:rPr>
              <w:t>Description</w:t>
            </w:r>
          </w:p>
        </w:tc>
        <w:tc>
          <w:tcPr>
            <w:tcW w:w="2000" w:type="dxa"/>
            <w:vAlign w:val="bottom"/>
            <w:tcBorders>
              <w:top w:val="single" w:sz="8" w:color="auto"/>
              <w:bottom w:val="single" w:sz="8" w:color="auto"/>
            </w:tcBorders>
            <w:shd w:val="clear" w:color="auto" w:fill="D8D8D8"/>
          </w:tcPr>
          <w:p>
            <w:pPr>
              <w:jc w:val="right"/>
              <w:ind w:right="228"/>
              <w:spacing w:after="0"/>
              <w:rPr>
                <w:sz w:val="20"/>
                <w:szCs w:val="20"/>
                <w:color w:val="auto"/>
              </w:rPr>
            </w:pPr>
            <w:r>
              <w:rPr>
                <w:rFonts w:ascii="Arial" w:cs="Arial" w:eastAsia="Arial" w:hAnsi="Arial"/>
                <w:sz w:val="14"/>
                <w:szCs w:val="14"/>
                <w:color w:val="auto"/>
              </w:rPr>
              <w:t>Economic Interest (%)</w:t>
            </w:r>
          </w:p>
        </w:tc>
        <w:tc>
          <w:tcPr>
            <w:tcW w:w="0" w:type="dxa"/>
            <w:vAlign w:val="bottom"/>
          </w:tcPr>
          <w:p>
            <w:pPr>
              <w:spacing w:after="0"/>
              <w:rPr>
                <w:sz w:val="1"/>
                <w:szCs w:val="1"/>
                <w:color w:val="auto"/>
              </w:rPr>
            </w:pPr>
          </w:p>
        </w:tc>
      </w:tr>
      <w:tr>
        <w:trPr>
          <w:trHeight w:val="193"/>
        </w:trPr>
        <w:tc>
          <w:tcPr>
            <w:tcW w:w="2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AHTS Vessel</w:t>
            </w:r>
          </w:p>
        </w:tc>
        <w:tc>
          <w:tcPr>
            <w:tcW w:w="12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2010</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00" w:type="dxa"/>
            <w:vAlign w:val="bottom"/>
            <w:vMerge w:val="restart"/>
          </w:tcPr>
          <w:p>
            <w:pPr>
              <w:jc w:val="right"/>
              <w:ind w:right="8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1"/>
        </w:trPr>
        <w:tc>
          <w:tcPr>
            <w:tcW w:w="24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and a total bollard pull of 68.5 tons</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564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DP-3 construction support and well intervention vessel with</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Construction Support Vessel</w:t>
            </w:r>
          </w:p>
        </w:tc>
        <w:tc>
          <w:tcPr>
            <w:tcW w:w="12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2014</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2000" w:type="dxa"/>
            <w:vAlign w:val="bottom"/>
          </w:tcPr>
          <w:p>
            <w:pPr>
              <w:jc w:val="right"/>
              <w:ind w:right="8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accommodation for 100 personnel</w:t>
            </w:r>
          </w:p>
        </w:tc>
        <w:tc>
          <w:tcPr>
            <w:tcW w:w="2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ROV Support Vessel</w:t>
            </w:r>
          </w:p>
        </w:tc>
        <w:tc>
          <w:tcPr>
            <w:tcW w:w="12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2011</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DP-2 dive and ROV support vessel with 50-ton crane, moon pool and accommodation</w:t>
            </w:r>
          </w:p>
        </w:tc>
        <w:tc>
          <w:tcPr>
            <w:tcW w:w="2000" w:type="dxa"/>
            <w:vAlign w:val="bottom"/>
            <w:vMerge w:val="restart"/>
          </w:tcPr>
          <w:p>
            <w:pPr>
              <w:jc w:val="right"/>
              <w:ind w:right="7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1"/>
        </w:trPr>
        <w:tc>
          <w:tcPr>
            <w:tcW w:w="24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for 120 personnel</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48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5640" w:type="dxa"/>
            <w:vAlign w:val="bottom"/>
            <w:tcBorders>
              <w:right w:val="single" w:sz="8" w:color="auto"/>
            </w:tcBorders>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5,659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1,454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8,719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(4,388)</w:t>
            </w:r>
          </w:p>
        </w:tc>
      </w:tr>
      <w:tr>
        <w:trPr>
          <w:trHeight w:val="216"/>
        </w:trPr>
        <w:tc>
          <w:tcPr>
            <w:tcW w:w="6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13,697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6,481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3,687</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23,865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w:t>
            </w:r>
          </w:p>
        </w:tc>
      </w:tr>
      <w:tr>
        <w:trPr>
          <w:trHeight w:val="216"/>
        </w:trPr>
        <w:tc>
          <w:tcPr>
            <w:tcW w:w="6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12,513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(12,497)</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(15,130)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(14,820)</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(15,131)</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(14,810)</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(15,131)</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5"/>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(Loss) Income</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040"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income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(15,336)</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10"/>
        </w:trPr>
        <w:tc>
          <w:tcPr>
            <w:tcW w:w="6540" w:type="dxa"/>
            <w:vAlign w:val="bottom"/>
          </w:tcPr>
          <w:p>
            <w:pPr>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(15,028)</w:t>
            </w: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60"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years ended December 31, 2018 and 2017: (i) depreciation expense of $0 and $165, and (ii) interest expense of $0 and $82, respectively.</w:t>
      </w:r>
    </w:p>
    <w:p>
      <w:pPr>
        <w:spacing w:after="0" w:line="74"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decreased $4.4 million primarily due to lower lease income and other revenue. Lease income decreased $2.8 million primarily due to our vessels on hire being on longer-term lease arrangements in 2017 compared to 2018. Other revenue decreased $1.5 million primarily due to the decrease of crew provisions reimbursement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decreased $2.1 million primarily due to operating expenses, which principally consists of decreases in (i) legal fees of $3.0 million, (ii) other operating expenses of $0.6 million and (iii) bad debt expense of $0.6 million, partially offset by increased repair and maintenance costs of $2.0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decreased $12.5 million primarily due to:</w:t>
      </w:r>
    </w:p>
    <w:p>
      <w:pPr>
        <w:spacing w:after="0" w:line="11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sale of available-for-sale securities of an international oil and gas drilling contractor resulting in a gain of $11.4 million during 2017;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transfer of interests from the non-controlling interest holder to us as settlement for a note receivable, resulting in a gain of $1.1 million in the third quarter of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Income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Net Loss was $15.1 million in 2018, a decrease of $15.4 million compared to 2017, primarily due to the changes to net (loss) income attributable to shareholders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$15.0 million due to a higher net loss attributable to shareholders of $15.3 million as noted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952"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our Shipping Containers segment we own, through a joint venture, interests in approximately 8,000 maritime shipping containers and related equipment. The chart below describes the assets in our Shipping Containers segment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37730"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74612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Borders>
              <w:top w:val="single" w:sz="8" w:color="auto"/>
              <w:bottom w:val="single" w:sz="8" w:color="auto"/>
              <w:right w:val="single" w:sz="8" w:color="auto"/>
            </w:tcBorders>
            <w:shd w:val="clear" w:color="auto" w:fill="D8D8D8"/>
          </w:tcPr>
          <w:p>
            <w:pPr>
              <w:jc w:val="right"/>
              <w:ind w:right="608"/>
              <w:spacing w:after="0"/>
              <w:rPr>
                <w:sz w:val="20"/>
                <w:szCs w:val="20"/>
                <w:color w:val="auto"/>
              </w:rPr>
            </w:pPr>
            <w:r>
              <w:rPr>
                <w:rFonts w:ascii="Arial" w:cs="Arial" w:eastAsia="Arial" w:hAnsi="Arial"/>
                <w:sz w:val="14"/>
                <w:szCs w:val="14"/>
                <w:color w:val="auto"/>
              </w:rPr>
              <w:t>Number of Containers</w:t>
            </w:r>
          </w:p>
        </w:tc>
        <w:tc>
          <w:tcPr>
            <w:tcW w:w="176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20" w:type="dxa"/>
            <w:vAlign w:val="bottom"/>
            <w:tcBorders>
              <w:top w:val="single" w:sz="8" w:color="auto"/>
              <w:bottom w:val="single" w:sz="8" w:color="auto"/>
              <w:right w:val="single" w:sz="8" w:color="auto"/>
            </w:tcBorders>
            <w:shd w:val="clear" w:color="auto" w:fill="D8D8D8"/>
          </w:tcPr>
          <w:p>
            <w:pPr>
              <w:ind w:left="400"/>
              <w:spacing w:after="0"/>
              <w:rPr>
                <w:sz w:val="20"/>
                <w:szCs w:val="20"/>
                <w:color w:val="auto"/>
              </w:rPr>
            </w:pPr>
            <w:r>
              <w:rPr>
                <w:rFonts w:ascii="Arial" w:cs="Arial" w:eastAsia="Arial" w:hAnsi="Arial"/>
                <w:sz w:val="14"/>
                <w:szCs w:val="14"/>
                <w:color w:val="auto"/>
              </w:rPr>
              <w:t>Customer Mix</w:t>
            </w:r>
          </w:p>
        </w:tc>
        <w:tc>
          <w:tcPr>
            <w:tcW w:w="2220" w:type="dxa"/>
            <w:vAlign w:val="bottom"/>
            <w:tcBorders>
              <w:top w:val="single" w:sz="8" w:color="auto"/>
              <w:bottom w:val="single" w:sz="8" w:color="auto"/>
            </w:tcBorders>
            <w:shd w:val="clear" w:color="auto" w:fill="D8D8D8"/>
          </w:tcPr>
          <w:p>
            <w:pPr>
              <w:jc w:val="right"/>
              <w:ind w:right="348"/>
              <w:spacing w:after="0"/>
              <w:rPr>
                <w:sz w:val="20"/>
                <w:szCs w:val="20"/>
                <w:color w:val="auto"/>
              </w:rPr>
            </w:pPr>
            <w:r>
              <w:rPr>
                <w:rFonts w:ascii="Arial" w:cs="Arial" w:eastAsia="Arial" w:hAnsi="Arial"/>
                <w:sz w:val="14"/>
                <w:szCs w:val="14"/>
                <w:color w:val="auto"/>
              </w:rPr>
              <w:t>Economic Interest (%)</w:t>
            </w:r>
          </w:p>
        </w:tc>
        <w:tc>
          <w:tcPr>
            <w:tcW w:w="0" w:type="dxa"/>
            <w:vAlign w:val="bottom"/>
          </w:tcPr>
          <w:p>
            <w:pPr>
              <w:spacing w:after="0"/>
              <w:rPr>
                <w:sz w:val="1"/>
                <w:szCs w:val="1"/>
                <w:color w:val="auto"/>
              </w:rPr>
            </w:pPr>
          </w:p>
        </w:tc>
      </w:tr>
      <w:tr>
        <w:trPr>
          <w:trHeight w:val="193"/>
        </w:trPr>
        <w:tc>
          <w:tcPr>
            <w:tcW w:w="22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Dry</w:t>
            </w:r>
          </w:p>
        </w:tc>
        <w:tc>
          <w:tcPr>
            <w:tcW w:w="174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auto"/>
            </w:tcBorders>
            <w:vMerge w:val="restart"/>
          </w:tcPr>
          <w:p>
            <w:pPr>
              <w:jc w:val="right"/>
              <w:ind w:right="1748"/>
              <w:spacing w:after="0"/>
              <w:rPr>
                <w:sz w:val="20"/>
                <w:szCs w:val="20"/>
                <w:color w:val="auto"/>
              </w:rPr>
            </w:pPr>
            <w:r>
              <w:rPr>
                <w:rFonts w:ascii="Arial" w:cs="Arial" w:eastAsia="Arial" w:hAnsi="Arial"/>
                <w:sz w:val="14"/>
                <w:szCs w:val="14"/>
                <w:color w:val="auto"/>
              </w:rPr>
              <w:t>8,000</w:t>
            </w:r>
          </w:p>
        </w:tc>
        <w:tc>
          <w:tcPr>
            <w:tcW w:w="1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Reefer</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~11 Years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Direct Finance</w:t>
            </w:r>
          </w:p>
        </w:tc>
        <w:tc>
          <w:tcPr>
            <w:tcW w:w="17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2 Customers</w:t>
            </w:r>
          </w:p>
        </w:tc>
        <w:tc>
          <w:tcPr>
            <w:tcW w:w="2220" w:type="dxa"/>
            <w:vAlign w:val="bottom"/>
            <w:vMerge w:val="restart"/>
          </w:tcPr>
          <w:p>
            <w:pPr>
              <w:jc w:val="right"/>
              <w:ind w:right="96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91"/>
        </w:trPr>
        <w:tc>
          <w:tcPr>
            <w:tcW w:w="222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40’ Dry</w:t>
            </w:r>
          </w:p>
        </w:tc>
        <w:tc>
          <w:tcPr>
            <w:tcW w:w="174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20" w:type="dxa"/>
            <w:vAlign w:val="bottom"/>
            <w:tcBorders>
              <w:right w:val="single" w:sz="8" w:color="auto"/>
            </w:tcBorders>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22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40’ HC Dry</w:t>
            </w:r>
          </w:p>
        </w:tc>
        <w:tc>
          <w:tcPr>
            <w:tcW w:w="17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16"/>
        </w:trPr>
        <w:tc>
          <w:tcPr>
            <w:tcW w:w="6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6"/>
        </w:trPr>
        <w:tc>
          <w:tcPr>
            <w:tcW w:w="6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color w:val="auto"/>
              </w:rPr>
              <w:t xml:space="preserve">Add: Pro-rata share of Adjusted Net Income (Loss) from unconsolidated entities </w:t>
            </w:r>
            <w:r>
              <w:rPr>
                <w:rFonts w:ascii="Arial" w:cs="Arial" w:eastAsia="Arial" w:hAnsi="Arial"/>
                <w:sz w:val="18"/>
                <w:szCs w:val="18"/>
                <w:color w:val="auto"/>
                <w:vertAlign w:val="superscript"/>
              </w:rPr>
              <w:t>(1)</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106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14"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year ended December 31, 2018 and 2017: (i) our proportionate share of the unconsolidated entities’ net income (loss) of $121 and $(189) and</w:t>
      </w:r>
    </w:p>
    <w:p>
      <w:pPr>
        <w:ind w:left="360" w:hanging="190"/>
        <w:spacing w:after="0"/>
        <w:tabs>
          <w:tab w:leader="none" w:pos="3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interest expense of $0 and $185, respectively.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999"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w:t>
            </w:r>
          </w:p>
        </w:tc>
      </w:tr>
      <w:tr>
        <w:trPr>
          <w:trHeight w:val="21"/>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80"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net income (loss) of $121 and $(189), (ii) interest expense of $477 and $785, and</w:t>
      </w:r>
    </w:p>
    <w:p>
      <w:pPr>
        <w:ind w:left="400" w:hanging="230"/>
        <w:spacing w:after="0"/>
        <w:tabs>
          <w:tab w:leader="none" w:pos="4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depreciation and amortization expense of $26 and $758,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other income increased $0.3 million primarily driven by income earned from the sales of operating lease containers within our shipping container joint venture.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increased $0.1 million reflecting the increase in equity in earnings of unconsolidated entities.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decreased $0.8 million primarily reflecting the entities' change in equity in unconsolidated entities and lower pro-rata share of Adjusted EBITDA from unconsolidated entities.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19"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272</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60,605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60,605</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70,985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60,756</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94,622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63,409</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1,945</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129,880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68,906</w:t>
            </w:r>
          </w:p>
        </w:tc>
      </w:tr>
      <w:tr>
        <w:trPr>
          <w:trHeight w:val="216"/>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(55,216)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(48,710)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(6,506)</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(6,725)</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(33,676)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(7,915)</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Net Income from unconsolidated entities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8"/>
                <w:szCs w:val="18"/>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r>
      <w:tr>
        <w:trPr>
          <w:trHeight w:val="20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(37,674)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tabs>
          <w:tab w:leader="none" w:pos="171"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Includes Jefferson’s proportionate share of the unconsolidated entities’ net income adjusted for the excluded and included items detailed above, for which there were no adjustments.</w:t>
      </w:r>
    </w:p>
    <w:p>
      <w:pPr>
        <w:spacing w:after="0" w:line="105" w:lineRule="exact"/>
        <w:rPr>
          <w:rFonts w:ascii="Arial" w:cs="Arial" w:eastAsia="Arial" w:hAnsi="Arial"/>
          <w:sz w:val="19"/>
          <w:szCs w:val="19"/>
          <w:color w:val="auto"/>
          <w:vertAlign w:val="superscript"/>
        </w:rPr>
      </w:pPr>
    </w:p>
    <w:p>
      <w:pPr>
        <w:ind w:left="180" w:hanging="172"/>
        <w:spacing w:after="0" w:line="218" w:lineRule="auto"/>
        <w:tabs>
          <w:tab w:leader="none" w:pos="15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2018 and 2017: (i) equity-based compensation of $106 and $125, (ii) provision for income tax of $57 and $16, and (iii) changes in fair value of non-hedge derivative instruments of $(1,099) and $404, less (v) cash tax payments of $15 and $31,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(7,915)</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(4,501)</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15,513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1,946</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Less: Equity in losses of unconsolidated entities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w:t>
            </w:r>
          </w:p>
        </w:tc>
      </w:tr>
      <w:tr>
        <w:trPr>
          <w:trHeight w:val="210"/>
        </w:trPr>
        <w:tc>
          <w:tcPr>
            <w:tcW w:w="6540" w:type="dxa"/>
            <w:vAlign w:val="bottom"/>
          </w:tcPr>
          <w:p>
            <w:pPr>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(3,231)</w:t>
            </w: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49"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Includes (i) net loss of $574 and $321 and (ii) depreciation and amortization expense of $1,052 and $0 for the years ended December 31, 2018 and 2017, respectively.</w:t>
      </w:r>
    </w:p>
    <w:p>
      <w:pPr>
        <w:jc w:val="both"/>
        <w:ind w:left="180" w:hanging="172"/>
        <w:spacing w:after="0" w:line="220" w:lineRule="auto"/>
        <w:tabs>
          <w:tab w:leader="none" w:pos="17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equity-based compensation of $106 and $125, (ii) provision for income taxes of $57 and $16, (iii) interest expense of $4,465 and $4,886, (iv) changes in fair value of non-hedge derivative instruments of $(1,099) and $404, and (v) depreciation and amortization expense of $5,847 and $6,320,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$60.8 million primarily due to an increase in crude marketing revenue of $60.6 million. During the third quarter of 2018, Jefferson initiated a strategy in Canada sourcing crude from producers, arranging logistics to Jefferson Terminal and marketing crude to third parties. These resulting crude sales and corresponding crude costs including logistics are reflected in Other revenue and Operating expenses,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$68.9 million primarily reflecting higher operating expenses of $63.4 million. The increase in operating expenses reflected higher:</w:t>
      </w:r>
    </w:p>
    <w:p>
      <w:pPr>
        <w:spacing w:after="0" w:line="11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 of sales of $47.3 million, resulting from costs associated with crude marketing;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facility operations expense of $5.7 million due to higher volume associated with crude marketing;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professional fees of $3.8 million primarily consisting of legal fees;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compensation and benefits expense of $2.4 million resulting from an increase in headcount;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repairs and maintenance of $0.9 million.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the increase in expense reflected higher depreciation expense of $3.6 million due to additional assets placed into service, and interest expense of $1.9 million due to the entry into the Jefferson Revolver in March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$10.7 million primarily due to the changes in net loss attributable to shareholders noted above and changes in fair value of non-hedge derivative instruments of $4.5 million, partially offset by a higher non-controlling share of Adjusted Net Income of $1.5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decreased $3.2 million primarily due to the changes in net loss attributable to shareholders noted above and changes in fair value of non-hedge derivative instruments of $4.5 million, partially offset by higher depreciation and amortization of $3.6 million, non-controlling share of Adjusted EBITDA of $2.4 million and interest expense of $1.9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060"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Railroad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38,410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w:t>
            </w:r>
          </w:p>
        </w:tc>
      </w:tr>
      <w:tr>
        <w:trPr>
          <w:trHeight w:val="216"/>
        </w:trPr>
        <w:tc>
          <w:tcPr>
            <w:tcW w:w="6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31,734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2,570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35,313</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w:t>
            </w:r>
          </w:p>
        </w:tc>
      </w:tr>
      <w:tr>
        <w:trPr>
          <w:trHeight w:val="216"/>
        </w:trPr>
        <w:tc>
          <w:tcPr>
            <w:tcW w:w="6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Other loss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of assets,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loss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3,055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3,792</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4,132</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4,869</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3,793</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Benefit from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2,986</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2,967</w:t>
            </w:r>
          </w:p>
        </w:tc>
      </w:tr>
      <w:tr>
        <w:trPr>
          <w:trHeight w:val="21"/>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8" w:lineRule="auto"/>
        <w:tabs>
          <w:tab w:leader="none" w:pos="158"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(i) equity-based compensation of $18 and $44, and (ii) provision for income taxes of $(104) and $0 for the years ended December 31,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04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Benefit from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(1,077)</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1,009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10"/>
        </w:trPr>
        <w:tc>
          <w:tcPr>
            <w:tcW w:w="6540" w:type="dxa"/>
            <w:vAlign w:val="bottom"/>
          </w:tcPr>
          <w:p>
            <w:pPr>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3,318</w:t>
            </w: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11" w:lineRule="auto"/>
        <w:tabs>
          <w:tab w:leader="none" w:pos="17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2018 and 2017: (i) equity-based compensation of $18 and $44, (ii) interest expense of $98 and $62, (iii) provision for income taxes of $(104) and $0, and (iv) depreciation and amortization expense of $248 and $122,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revenues increased $5.8 million due to higher traffic and expanded service offerings to customers. The increase primarily reflects increases in freight transportation revenue of $5.4 million and switching and other rail service revenue of $0.4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Total expenses increased $2.3 million which primarily consists of increases in (i) operating expenses of $1.8 million and (ii) depreciation expense of $0.5 million related to property, plant and equipment.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increase in operating expenses of $1.8 million reflects higher (i) compensation and benefits of $0.8 million, (ii) fuel expense of $0.8 million,</w:t>
      </w:r>
    </w:p>
    <w:p>
      <w:pPr>
        <w:spacing w:after="0" w:line="5" w:lineRule="exact"/>
        <w:rPr>
          <w:sz w:val="20"/>
          <w:szCs w:val="20"/>
          <w:color w:val="auto"/>
        </w:rPr>
      </w:pPr>
    </w:p>
    <w:p>
      <w:pPr>
        <w:jc w:val="both"/>
        <w:ind w:firstLine="8"/>
        <w:spacing w:after="0" w:line="253" w:lineRule="auto"/>
        <w:tabs>
          <w:tab w:leader="none" w:pos="2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lease expense of $0.4 million, (iv) property insurance expense of $0.4 million, (v) other expenses of $0.3 million, (vi) materials and supplies expense of $0.3 million and (vii) bad debt of $0.1 million. Partially offsetting these increases were general operating expenses of $1.3 million due to certain tax benefits for the 2017 annual period that were taken in the current year as the legislation was passed during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Adjusted Net Income increased $3.0 million primarily due to the changes in net income (loss) attributable to shareholders noted above, including a benefit from income taxes of $0.9 million and a decrease in equity-based compensation expense of $0.5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$3.3 million primarily due to the changes in net income (loss) attributable to shareholders noted above, a tax benefit of $0.9 million and lower equity-based compensation expense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060"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12,270</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r>
      <w:tr>
        <w:trPr>
          <w:trHeight w:val="230"/>
        </w:trPr>
        <w:tc>
          <w:tcPr>
            <w:tcW w:w="6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9,195</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12,237</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(6,656)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(6,657)</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Net (Loss) Income</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(6,214)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1"/>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37"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equity-based compensation of $7 and $0 for the years ended December 31, 2018 and 2017.</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46" w:lineRule="exact"/>
        <w:rPr>
          <w:rFonts w:ascii="Arial" w:cs="Arial" w:eastAsia="Arial" w:hAnsi="Arial"/>
          <w:sz w:val="18"/>
          <w:szCs w:val="18"/>
          <w:color w:val="auto"/>
          <w:vertAlign w:val="superscript"/>
        </w:rPr>
      </w:pPr>
    </w:p>
    <w:p>
      <w:pPr>
        <w:ind w:left="5640"/>
        <w:spacing w:after="0"/>
        <w:rPr>
          <w:rFonts w:ascii="Arial" w:cs="Arial" w:eastAsia="Arial" w:hAnsi="Arial"/>
          <w:sz w:val="18"/>
          <w:szCs w:val="18"/>
          <w:color w:val="auto"/>
          <w:vertAlign w:val="superscript"/>
        </w:rPr>
      </w:pPr>
      <w:r>
        <w:rPr>
          <w:rFonts w:ascii="Arial" w:cs="Arial" w:eastAsia="Arial" w:hAnsi="Arial"/>
          <w:sz w:val="14"/>
          <w:szCs w:val="14"/>
          <w:color w:val="auto"/>
        </w:rPr>
        <w:t>54</w:t>
      </w:r>
    </w:p>
    <w:p>
      <w:pPr>
        <w:sectPr>
          <w:pgSz w:w="11900" w:h="16838" w:orient="portrait"/>
          <w:cols w:equalWidth="0" w:num="1">
            <w:col w:w="11380"/>
          </w:cols>
          <w:pgMar w:left="240" w:top="1040" w:right="27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10"/>
        </w:trPr>
        <w:tc>
          <w:tcPr>
            <w:tcW w:w="6540" w:type="dxa"/>
            <w:vAlign w:val="bottom"/>
          </w:tcPr>
          <w:p>
            <w:pPr>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2,899</w:t>
            </w: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firstLine="8"/>
        <w:spacing w:after="0" w:line="218" w:lineRule="auto"/>
        <w:tabs>
          <w:tab w:leader="none" w:pos="15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(i) equity-based compensation of $7 and $0, (ii) interest expense of $159 and $0, and (iii) depreciation expense of $30 and $0 for the years ended December 31, 2018 and 2017.</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$12.6 million due to an increase in butane sales at Repauno of $4.2 million, recorded in other revenue, as well as an increase in revenue at Long Ridge of $8.4 million primarily due to additional trans-loading revenue of $4.8 million and revenue related to oil and gas activities of $3.6 million, which began in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increased $12.2 million primarily due to increases in (i) operating expenses of $9.2 million and (ii) depreciation expense of $3.5 million related to property, plant and equipment.</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increase in operating expenses was primarily driven by higher (i) cost of sales of $2.8 million related to the sale of butane, (ii) compensation and benefits of $2.2 million due to increased headcount, (iii) facility operations of $1.8 million related to an increase in volumes for the trans-loading operation at Long Ridge, (iv) professional fees of $0.5 million, (v) insurance expense of $0.4 million and (vi) utilities expense of $0.4 million. The increase in depreciation expense is related to additional assets being placed into service, including the cavern at Repauno, and the depletion of gas reserves at Long Ridge.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increased $2.9 million primarily due to the changes in net loss attributable to shareholders noted above and an increase in depreciation and amortization of $3.5 million, partially offset by lower interest expense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1060"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Corporate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14,570</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2,556</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15,726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17,524</w:t>
            </w: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19,862</w:t>
            </w:r>
          </w:p>
        </w:tc>
      </w:tr>
      <w:tr>
        <w:trPr>
          <w:trHeight w:val="216"/>
        </w:trPr>
        <w:tc>
          <w:tcPr>
            <w:tcW w:w="6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1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6,653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380"/>
          </w:cols>
          <w:pgMar w:left="240" w:top="1040" w:right="27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(17,406)</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36,996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17,524</w:t>
            </w:r>
          </w:p>
        </w:tc>
      </w:tr>
      <w:tr>
        <w:trPr>
          <w:trHeight w:val="22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Less: Non-controlling share of Adjusted EBITDA</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(32,436)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(29,788)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(2,648)</w:t>
            </w:r>
          </w:p>
        </w:tc>
      </w:tr>
      <w:tr>
        <w:trPr>
          <w:trHeight w:val="21"/>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$19.9 million primarily due to increases in:</w:t>
      </w:r>
    </w:p>
    <w:p>
      <w:pPr>
        <w:spacing w:after="0" w:line="11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interest expense of $17.5 million related to the 2022 Notes, Revolving Credit Facility and 2025 Notes;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general and administrative expenses of $2.6 million due to an increase in reimbursement expenses to our manager of $1.8 million primarily due to an increase in headcount and professional fees of $0.6 million primarily related to audit and SOX compliance.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Net Loss increased $20.1 million primarily due to the changes in net loss attributable to shareholders noted above and the loss on the extinguishment of debt of $2.5 million in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decreased $2.6 million primarily due to the changes in net loss attributable to shareholders noted above and higher interest expense of $17.6 million.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06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00497F"/>
        </w:rPr>
        <w:t>Comparison of the year ended December 31, 2017 to the year ended December 31, 2016</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our consolidated results of operations and reconciliation of net income (loss) attributable to shareholders to Adjusted Net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29,800</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65,651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36,954</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1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equipment leasing revenues</w:t>
            </w: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101,949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68,051</w:t>
            </w:r>
          </w:p>
        </w:tc>
      </w:tr>
      <w:tr>
        <w:trPr>
          <w:trHeight w:val="19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Rail revenues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1,770</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(5,673)</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3,712</w:t>
            </w:r>
          </w:p>
        </w:tc>
      </w:tr>
      <w:tr>
        <w:trPr>
          <w:trHeight w:val="216"/>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infrastructure revenues</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w:t>
            </w:r>
          </w:p>
        </w:tc>
      </w:tr>
      <w:tr>
        <w:trPr>
          <w:trHeight w:val="204"/>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10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217,659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68,939</w:t>
            </w:r>
          </w:p>
        </w:tc>
      </w:tr>
      <w:tr>
        <w:trPr>
          <w:trHeight w:val="216"/>
        </w:trPr>
        <w:tc>
          <w:tcPr>
            <w:tcW w:w="5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26,216</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2,256</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(1,010)</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27,900</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19,870</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76,222</w:t>
            </w:r>
          </w:p>
        </w:tc>
      </w:tr>
      <w:tr>
        <w:trPr>
          <w:trHeight w:val="216"/>
        </w:trPr>
        <w:tc>
          <w:tcPr>
            <w:tcW w:w="5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4,391</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12,340</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552</w:t>
            </w:r>
          </w:p>
        </w:tc>
      </w:t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0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w:t>
            </w:r>
          </w:p>
        </w:tc>
      </w:tr>
      <w:tr>
        <w:trPr>
          <w:trHeight w:val="204"/>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10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26,327</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19,044</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0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17,358</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20,198</w:t>
            </w:r>
          </w:p>
        </w:tc>
      </w:tr>
      <w:tr>
        <w:trPr>
          <w:trHeight w:val="778"/>
        </w:trPr>
        <w:tc>
          <w:tcPr>
            <w:tcW w:w="5380" w:type="dxa"/>
            <w:vAlign w:val="bottom"/>
          </w:tcPr>
          <w:p>
            <w:pPr>
              <w:spacing w:after="0"/>
              <w:rPr>
                <w:sz w:val="24"/>
                <w:szCs w:val="24"/>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58</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 (income)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97"/>
        </w:trPr>
        <w:tc>
          <w:tcPr>
            <w:tcW w:w="6460" w:type="dxa"/>
            <w:vAlign w:val="bottom"/>
          </w:tcPr>
          <w:p>
            <w:pPr>
              <w:ind w:left="2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8"/>
                <w:szCs w:val="18"/>
                <w:color w:val="auto"/>
                <w:vertAlign w:val="superscript"/>
              </w:rPr>
              <w:t>(1)</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8"/>
                <w:szCs w:val="18"/>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r>
      <w:tr>
        <w:trPr>
          <w:trHeight w:val="23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49"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Includes our proportionate share of the unconsolidated entities’ net income adjusted for the excluded and included items detailed in the table above.</w:t>
      </w:r>
    </w:p>
    <w:p>
      <w:pPr>
        <w:jc w:val="both"/>
        <w:ind w:left="180" w:hanging="172"/>
        <w:spacing w:after="0" w:line="220" w:lineRule="auto"/>
        <w:tabs>
          <w:tab w:leader="none" w:pos="173"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equity-based compensation of $169 and $(1,561), (ii) provision for income tax of $16 and $29, (iii) loss on extinguishment of debt of $0 and $616, (iv) asset impairment charges of $0 and $3,725, (v) acquisition and transaction expense of $0 and $156, (vi) changes in fair value of non-hedge derivative instruments of $404 and $0, less (vii) cash tax payments of $31 and $20,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20,198</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38,827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19,870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(4,391)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136,524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67,496</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04" w:lineRule="auto"/>
        <w:tabs>
          <w:tab w:leader="none" w:pos="185"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depreciation and amortization expense of $88,110 and $60,210, (ii) lease intangible amortization of $4,716 and $4,979, and (iii) amortization for lease incentives of $3,591 and $467 of amortization, respectively.</w:t>
      </w:r>
    </w:p>
    <w:p>
      <w:pPr>
        <w:spacing w:after="0" w:line="1" w:lineRule="exact"/>
        <w:rPr>
          <w:rFonts w:ascii="Arial" w:cs="Arial" w:eastAsia="Arial" w:hAnsi="Arial"/>
          <w:sz w:val="19"/>
          <w:szCs w:val="19"/>
          <w:color w:val="auto"/>
          <w:vertAlign w:val="superscript"/>
        </w:rPr>
      </w:pPr>
    </w:p>
    <w:p>
      <w:pPr>
        <w:ind w:left="180" w:hanging="172"/>
        <w:spacing w:after="0" w:line="204" w:lineRule="auto"/>
        <w:tabs>
          <w:tab w:leader="none" w:pos="17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net loss of $1,786 and $6,161, (ii) interest expense of $785 and $1,323, (iii) depreciation and amortization expense of $758 and $2,966, and (iv) asset impairment charges of $0 and $3,068, respectively.</w:t>
      </w:r>
    </w:p>
    <w:p>
      <w:pPr>
        <w:spacing w:after="0" w:line="1" w:lineRule="exact"/>
        <w:rPr>
          <w:rFonts w:ascii="Arial" w:cs="Arial" w:eastAsia="Arial" w:hAnsi="Arial"/>
          <w:sz w:val="19"/>
          <w:szCs w:val="19"/>
          <w:color w:val="auto"/>
          <w:vertAlign w:val="superscript"/>
        </w:rPr>
      </w:pPr>
    </w:p>
    <w:p>
      <w:pPr>
        <w:jc w:val="both"/>
        <w:ind w:left="180" w:hanging="172"/>
        <w:spacing w:after="0" w:line="225" w:lineRule="auto"/>
        <w:tabs>
          <w:tab w:leader="none" w:pos="179"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equity based compensation of $169 and $(1,561), (ii) provision for income taxes of $16 and $29, (iii) interest expense of $5,030 and $5,124, (iv) depreciation and amortization expense of $7,144 and $6,564, (v) changes in fair value of non-hedge derivative instruments of $404 and $0, (vi) asset impairment charge of $0 and $3,725, (vii) loss on extinguishment of debt of $0 and $616, and (viii) transaction and acquisition expense of $0 and $156,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revenues increased $68.9 million driven mainly by higher revenues in the Aviation, Offshore Energy and Ports and Terminals segments partially offset by lower revenues in the Jefferson Terminal segment.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058"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Equipment Leasing</w:t>
      </w:r>
    </w:p>
    <w:p>
      <w:pPr>
        <w:spacing w:after="0" w:line="113" w:lineRule="exact"/>
        <w:rPr>
          <w:sz w:val="20"/>
          <w:szCs w:val="20"/>
          <w:color w:val="auto"/>
        </w:rPr>
      </w:pPr>
    </w:p>
    <w:p>
      <w:pPr>
        <w:ind w:left="660" w:right="2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Lease income increased $29.8 million driven by an increase in assets on lease in the Aviation Leasing segment coupled with vessels on hire in the Offshore Energy segment during 2017;</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Maintenance revenue increased $37.0 million as we increased the number of aircraft and engines subject to leases with maintenance arrangements and the redelivery of two aircraft with end of lease compensation payments totaling $6.3 million in 2017;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revenues increased $2.5 million mainly as a result of crew and insurance reimbursement income in the Offshore Energy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Infrastructure</w:t>
      </w:r>
    </w:p>
    <w:p>
      <w:pPr>
        <w:spacing w:after="0" w:line="113"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revenue increased $3.7 million due to activity at Long Ridge, which was acquired in 2017;</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Rail revenues increased $1.8 million due to an increase in traffic and expanded service offerings by our Railroad segment;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Partially offsetting these increases was lower revenue of $5.7 million in the Jefferson Terminal segment due to a decrease in loading and unloading due to ongoing construction at the terminal and the conclusion of a long term take or pay contract.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$76.2 million primarily due to increases in (i) depreciation and amortization, (ii) operating expenses and (iii) interest expense.</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$27.9 million primarily due to additional assets acquired in the Aviation Leasing segment coupled with assets at Long Ridge and Repauno going into service.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$26.2 million primarily due to increases in:</w:t>
      </w:r>
    </w:p>
    <w:p>
      <w:pPr>
        <w:spacing w:after="0" w:line="113" w:lineRule="exact"/>
        <w:rPr>
          <w:sz w:val="20"/>
          <w:szCs w:val="20"/>
          <w:color w:val="auto"/>
        </w:rPr>
      </w:pPr>
    </w:p>
    <w:p>
      <w:pPr>
        <w:ind w:left="660" w:hanging="328"/>
        <w:spacing w:after="0" w:line="260"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compensation and benefits of $8.9 million primarily reflecting an increase in equity-based compensation expense due to the reversal of an expense related to a forfeiture in 2016;</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facility operations of $5.8 million primarily in the Jefferson Terminal and Railroad segments due to increases in volume;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expenses of $4.1 million related to the Offshore Energy segment;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professional fees of $4.0 million related to an increase in activity;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cost of sales of $2.0 million reflecting the sale of butane in 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$19.9 million primarily due to the Senior Notes and Revolving Line of Credit entered into during 2017.</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(expense) increased $26.3 million primarily due to:</w:t>
      </w:r>
    </w:p>
    <w:p>
      <w:pPr>
        <w:spacing w:after="0" w:line="113" w:lineRule="exact"/>
        <w:rPr>
          <w:sz w:val="20"/>
          <w:szCs w:val="20"/>
          <w:color w:val="auto"/>
        </w:rPr>
      </w:pPr>
    </w:p>
    <w:p>
      <w:pPr>
        <w:ind w:left="660" w:hanging="328"/>
        <w:spacing w:after="0" w:line="260"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higher gain on the sale of assets, net of $12.3 million, reflecting the sale of available-for-sale securities of an international oil and gas drilling contractor in the Offshore Energy segment;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asset impairment charge in 2016 of $7.5 million, where there was no asset impairment charge in 2017;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decrease in the equity in losses of unconsolidated entities of $4.4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increased $1.7 million primarily as a result of an increase in net income attributable to our corporate subsidiaries subject to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taxation at regular corporate rates.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Attributable to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shareholders decreased $20.2 million primarily due to the changes discussed above.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Net Income increased $19.0 million primarily due to the changes in revenue, expenses and other expenses noted above, and increases in (i) equity based compensation of $5.0 million, (ii) pro-rata share of Adjusted Net Income from unconsolidated entities of $1.3 million and (iii) non-controlling share of Adjusted Net income of $2.4 million. The increase was partially offset by a decrease in asset impairment charges of $7.5 million and equity in losses of unconsolidated entities of $4.4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019"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Adjusted EBITDA increased $67.5 million primarily due to the changes in revenue, expenses and other losses noted above, which resulted in a net income attributable to shareholders, and (i) depreciation and amortization expense, (ii) interest expense, (iii) the pro-rata share of Adjusted EBITDA from unconsolidated entities, (iv) lower equity-based compensation, (v) lower non-controlling share of Adjusted EBITDA and (vi) equity in earnings of unconsolidated entities.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in our Aviation Leasing segment, we own and manage 158 aviation assets, including 48 aircraft and 110 commercial engines.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December 31, 2017, 46 of our commercial aircraft and 76 of our engines were leased to operators or other third parties. Aviation assets currently off lease are either undergoing repair and/or maintenance, being prepared to go on lease or held in short term storage awaiting a future lease. Our aviation equipment was approximately 86% utilized as of December 31, 2017, based on the equity value of our on-hire leasing equipment as a percentage of the total equity value of our aviation leasing equipment. Our aircraft currently have a weighted average remaining lease term of 32 months, and our engines currently on-lease have an average remaining lease term of 11 months. The table below provides additional information on the assets in our Aviation Leasing segment: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gridSpan w:val="4"/>
            <w:shd w:val="clear" w:color="auto" w:fill="00497F"/>
          </w:tcPr>
          <w:p>
            <w:pPr>
              <w:ind w:left="20"/>
              <w:spacing w:after="0"/>
              <w:rPr>
                <w:sz w:val="20"/>
                <w:szCs w:val="20"/>
                <w:color w:val="auto"/>
              </w:rPr>
            </w:pPr>
            <w:r>
              <w:rPr>
                <w:rFonts w:ascii="Arial" w:cs="Arial" w:eastAsia="Arial" w:hAnsi="Arial"/>
                <w:sz w:val="14"/>
                <w:szCs w:val="14"/>
                <w:b w:val="1"/>
                <w:bCs w:val="1"/>
                <w:color w:val="FFFFFF"/>
              </w:rPr>
              <w:t>Aviation Assets</w:t>
            </w:r>
          </w:p>
        </w:tc>
        <w:tc>
          <w:tcPr>
            <w:tcW w:w="172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48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1740" w:type="dxa"/>
            <w:vAlign w:val="bottom"/>
            <w:shd w:val="clear" w:color="auto" w:fill="00497F"/>
          </w:tcPr>
          <w:p>
            <w:pPr>
              <w:ind w:left="680"/>
              <w:spacing w:after="0"/>
              <w:rPr>
                <w:sz w:val="20"/>
                <w:szCs w:val="20"/>
                <w:color w:val="auto"/>
              </w:rPr>
            </w:pPr>
            <w:r>
              <w:rPr>
                <w:rFonts w:ascii="Arial" w:cs="Arial" w:eastAsia="Arial" w:hAnsi="Arial"/>
                <w:sz w:val="14"/>
                <w:szCs w:val="14"/>
                <w:b w:val="1"/>
                <w:bCs w:val="1"/>
                <w:color w:val="FFFFFF"/>
              </w:rPr>
              <w:t>Narrowbody</w:t>
            </w:r>
          </w:p>
        </w:tc>
        <w:tc>
          <w:tcPr>
            <w:tcW w:w="46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76"/>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Aircraft</w:t>
            </w: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2017</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r>
      <w:tr>
        <w:trPr>
          <w:trHeight w:val="210"/>
        </w:trPr>
        <w:tc>
          <w:tcPr>
            <w:tcW w:w="20" w:type="dxa"/>
            <w:vAlign w:val="bottom"/>
          </w:tcPr>
          <w:p>
            <w:pPr>
              <w:spacing w:after="0"/>
              <w:rPr>
                <w:sz w:val="18"/>
                <w:szCs w:val="18"/>
                <w:color w:val="auto"/>
              </w:rPr>
            </w:pPr>
          </w:p>
        </w:tc>
        <w:tc>
          <w:tcPr>
            <w:tcW w:w="4580" w:type="dxa"/>
            <w:vAlign w:val="bottom"/>
            <w:gridSpan w:val="3"/>
          </w:tcPr>
          <w:p>
            <w:pPr>
              <w:ind w:left="200"/>
              <w:spacing w:after="0"/>
              <w:rPr>
                <w:sz w:val="20"/>
                <w:szCs w:val="20"/>
                <w:color w:val="auto"/>
              </w:rPr>
            </w:pPr>
            <w:r>
              <w:rPr>
                <w:rFonts w:ascii="Arial" w:cs="Arial" w:eastAsia="Arial" w:hAnsi="Arial"/>
                <w:sz w:val="14"/>
                <w:szCs w:val="14"/>
                <w:color w:val="auto"/>
              </w:rPr>
              <w:t>Purchases</w:t>
            </w:r>
          </w:p>
        </w:tc>
        <w:tc>
          <w:tcPr>
            <w:tcW w:w="1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6"/>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1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46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color w:val="auto"/>
              </w:rPr>
              <w:t>Assets at December 31, 2017</w:t>
            </w:r>
          </w:p>
        </w:tc>
        <w:tc>
          <w:tcPr>
            <w:tcW w:w="1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r>
      <w:tr>
        <w:trPr>
          <w:trHeight w:val="176"/>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Engines</w:t>
            </w: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460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Assets at January 1, 2017</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w:t>
            </w:r>
          </w:p>
        </w:tc>
      </w:tr>
      <w:tr>
        <w:trPr>
          <w:trHeight w:val="210"/>
        </w:trPr>
        <w:tc>
          <w:tcPr>
            <w:tcW w:w="20" w:type="dxa"/>
            <w:vAlign w:val="bottom"/>
          </w:tcPr>
          <w:p>
            <w:pPr>
              <w:spacing w:after="0"/>
              <w:rPr>
                <w:sz w:val="18"/>
                <w:szCs w:val="18"/>
                <w:color w:val="auto"/>
              </w:rPr>
            </w:pPr>
          </w:p>
        </w:tc>
        <w:tc>
          <w:tcPr>
            <w:tcW w:w="4580" w:type="dxa"/>
            <w:vAlign w:val="bottom"/>
            <w:gridSpan w:val="3"/>
          </w:tcPr>
          <w:p>
            <w:pPr>
              <w:ind w:left="200"/>
              <w:spacing w:after="0"/>
              <w:rPr>
                <w:sz w:val="20"/>
                <w:szCs w:val="20"/>
                <w:color w:val="auto"/>
              </w:rPr>
            </w:pPr>
            <w:r>
              <w:rPr>
                <w:rFonts w:ascii="Arial" w:cs="Arial" w:eastAsia="Arial" w:hAnsi="Arial"/>
                <w:sz w:val="14"/>
                <w:szCs w:val="14"/>
                <w:color w:val="auto"/>
              </w:rPr>
              <w:t>Purchases</w:t>
            </w:r>
          </w:p>
        </w:tc>
        <w:tc>
          <w:tcPr>
            <w:tcW w:w="1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16"/>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Sales</w:t>
            </w:r>
          </w:p>
        </w:tc>
        <w:tc>
          <w:tcPr>
            <w:tcW w:w="1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10"/>
        </w:trPr>
        <w:tc>
          <w:tcPr>
            <w:tcW w:w="460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at December 31, 2017</w:t>
            </w:r>
          </w:p>
        </w:tc>
        <w:tc>
          <w:tcPr>
            <w:tcW w:w="1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25,079</w:t>
            </w: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Maintenance revenue</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65,651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36,954</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r>
      <w:tr>
        <w:trPr>
          <w:trHeight w:val="20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156,793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61,385</w:t>
            </w:r>
          </w:p>
        </w:tc>
      </w:tr>
      <w:tr>
        <w:trPr>
          <w:trHeight w:val="216"/>
        </w:trPr>
        <w:tc>
          <w:tcPr>
            <w:tcW w:w="4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25,426</w:t>
            </w:r>
          </w:p>
        </w:tc>
      </w:tr>
      <w:tr>
        <w:trPr>
          <w:trHeight w:val="20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68,483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27,425</w:t>
            </w:r>
          </w:p>
        </w:tc>
      </w:tr>
      <w:tr>
        <w:trPr>
          <w:trHeight w:val="216"/>
        </w:trPr>
        <w:tc>
          <w:tcPr>
            <w:tcW w:w="4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1,974</w:t>
            </w:r>
          </w:p>
        </w:tc>
      </w:tr>
      <w:tr>
        <w:trPr>
          <w:trHeight w:val="22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0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34,813</w:t>
            </w:r>
          </w:p>
        </w:tc>
      </w:tr>
      <w:tr>
        <w:trPr>
          <w:trHeight w:val="21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92,553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33,114</w:t>
            </w:r>
          </w:p>
        </w:tc>
      </w:tr>
      <w:tr>
        <w:trPr>
          <w:trHeight w:val="886"/>
        </w:trPr>
        <w:tc>
          <w:tcPr>
            <w:tcW w:w="4160" w:type="dxa"/>
            <w:vAlign w:val="bottom"/>
          </w:tcPr>
          <w:p>
            <w:pPr>
              <w:spacing w:after="0"/>
              <w:rPr>
                <w:sz w:val="24"/>
                <w:szCs w:val="24"/>
                <w:color w:val="auto"/>
              </w:rPr>
            </w:pPr>
          </w:p>
        </w:tc>
        <w:tc>
          <w:tcPr>
            <w:tcW w:w="2300" w:type="dxa"/>
            <w:vAlign w:val="bottom"/>
          </w:tcPr>
          <w:p>
            <w:pPr>
              <w:jc w:val="right"/>
              <w:ind w:right="588"/>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91,856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32,852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color w:val="auto"/>
              </w:rPr>
              <w:t xml:space="preserve">Add: Pro-rata share of Adjusted Net Income from unconsolidated entities </w:t>
            </w:r>
            <w:r>
              <w:rPr>
                <w:rFonts w:ascii="Arial" w:cs="Arial" w:eastAsia="Arial" w:hAnsi="Arial"/>
                <w:sz w:val="18"/>
                <w:szCs w:val="18"/>
                <w:color w:val="auto"/>
                <w:vertAlign w:val="superscript"/>
              </w:rPr>
              <w:t>(1)</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33,869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11" w:lineRule="auto"/>
        <w:tabs>
          <w:tab w:leader="none" w:pos="176"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Includes Aviation’s proportionate share of the unconsolidated entities’ net income adjusted for the excluded and included items detailed in the table above, for which there were no adjustments.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8"/>
                <w:szCs w:val="18"/>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(3)</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163,828</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62,825</w:t>
            </w:r>
          </w:p>
        </w:tc>
      </w:tr>
      <w:tr>
        <w:trPr>
          <w:trHeight w:val="21"/>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line="204" w:lineRule="auto"/>
        <w:tabs>
          <w:tab w:leader="none" w:pos="171"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depreciation expense of $61,795 and $36,369, lease intangible amortization of $4,716 and $4,979, and amortization for lease incentives of $3,591 and $468, respectively.</w:t>
      </w:r>
    </w:p>
    <w:p>
      <w:pPr>
        <w:spacing w:after="0" w:line="1" w:lineRule="exact"/>
        <w:rPr>
          <w:rFonts w:ascii="Arial" w:cs="Arial" w:eastAsia="Arial" w:hAnsi="Arial"/>
          <w:sz w:val="19"/>
          <w:szCs w:val="19"/>
          <w:color w:val="auto"/>
          <w:vertAlign w:val="superscript"/>
        </w:rPr>
      </w:pPr>
    </w:p>
    <w:p>
      <w:pPr>
        <w:ind w:left="140" w:hanging="132"/>
        <w:spacing w:after="0" w:line="211" w:lineRule="auto"/>
        <w:tabs>
          <w:tab w:leader="none" w:pos="140"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Includes net loss of $1,276 and $0 for the years ended December 31, 2017 and 2016, respectively.</w:t>
      </w:r>
    </w:p>
    <w:p>
      <w:pPr>
        <w:ind w:left="160" w:hanging="152"/>
        <w:spacing w:after="0" w:line="199" w:lineRule="auto"/>
        <w:tabs>
          <w:tab w:leader="none" w:pos="1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lease amortization expense of $537 and $164 for the years ended December 31, 2017 and 2016,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$61.4 million driven by higher lease income and maintenance revenue partially offset by a decrease in other revenue.</w:t>
      </w:r>
    </w:p>
    <w:p>
      <w:pPr>
        <w:spacing w:after="0" w:line="113" w:lineRule="exact"/>
        <w:rPr>
          <w:sz w:val="20"/>
          <w:szCs w:val="20"/>
          <w:color w:val="auto"/>
        </w:rPr>
      </w:pPr>
    </w:p>
    <w:p>
      <w:pPr>
        <w:ind w:left="660" w:right="20" w:hanging="328"/>
        <w:spacing w:after="0" w:line="260"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Lease income increased $25.1 million mainly due to an increase in (i) aircraft lease income of $9.4 million primarily driven by the addition of 26 aircraft on lease and (ii) engine lease income of $15.7 million primarily driven by an additional 45 revenue generating engines in 2017 compared to 2016.</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Maintenance revenue increased $37.0 million due to an increase in the number of aircraft and engines on lease, and the receipt of end-of-lease compensation for two aircraft.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950" w:right="239" w:bottom="1440" w:gutter="0" w:footer="0" w:header="0"/>
        </w:sectPr>
      </w:pPr>
    </w:p>
    <w:bookmarkStart w:id="62" w:name="page63"/>
    <w:bookmarkEnd w:id="62"/>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revenue decreased $0.6 million primarily due to fewer forfeited security deposits included in earnings in 2017 compared to 2016.</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$27.4 million primarily due to an increase in depreciation and amortization expense.</w:t>
      </w:r>
    </w:p>
    <w:p>
      <w:pPr>
        <w:spacing w:after="0" w:line="113" w:lineRule="exact"/>
        <w:rPr>
          <w:sz w:val="20"/>
          <w:szCs w:val="20"/>
          <w:color w:val="auto"/>
        </w:rPr>
      </w:pPr>
    </w:p>
    <w:p>
      <w:pPr>
        <w:ind w:left="660" w:hanging="328"/>
        <w:spacing w:after="0" w:line="25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Depreciation and amortization expense increased $25.4 million driven by additional aircraft and engines owned and on lease in 2017 compared to 2016.</w:t>
      </w:r>
    </w:p>
    <w:p>
      <w:pPr>
        <w:spacing w:after="0" w:line="29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Operating expenses increased $1.6 million primarily as a result of increases in professional fee expenses of $0.9 million, shipping and storage fees of $0.6 million due to the positioning of our assets for lease, and $0.2 million of other expenses due to growth of the Aviation Leasing segment.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Acquisition and transaction expenses increased $0.4 million reflecting higher deal costs in the Aviation Leasing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other income increased $0.9 million driven by the gain on sale of assets, partially offset by losses incurred by the advanced engine repair JV of $1.3 million.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provision for income taxes increased $1.7 million primarily as a result of an increase in net income attributable to our corporate subsidiaries subject to U.S. taxation at regular corporate rates.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Income increased $33.9 million primarily driven by the changes to net income attributable to shareholders noted above and cash payments for income taxes due to our corporate subsidiaries subject to U.S. taxation at regular corporate rates.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increased $62.8 million primarily due to the changes in net income attributable to shareholders noted above,higher depreciation and amortization expense for the additional aircraft and engines owned and on lease, and higher provision for income taxes due to changes noted above, partially offset by an increase in the non-controlling interest share of Adjusted EBITDA.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37730" cy="1140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140460"/>
                    </a:xfrm>
                    <a:prstGeom prst="rect">
                      <a:avLst/>
                    </a:prstGeom>
                    <a:noFill/>
                  </pic:spPr>
                </pic:pic>
              </a:graphicData>
            </a:graphic>
          </wp:anchor>
        </w:drawing>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Borders>
              <w:top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color w:val="auto"/>
              </w:rPr>
              <w:t>Asset Type</w:t>
            </w:r>
          </w:p>
        </w:tc>
        <w:tc>
          <w:tcPr>
            <w:tcW w:w="128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Year Built</w:t>
            </w:r>
          </w:p>
        </w:tc>
        <w:tc>
          <w:tcPr>
            <w:tcW w:w="5640" w:type="dxa"/>
            <w:vAlign w:val="bottom"/>
            <w:tcBorders>
              <w:top w:val="single" w:sz="8" w:color="auto"/>
              <w:bottom w:val="single" w:sz="8" w:color="auto"/>
              <w:right w:val="single" w:sz="8" w:color="auto"/>
            </w:tcBorders>
            <w:shd w:val="clear" w:color="auto" w:fill="D8D8D8"/>
          </w:tcPr>
          <w:p>
            <w:pPr>
              <w:ind w:left="2440"/>
              <w:spacing w:after="0"/>
              <w:rPr>
                <w:sz w:val="20"/>
                <w:szCs w:val="20"/>
                <w:color w:val="auto"/>
              </w:rPr>
            </w:pPr>
            <w:r>
              <w:rPr>
                <w:rFonts w:ascii="Arial" w:cs="Arial" w:eastAsia="Arial" w:hAnsi="Arial"/>
                <w:sz w:val="14"/>
                <w:szCs w:val="14"/>
                <w:color w:val="auto"/>
              </w:rPr>
              <w:t>Description</w:t>
            </w:r>
          </w:p>
        </w:tc>
        <w:tc>
          <w:tcPr>
            <w:tcW w:w="2000" w:type="dxa"/>
            <w:vAlign w:val="bottom"/>
            <w:tcBorders>
              <w:top w:val="single" w:sz="8" w:color="auto"/>
              <w:bottom w:val="single" w:sz="8" w:color="auto"/>
            </w:tcBorders>
            <w:shd w:val="clear" w:color="auto" w:fill="D8D8D8"/>
          </w:tcPr>
          <w:p>
            <w:pPr>
              <w:jc w:val="right"/>
              <w:ind w:right="228"/>
              <w:spacing w:after="0"/>
              <w:rPr>
                <w:sz w:val="20"/>
                <w:szCs w:val="20"/>
                <w:color w:val="auto"/>
              </w:rPr>
            </w:pPr>
            <w:r>
              <w:rPr>
                <w:rFonts w:ascii="Arial" w:cs="Arial" w:eastAsia="Arial" w:hAnsi="Arial"/>
                <w:sz w:val="14"/>
                <w:szCs w:val="14"/>
                <w:color w:val="auto"/>
              </w:rPr>
              <w:t>Economic Interest (%)</w:t>
            </w:r>
          </w:p>
        </w:tc>
        <w:tc>
          <w:tcPr>
            <w:tcW w:w="0" w:type="dxa"/>
            <w:vAlign w:val="bottom"/>
          </w:tcPr>
          <w:p>
            <w:pPr>
              <w:spacing w:after="0"/>
              <w:rPr>
                <w:sz w:val="1"/>
                <w:szCs w:val="1"/>
                <w:color w:val="auto"/>
              </w:rPr>
            </w:pPr>
          </w:p>
        </w:tc>
      </w:tr>
      <w:tr>
        <w:trPr>
          <w:trHeight w:val="193"/>
        </w:trPr>
        <w:tc>
          <w:tcPr>
            <w:tcW w:w="2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AHTS Vessel</w:t>
            </w:r>
          </w:p>
        </w:tc>
        <w:tc>
          <w:tcPr>
            <w:tcW w:w="12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2010</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00" w:type="dxa"/>
            <w:vAlign w:val="bottom"/>
            <w:vMerge w:val="restart"/>
          </w:tcPr>
          <w:p>
            <w:pPr>
              <w:jc w:val="right"/>
              <w:ind w:right="8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91"/>
        </w:trPr>
        <w:tc>
          <w:tcPr>
            <w:tcW w:w="24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5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and a total bollard pull of 68.5 tons</w:t>
            </w: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8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564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DP-3 construction support and well intervention vessel with</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Construction Support Vessel</w:t>
            </w:r>
          </w:p>
        </w:tc>
        <w:tc>
          <w:tcPr>
            <w:tcW w:w="12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2014</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250-ton main crane, 2,000 square meter open deck space, moon pool and</w:t>
            </w:r>
          </w:p>
        </w:tc>
        <w:tc>
          <w:tcPr>
            <w:tcW w:w="2000" w:type="dxa"/>
            <w:vAlign w:val="bottom"/>
          </w:tcPr>
          <w:p>
            <w:pPr>
              <w:jc w:val="right"/>
              <w:ind w:right="8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5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accommodation for 100 personnel</w:t>
            </w:r>
          </w:p>
        </w:tc>
        <w:tc>
          <w:tcPr>
            <w:tcW w:w="2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ROV Support Vessel</w:t>
            </w:r>
          </w:p>
        </w:tc>
        <w:tc>
          <w:tcPr>
            <w:tcW w:w="12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2011</w:t>
            </w:r>
          </w:p>
        </w:tc>
        <w:tc>
          <w:tcPr>
            <w:tcW w:w="5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DP-2 dive and ROV support vessel with 50-ton crane, moon pool and accommodation</w:t>
            </w:r>
          </w:p>
        </w:tc>
        <w:tc>
          <w:tcPr>
            <w:tcW w:w="2000" w:type="dxa"/>
            <w:vAlign w:val="bottom"/>
          </w:tcPr>
          <w:p>
            <w:pPr>
              <w:jc w:val="right"/>
              <w:ind w:right="728"/>
              <w:spacing w:after="0"/>
              <w:rPr>
                <w:sz w:val="20"/>
                <w:szCs w:val="20"/>
                <w:color w:val="auto"/>
              </w:rPr>
            </w:pPr>
            <w:r>
              <w:rPr>
                <w:rFonts w:ascii="Arial" w:cs="Arial" w:eastAsia="Arial" w:hAnsi="Arial"/>
                <w:sz w:val="14"/>
                <w:szCs w:val="14"/>
                <w:color w:val="auto"/>
              </w:rPr>
              <w:t>100%</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35"/>
        </w:trPr>
        <w:tc>
          <w:tcPr>
            <w:tcW w:w="24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56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4"/>
                <w:szCs w:val="14"/>
                <w:color w:val="auto"/>
              </w:rPr>
              <w:t>for 120 personnel</w:t>
            </w: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w:t>
      </w:r>
    </w:p>
    <w:p>
      <w:pPr>
        <w:spacing w:after="0" w:line="1"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*The increase in economic interest in the third quarter of 2017 for the ROV support vessel reflects the transfer of the non-controlling interest to us as part of the settlement arrangement as more fully discussed in Note 2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019"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Finance lease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7,779</w:t>
            </w:r>
          </w:p>
        </w:tc>
      </w:tr>
      <w:tr>
        <w:trPr>
          <w:trHeight w:val="216"/>
        </w:trPr>
        <w:tc>
          <w:tcPr>
            <w:tcW w:w="6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w:t>
            </w:r>
          </w:p>
        </w:tc>
      </w:tr>
      <w:tr>
        <w:trPr>
          <w:trHeight w:val="216"/>
        </w:trPr>
        <w:tc>
          <w:tcPr>
            <w:tcW w:w="6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1,093</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19,950</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22,971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(23,281)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22,960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3,842</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(15,188)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15,404</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37"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asset impairment charges of $0 and $3,725 for the years ended December 31, 2017 and 2016, respectively.</w:t>
      </w:r>
    </w:p>
    <w:p>
      <w:pPr>
        <w:spacing w:after="0" w:line="200" w:lineRule="exact"/>
        <w:rPr>
          <w:rFonts w:ascii="Arial" w:cs="Arial" w:eastAsia="Arial" w:hAnsi="Arial"/>
          <w:sz w:val="18"/>
          <w:szCs w:val="18"/>
          <w:color w:val="auto"/>
          <w:vertAlign w:val="superscript"/>
        </w:rPr>
      </w:pPr>
    </w:p>
    <w:p>
      <w:pPr>
        <w:spacing w:after="0" w:line="397" w:lineRule="exact"/>
        <w:rPr>
          <w:rFonts w:ascii="Arial" w:cs="Arial" w:eastAsia="Arial" w:hAnsi="Arial"/>
          <w:sz w:val="18"/>
          <w:szCs w:val="18"/>
          <w:color w:val="auto"/>
          <w:vertAlign w:val="superscript"/>
        </w:rPr>
      </w:pPr>
    </w:p>
    <w:p>
      <w:pPr>
        <w:ind w:left="5640"/>
        <w:spacing w:after="0"/>
        <w:rPr>
          <w:rFonts w:ascii="Arial" w:cs="Arial" w:eastAsia="Arial" w:hAnsi="Arial"/>
          <w:sz w:val="18"/>
          <w:szCs w:val="18"/>
          <w:color w:val="auto"/>
          <w:vertAlign w:val="superscript"/>
        </w:rPr>
      </w:pPr>
      <w:r>
        <w:rPr>
          <w:rFonts w:ascii="Arial" w:cs="Arial" w:eastAsia="Arial" w:hAnsi="Arial"/>
          <w:sz w:val="14"/>
          <w:szCs w:val="14"/>
          <w:color w:val="auto"/>
        </w:rPr>
        <w:t>64</w:t>
      </w:r>
    </w:p>
    <w:p>
      <w:pPr>
        <w:sectPr>
          <w:pgSz w:w="11900" w:h="16838" w:orient="portrait"/>
          <w:cols w:equalWidth="0" w:num="1">
            <w:col w:w="11360"/>
          </w:cols>
          <w:pgMar w:left="240" w:top="911" w:right="29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19,118</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15,455</w:t>
            </w:r>
          </w:p>
        </w:tc>
      </w:tr>
      <w:tr>
        <w:trPr>
          <w:trHeight w:val="21"/>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18" w:lineRule="auto"/>
        <w:tabs>
          <w:tab w:leader="none" w:pos="158"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2017 and 2016: (i) depreciation expense of $165 and $245, (ii) interest expense of $82 and $114, and (iii) asset impairment charges of $0 and $3,725,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Total revenues increased $7.8 million primarily due to higher lease income and other revenue. For the year ended December 31, 2017, the offshore construction support vessel was on hire with a long-term lease arrangement that terminated in November 2017, compared to the year ended December 31, 2016 when the vessel was subject to short-term lease arrangements. For the year ended December 31, 2017, the ROV support vessel was on hire with a long-term lease arrangement, as compared to year ended December 31, 2016 when the long-term lease arrangement for the ROV support vessel was terminated in February 2016 resulting in lower lease income from short-term lease arrangements for the remainder of the year. Other revenue increased $3.1 million primarily due to the crew provisions reimbursement income for the offshore construction support vessel.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expenses increased $4.8 million primarily due to operating expenses, which principally consists of increases in (i) crew costs of $1.9 million, (ii) legal fees of $1.3 million, (iii) projects costs of $0.8 million, (iv) other operating expenses of $0.5 million and (v) mobilization and costs for spare parts of $0.3 million.</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both 2017 and 2016, there was depreciation expense of $4.8 million and $1.6 million related to the construction support vessel and ROV support vessel, respectively.</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both 2017 and 2016, there was interest expense of $3.6 million and $0.1 million primarily related to financing for the construction support vessel and ROV support vessel, respectively. The note relating to the ROV support vessel was settled during the third quarter of 2017 due to the transfer of interests from the non-controlling interest holder to us.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(expense) increased $20.0 primarily due to:</w:t>
      </w:r>
    </w:p>
    <w:p>
      <w:pPr>
        <w:spacing w:after="0" w:line="113"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sale of available-for-sale securities of an international oil and gas drilling contractor resulting in a gain of $11.4 million;</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transfer of interests from the non-controlling interest holder to us as settlement for a note receivable, resulting in a gain of $1.1 million in the third quarter of 2017; and</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asset impairment of $7.5 million in 2016, while there was no impairment in 2017. In July 2016, the shipbuilder delivered a notice of termination of the ship building contract for MT6015 resulting in the impairment of the investment.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Net Income increased $15.4 million, primarily due to the changes to net income attributable to shareholders described above, partially offset by the net impact of the impairment recorded during 2016 for the MT6015 vessel.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911"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increased $15.5 million due to an increase in net income attributable to shareholders of $19.1 million as noted above. This was offset by the asset impairment charge recorded during 2016 for the MT6015 vessel.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our Shipping Containers segment we own, through a joint venture, interests in approximately 34,000 maritime shipping containers and related equipment.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describes the assets in our Shipping Containers segment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37730" cy="848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84899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Borders>
              <w:top w:val="single" w:sz="8" w:color="auto"/>
              <w:bottom w:val="single" w:sz="8" w:color="auto"/>
              <w:right w:val="single" w:sz="8" w:color="auto"/>
            </w:tcBorders>
            <w:shd w:val="clear" w:color="auto" w:fill="D8D8D8"/>
          </w:tcPr>
          <w:p>
            <w:pPr>
              <w:jc w:val="right"/>
              <w:ind w:right="608"/>
              <w:spacing w:after="0"/>
              <w:rPr>
                <w:sz w:val="20"/>
                <w:szCs w:val="20"/>
                <w:color w:val="auto"/>
              </w:rPr>
            </w:pPr>
            <w:r>
              <w:rPr>
                <w:rFonts w:ascii="Arial" w:cs="Arial" w:eastAsia="Arial" w:hAnsi="Arial"/>
                <w:sz w:val="14"/>
                <w:szCs w:val="14"/>
                <w:color w:val="auto"/>
              </w:rPr>
              <w:t>Number of Containers</w:t>
            </w:r>
          </w:p>
        </w:tc>
        <w:tc>
          <w:tcPr>
            <w:tcW w:w="176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20" w:type="dxa"/>
            <w:vAlign w:val="bottom"/>
            <w:tcBorders>
              <w:top w:val="single" w:sz="8" w:color="auto"/>
              <w:bottom w:val="single" w:sz="8" w:color="auto"/>
            </w:tcBorders>
            <w:shd w:val="clear" w:color="auto" w:fill="D8D8D8"/>
          </w:tcPr>
          <w:p>
            <w:pPr>
              <w:jc w:val="right"/>
              <w:ind w:right="348"/>
              <w:spacing w:after="0"/>
              <w:rPr>
                <w:sz w:val="20"/>
                <w:szCs w:val="20"/>
                <w:color w:val="auto"/>
              </w:rPr>
            </w:pPr>
            <w:r>
              <w:rPr>
                <w:rFonts w:ascii="Arial" w:cs="Arial" w:eastAsia="Arial" w:hAnsi="Arial"/>
                <w:sz w:val="14"/>
                <w:szCs w:val="14"/>
                <w:color w:val="auto"/>
              </w:rPr>
              <w:t>Economic Interest (%)</w:t>
            </w:r>
          </w:p>
        </w:tc>
        <w:tc>
          <w:tcPr>
            <w:tcW w:w="0" w:type="dxa"/>
            <w:vAlign w:val="bottom"/>
          </w:tcPr>
          <w:p>
            <w:pPr>
              <w:spacing w:after="0"/>
              <w:rPr>
                <w:sz w:val="1"/>
                <w:szCs w:val="1"/>
                <w:color w:val="auto"/>
              </w:rPr>
            </w:pPr>
          </w:p>
        </w:tc>
      </w:tr>
      <w:tr>
        <w:trPr>
          <w:trHeight w:val="193"/>
        </w:trPr>
        <w:tc>
          <w:tcPr>
            <w:tcW w:w="22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Dry</w:t>
            </w:r>
          </w:p>
        </w:tc>
        <w:tc>
          <w:tcPr>
            <w:tcW w:w="174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20’ Reefer</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20" w:type="dxa"/>
            <w:vAlign w:val="bottom"/>
            <w:tcBorders>
              <w:right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20" w:type="dxa"/>
            <w:vAlign w:val="bottom"/>
            <w:tcBorders>
              <w:right w:val="single" w:sz="8" w:color="auto"/>
            </w:tcBorders>
            <w:vMerge w:val="restart"/>
          </w:tcPr>
          <w:p>
            <w:pPr>
              <w:jc w:val="right"/>
              <w:ind w:right="1668"/>
              <w:spacing w:after="0"/>
              <w:rPr>
                <w:sz w:val="20"/>
                <w:szCs w:val="20"/>
                <w:color w:val="auto"/>
              </w:rPr>
            </w:pPr>
            <w:r>
              <w:rPr>
                <w:rFonts w:ascii="Arial" w:cs="Arial" w:eastAsia="Arial" w:hAnsi="Arial"/>
                <w:sz w:val="14"/>
                <w:szCs w:val="14"/>
                <w:color w:val="auto"/>
              </w:rPr>
              <w:t>34,000</w:t>
            </w:r>
          </w:p>
        </w:tc>
        <w:tc>
          <w:tcPr>
            <w:tcW w:w="17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40’ Dry</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 Years</w:t>
            </w:r>
          </w:p>
        </w:tc>
        <w:tc>
          <w:tcPr>
            <w:tcW w:w="17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20" w:type="dxa"/>
            <w:vAlign w:val="bottom"/>
            <w:vMerge w:val="restart"/>
          </w:tcPr>
          <w:p>
            <w:pPr>
              <w:jc w:val="right"/>
              <w:ind w:right="96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81"/>
        </w:trPr>
        <w:tc>
          <w:tcPr>
            <w:tcW w:w="222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20" w:type="dxa"/>
            <w:vAlign w:val="bottom"/>
            <w:tcBorders>
              <w:right w:val="single" w:sz="8" w:color="auto"/>
            </w:tcBorders>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2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40’ HC Dry</w:t>
            </w:r>
          </w:p>
        </w:tc>
        <w:tc>
          <w:tcPr>
            <w:tcW w:w="174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22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40’ HC Reefer</w:t>
            </w:r>
          </w:p>
        </w:tc>
        <w:tc>
          <w:tcPr>
            <w:tcW w:w="17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r>
      <w:tr>
        <w:trPr>
          <w:trHeight w:val="216"/>
        </w:trPr>
        <w:tc>
          <w:tcPr>
            <w:tcW w:w="6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w:t>
            </w:r>
          </w:p>
        </w:tc>
      </w:tr>
      <w:tr>
        <w:trPr>
          <w:trHeight w:val="243"/>
        </w:trPr>
        <w:tc>
          <w:tcPr>
            <w:tcW w:w="6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Other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5,666</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4,997</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Benefit from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(5,970)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1,925</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99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36" w:lineRule="exact"/>
        <w:rPr>
          <w:sz w:val="20"/>
          <w:szCs w:val="20"/>
          <w:color w:val="auto"/>
        </w:rPr>
      </w:pPr>
    </w:p>
    <w:p>
      <w:pPr>
        <w:ind w:left="180" w:hanging="172"/>
        <w:spacing w:after="0" w:line="218" w:lineRule="auto"/>
        <w:tabs>
          <w:tab w:leader="none" w:pos="158"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2017 and 2016: (i) our proportionate share of the unconsolidated entities’ net loss of $189 and $6,161 and (ii) interest expense of $185 and $188, adjusted for (iii) asset impairment charges of $0 and $3,068,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Benefit from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(5,970)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(1,228)</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36" w:lineRule="exact"/>
        <w:rPr>
          <w:sz w:val="20"/>
          <w:szCs w:val="20"/>
          <w:color w:val="auto"/>
        </w:rPr>
      </w:pPr>
    </w:p>
    <w:p>
      <w:pPr>
        <w:ind w:left="180" w:hanging="172"/>
        <w:spacing w:after="0" w:line="211" w:lineRule="auto"/>
        <w:tabs>
          <w:tab w:leader="none" w:pos="181"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net loss of $189 and $6,161, (ii) interest expense of $785 and $1,323, (iii) depreciation and amortization expense of $758 and $2,966, and (iv) asset impairment charges of $0 and $3,068,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decreased $1.1 million primarily driven by the sale of 42,000 shipping containers that were subject to direct finance leases during the first quarter of 2016 and lower finance lease income as a result of the amortization of the underlying principal balances.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expenses decreased $0.4 million primarily due to a decrease in interest expense of $0.4 million, due to the termination of the term loan sale of the shipping containers during the first quarter of 2016.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expense decreased $5.7 million primarily driven by income earned from our shipping container joint venture due to the sale of containers in the portfolios for gains, and no impairment was taken during 2017. Partially offsetting the increase in equity income from unconsolidated entities was the gain on sale of direct finance leases of $0.3 million from the sale of 42,000 shipping containers during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Income was $0.9 million, an increase of $1.9 million, reflecting the changes noted above coupled with a decrease in the pro-rata share of Adjusted Net Loss from unconsolidated entities. These changes were mostly offset by the change in equity of losses of unconsolidated entities, due to the impairment recorded in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$1.2 million, primarily reflecting the change in equity in unconsolidated entities, a higher pro-rata share of Adjusted EBITDA from unconsolidated entities and finance lease income driven by the sale of 42,000 shipping containers during 2016.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1003"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Terminal services revenues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(5,673)</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(5,673)</w:t>
            </w:r>
          </w:p>
        </w:tc>
      </w:tr>
      <w:tr>
        <w:trPr>
          <w:trHeight w:val="216"/>
        </w:trPr>
        <w:tc>
          <w:tcPr>
            <w:tcW w:w="6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9,327</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60,974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9,687</w:t>
            </w:r>
          </w:p>
        </w:tc>
      </w:tr>
      <w:tr>
        <w:trPr>
          <w:trHeight w:val="216"/>
        </w:trPr>
        <w:tc>
          <w:tcPr>
            <w:tcW w:w="6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(48,752)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(12,279)</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(6,535)</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color w:val="auto"/>
              </w:rPr>
              <w:t xml:space="preserve">Add: Pro-rata share of Adjusted Net Income from unconsolidated entities </w:t>
            </w:r>
            <w:r>
              <w:rPr>
                <w:rFonts w:ascii="Arial" w:cs="Arial" w:eastAsia="Arial" w:hAnsi="Arial"/>
                <w:sz w:val="18"/>
                <w:szCs w:val="18"/>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8"/>
                <w:szCs w:val="18"/>
                <w:color w:val="auto"/>
                <w:vertAlign w:val="superscript"/>
              </w:rPr>
              <w:t>(2)</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w:t>
            </w:r>
          </w:p>
        </w:tc>
      </w:tr>
      <w:tr>
        <w:trPr>
          <w:trHeight w:val="204"/>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hanging="172"/>
        <w:spacing w:after="0"/>
        <w:tabs>
          <w:tab w:leader="none" w:pos="171"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Includes Jefferson’s proportionate share of the unconsolidated entities’ net income adjusted for the excluded and included items detailed above, for which there were no adjustments.</w:t>
      </w:r>
    </w:p>
    <w:p>
      <w:pPr>
        <w:spacing w:after="0" w:line="105" w:lineRule="exact"/>
        <w:rPr>
          <w:rFonts w:ascii="Arial" w:cs="Arial" w:eastAsia="Arial" w:hAnsi="Arial"/>
          <w:sz w:val="19"/>
          <w:szCs w:val="19"/>
          <w:color w:val="auto"/>
          <w:vertAlign w:val="superscript"/>
        </w:rPr>
      </w:pPr>
    </w:p>
    <w:p>
      <w:pPr>
        <w:ind w:left="140" w:hanging="132"/>
        <w:spacing w:after="0" w:line="211" w:lineRule="auto"/>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2"/>
          <w:szCs w:val="12"/>
          <w:color w:val="auto"/>
        </w:rPr>
        <w:t>Includes the following items for the years ended December 31, 2017 and 2016: (i) equity-based compensation of $125 and $(1,581), (ii) provision for income tax of $16 and $29,</w:t>
      </w:r>
    </w:p>
    <w:p>
      <w:pPr>
        <w:ind w:left="180" w:hanging="10"/>
        <w:spacing w:after="0" w:line="258" w:lineRule="auto"/>
        <w:tabs>
          <w:tab w:leader="none" w:pos="412" w:val="left"/>
        </w:tabs>
        <w:numPr>
          <w:ilvl w:val="1"/>
          <w:numId w:val="57"/>
        </w:numPr>
        <w:rPr>
          <w:rFonts w:ascii="Arial" w:cs="Arial" w:eastAsia="Arial" w:hAnsi="Arial"/>
          <w:sz w:val="14"/>
          <w:szCs w:val="14"/>
          <w:color w:val="auto"/>
        </w:rPr>
      </w:pPr>
      <w:r>
        <w:rPr>
          <w:rFonts w:ascii="Arial" w:cs="Arial" w:eastAsia="Arial" w:hAnsi="Arial"/>
          <w:sz w:val="14"/>
          <w:szCs w:val="14"/>
          <w:color w:val="auto"/>
        </w:rPr>
        <w:t>acquisition and transaction expenses of $0 and $156, (iv) changes in fair value of non-hedge derivative instruments of $404 and $0, and (v) loss on extinguishment of debt of $0 and $616 less (vi) cash tax payments of $31 and $20,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999"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8"/>
                <w:szCs w:val="18"/>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(5,234)</w:t>
            </w:r>
          </w:p>
        </w:tc>
      </w:tr>
      <w:tr>
        <w:trPr>
          <w:trHeight w:val="21"/>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49"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2"/>
          <w:szCs w:val="12"/>
          <w:color w:val="auto"/>
        </w:rPr>
        <w:t>Includes net loss of $321 and $0 for the years ended December 31, 2017 and 2016, respectively.</w:t>
      </w:r>
    </w:p>
    <w:p>
      <w:pPr>
        <w:jc w:val="both"/>
        <w:ind w:left="180" w:hanging="172"/>
        <w:spacing w:after="0" w:line="220" w:lineRule="auto"/>
        <w:tabs>
          <w:tab w:leader="none" w:pos="1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equity-based compensation of $125 and $(1,581), (ii) provision for income taxes of $16 and $29, (iii) interest expense of $4,886 and $4,914, (iv) loss on extinguishment of debt of $0 and $616, (v) acquisition and transaction expenses of $0 and $156, (vi) changes in fair value of non-hedge derivative instruments of $404 and $0, and (vii) depreciation and amortization expense of $6,320 and $6,050,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Total revenues decreased $5.7 million reflecting lower terminal services revenue due to lower throughput and volumes at the Terminal, as a result of increased construction and the conclusion of a long term contract.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$9.7 million primarily reflecting higher operating expenses. The increase in operating expenses reflected higher:</w:t>
      </w:r>
    </w:p>
    <w:p>
      <w:pPr>
        <w:spacing w:after="0" w:line="113"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compensation and benefits expense of $5.3 million resulting from the one-time reversal of stock based compensation expense incurred in 2016;</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facility operations expense of $1.8 million primarily due to higher volume from heavy crude oil trading;</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repairs and maintenance of $1.3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professional fees of $0.9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tax expense of $0.5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equipment storage of $0.3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insurance expense of $0.2 million.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above increases were partially offset by lower environmental expense of $0.9 million related to an oil spill in 2016 and other operating expenses of $0.1 million. Additionally, the increase in total expenses reflected higher depreciation expense of $0.7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Net Loss increased $5.8 million, primarily due to the changes in net loss attributable to shareholders noted above and an increase in equity-based compensation of $4.4 million, offset by (i) loss on the extinguishment of debt of $1.6 million, (ii) non-controlling share of Adjusted Net Loss of $1.3 million, (iii) changes in fair value of non-hedge derivative instruments of $1.0 million and (iv) lower acquisition and transaction expenses of $0.4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decreased $5.2 million, primarily due to the changes in net loss attributable to shareholders noted above and an increase in (i) equity-based compensation of $4.4 million, (ii) non-controlling share of Adjusted EBITDA of $1.6 million, (iii) depreciation and amortization of $0.7 million and (iv) interest expense of $0.1 million, mostly offset by decreases in (i) a loss on extinguishment of debt of $1.6 million and (ii) changes in fair value of non-hedge derivative instruments of $1.0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1019"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00497F"/>
        </w:rPr>
        <w:t>Railroad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 revenues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1,770</w:t>
            </w:r>
          </w:p>
        </w:tc>
      </w:tr>
      <w:tr>
        <w:trPr>
          <w:trHeight w:val="236"/>
        </w:trPr>
        <w:tc>
          <w:tcPr>
            <w:tcW w:w="6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30,655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w:t>
            </w:r>
          </w:p>
        </w:tc>
      </w:tr>
      <w:tr>
        <w:trPr>
          <w:trHeight w:val="216"/>
        </w:trPr>
        <w:tc>
          <w:tcPr>
            <w:tcW w:w="6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Other (loss)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Gain on sale of assets,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(loss) income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8"/>
                <w:szCs w:val="18"/>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3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60"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2"/>
          <w:szCs w:val="12"/>
          <w:color w:val="auto"/>
        </w:rPr>
        <w:t>Includes equity-based compensation of $44 and $20 for the years ended December 31, 2017 and December 31, 2016, respectively.</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05" w:lineRule="exact"/>
        <w:rPr>
          <w:rFonts w:ascii="Arial" w:cs="Arial" w:eastAsia="Arial" w:hAnsi="Arial"/>
          <w:sz w:val="16"/>
          <w:szCs w:val="16"/>
          <w:color w:val="auto"/>
          <w:vertAlign w:val="superscript"/>
        </w:rPr>
      </w:pPr>
    </w:p>
    <w:p>
      <w:pPr>
        <w:ind w:left="5640"/>
        <w:spacing w:after="0"/>
        <w:rPr>
          <w:rFonts w:ascii="Arial" w:cs="Arial" w:eastAsia="Arial" w:hAnsi="Arial"/>
          <w:sz w:val="16"/>
          <w:szCs w:val="16"/>
          <w:color w:val="auto"/>
          <w:vertAlign w:val="superscript"/>
        </w:rPr>
      </w:pPr>
      <w:r>
        <w:rPr>
          <w:rFonts w:ascii="Arial" w:cs="Arial" w:eastAsia="Arial" w:hAnsi="Arial"/>
          <w:sz w:val="14"/>
          <w:szCs w:val="14"/>
          <w:color w:val="auto"/>
        </w:rPr>
        <w:t>70</w:t>
      </w:r>
    </w:p>
    <w:p>
      <w:pPr>
        <w:sectPr>
          <w:pgSz w:w="11900" w:h="16838" w:orient="portrait"/>
          <w:cols w:equalWidth="0" w:num="1">
            <w:col w:w="11360"/>
          </w:cols>
          <w:pgMar w:left="240" w:top="999" w:right="29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r>
      <w:tr>
        <w:trPr>
          <w:trHeight w:val="21"/>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71" w:lineRule="exact"/>
        <w:rPr>
          <w:sz w:val="20"/>
          <w:szCs w:val="20"/>
          <w:color w:val="auto"/>
        </w:rPr>
      </w:pPr>
    </w:p>
    <w:p>
      <w:pPr>
        <w:ind w:left="180" w:right="20" w:hanging="172"/>
        <w:spacing w:after="0" w:line="211" w:lineRule="auto"/>
        <w:tabs>
          <w:tab w:leader="none" w:pos="185"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2017 and 2016: (i) equity-based compensation of $44 and $20, (ii) interest expense of $62 and $41, and (iii) depreciation and amortization expense of $122 and $105,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$1.8 million due to higher traffic and expanded service offerings to customers. The increase primarily reflects increases in freight transportation revenue of $1.5 million and switching and other rail service revenue of $0.5 million. Partially offsetting the increase was lower car hire income of $0.2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$2.4 million which primarily consists of increases in (i) operating expenses of $2.0 million, (ii) depreciation expense of $0.1 million related to property, plant and equipment and (iii) interest expense of $0.3 million related to borrowings under the CMQR Credit Agreement used to finance the operations of the railroad.</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aforementioned increase in operating expenses of $2.0 million reflects higher (i) general operating expense of $2.1 million due to certain tax benefits that were taken in the prior year not available in 2017, (ii) compensation and benefits of $0.6 million and (iii) fuel expense of $0.5 million. Partially offsetting these increases were lower (i) professional fees of $0.5 million, (ii) bad debt of $0.1 million and (iii) other expenses of $0.6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Income decreased $0.9 million primarily due to the changes in net (loss) income attributable to shareholders noted above and higher equity-based compensation expense of $0.4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EBITDA decreased $0.6 million primarily due to the changes in net (loss) income attributable to shareholders noted above, higher equity-based compensation expense of $0.4 million and an increase in interest expense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019"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3,712</w:t>
            </w:r>
          </w:p>
        </w:tc>
      </w:tr>
      <w:tr>
        <w:trPr>
          <w:trHeight w:val="21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4,791</w:t>
            </w:r>
          </w:p>
        </w:tc>
      </w:tr>
      <w:tr>
        <w:trPr>
          <w:trHeight w:val="230"/>
        </w:trPr>
        <w:tc>
          <w:tcPr>
            <w:tcW w:w="6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8,489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11,863</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10,686</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(7,040)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(5,895)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(1,158)</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Net Loss</w:t>
            </w: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(6,257)</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(5,264)</w:t>
            </w: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60"/>
          </w:cols>
          <w:pgMar w:left="240" w:top="999" w:right="29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10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8"/>
                <w:szCs w:val="18"/>
                <w:color w:val="auto"/>
                <w:vertAlign w:val="superscript"/>
              </w:rPr>
              <w:t>(1)</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(3,514)</w:t>
            </w: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(3,020)</w:t>
            </w: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237"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Includes interest expense of $0 and $55 for the years ended December 31, 2017 and 2016, respectively.</w:t>
      </w:r>
    </w:p>
    <w:p>
      <w:pPr>
        <w:spacing w:after="0" w:line="7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$4.8 million due to butane sales at Repauno of $3.0 million, recorded in other revenue, as well as the leases that were in place at Long Ridge upon the acquisition of $1.0 million, recorded in lease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 the Ports and Terminals segment increased $10.7 million primarily due to increases in operating expenses of $8.5 million, depreciation expense of $1.7 million related to property, plant and equipment, and interest expense of $0.5 million related to the payment obligation to the non-controlling interest holder as part of the Repauno purchase.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increase in operating expenses was driven by higher (i) compensation and benefits of $2.6 million, (ii) cost of sales of $2.0 million related to the sale of butane, (iii) professional fees of $1.4 million, (iv) facility operations of $1.3 million and (v) other operating expenses of $1.2 million. The increase in depreciation expense is related to the cavern being put into service at Repauno and assets in service at Long Ridge.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$5.3 million primarily due to the changes in net loss attributable to shareholders noted above and higher equity-based compensation expense of $0.3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EBITDA decreased $3.0 million primarily due to (i) the changes in net loss attributable to shareholders noted above, (ii) higher equity-based compensation expense of $0.3 million, (iii) an increase in depreciation and amortization of $1.7 million and (iv) an increase in interest expense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1019"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497F"/>
        </w:rPr>
        <w:t>Corporate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r>
      <w:tr>
        <w:trPr>
          <w:trHeight w:val="20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6,865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19,472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19,472</w:t>
            </w: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56,639</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21,733</w:t>
            </w:r>
          </w:p>
        </w:tc>
      </w:tr>
      <w:tr>
        <w:trPr>
          <w:trHeight w:val="216"/>
        </w:trPr>
        <w:tc>
          <w:tcPr>
            <w:tcW w:w="6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(24,189)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(24,189)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0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(34,895)</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(24,200)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(49,285)</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(29,073)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(20,212)</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60"/>
          </w:cols>
          <w:pgMar w:left="240" w:top="999" w:right="29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(24,200)</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Provision for income taxes</w:t>
            </w: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6,865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Add: Interest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19,472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19,472</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Pr>
          <w:p>
            <w:pPr>
              <w:ind w:left="20"/>
              <w:spacing w:after="0"/>
              <w:rPr>
                <w:sz w:val="20"/>
                <w:szCs w:val="20"/>
                <w:color w:val="auto"/>
              </w:rPr>
            </w:pPr>
            <w:r>
              <w:rPr>
                <w:rFonts w:ascii="Arial" w:cs="Arial" w:eastAsia="Arial" w:hAnsi="Arial"/>
                <w:sz w:val="14"/>
                <w:szCs w:val="14"/>
                <w:color w:val="auto"/>
              </w:rPr>
              <w:t>Less: Equity in earnings of unconsolidated entities</w:t>
            </w: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(29,788)</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(29,059)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w:t>
            </w:r>
          </w:p>
        </w:tc>
      </w:tr>
      <w:tr>
        <w:trPr>
          <w:trHeight w:val="21"/>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$21.7 million primarily due to increases in:</w:t>
      </w:r>
    </w:p>
    <w:p>
      <w:pPr>
        <w:spacing w:after="0" w:line="113"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interest expense of $19.5 million related to the Senior Notes entered into during 2017;</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general and administrative expenses of $2.3 million, consisting of (i) reimbursement expenses to our manager of $0.8 million, (ii) general corporate costs of $0.4 million and (iii) professional fees related to SOX expenses of $1.1 million; and</w:t>
      </w:r>
    </w:p>
    <w:p>
      <w:pPr>
        <w:spacing w:after="0" w:line="87" w:lineRule="exact"/>
        <w:rPr>
          <w:rFonts w:ascii="Arial" w:cs="Arial" w:eastAsia="Arial" w:hAnsi="Arial"/>
          <w:sz w:val="16"/>
          <w:szCs w:val="16"/>
          <w:color w:val="auto"/>
        </w:rPr>
      </w:pPr>
    </w:p>
    <w:p>
      <w:pPr>
        <w:ind w:right="400" w:firstLine="332"/>
        <w:spacing w:after="0" w:line="374" w:lineRule="auto"/>
        <w:tabs>
          <w:tab w:leader="none" w:pos="6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acquisition and transaction costs of $1.0 million related to reimbursement expenses to our manager as we continue to evaluate new investments. These increases were partially offset by lower management fees of $1.0 million due to a lower equity balance.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Loss increased $20.2 million primarily due to the (i) changes in net loss attributable to shareholders noted above, (ii) higher acquisition and transaction expenses of $1.0 million related to potential acquisition opportunities and (iii) a loss on the extinguishment of debt of $2.5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decreased $0.7 million primarily due to (i) the changes in net loss attributable to shareholders noted above, (ii) higher interest expense of $19.5 million related to the Senior Notes and Revolving Line of Credit, (iii) higher acquisition and transaction expenses of $1.0 million related to potential acquisition opportunities and (iv) a loss on the extinguishment of debt of $2.5 million.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1019"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principal uses of liquidity have been and continue to be (i) acquisitions or expansion of transportation infrastructure and equipment, (ii) distributions to our shareholders, (iii) expenses associated with our operating activities and (iv) debt service obligations associated with our investments.</w:t>
      </w:r>
    </w:p>
    <w:p>
      <w:pPr>
        <w:spacing w:after="0" w:line="88" w:lineRule="exact"/>
        <w:rPr>
          <w:sz w:val="20"/>
          <w:szCs w:val="20"/>
          <w:color w:val="auto"/>
        </w:rPr>
      </w:pPr>
    </w:p>
    <w:p>
      <w:pPr>
        <w:ind w:left="660" w:hanging="328"/>
        <w:spacing w:after="0" w:line="260" w:lineRule="auto"/>
        <w:tabs>
          <w:tab w:leader="none" w:pos="6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years ended December 31, 2018, 2017, and 2016, cash used for the purpose of making investments was $751.5 million, $594.6 million, and $308.1 million,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years ended December 31, 2018, 2017 and 2016, distributions to shareholders, including cash dividends, were $110.6 million, $100.1 million and $100.0 million, respectively.</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securities and (iii) proceeds from asset sales.</w:t>
      </w:r>
    </w:p>
    <w:p>
      <w:pPr>
        <w:spacing w:after="0" w:line="93" w:lineRule="exact"/>
        <w:rPr>
          <w:sz w:val="20"/>
          <w:szCs w:val="20"/>
          <w:color w:val="auto"/>
        </w:rPr>
      </w:pPr>
    </w:p>
    <w:p>
      <w:pPr>
        <w:ind w:left="660" w:hanging="328"/>
        <w:spacing w:after="0" w:line="260"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years ended December 31, 2018, 2017, and 2016, cash flows from operating activities, plus the principal collections on finance leases and maintenance reserve collections were $189.3 million, $96.0 million and $48.2 million, respectively.</w:t>
      </w:r>
    </w:p>
    <w:p>
      <w:pPr>
        <w:spacing w:after="0" w:line="87"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year ended December 31, 2018, additional borrowings were obtained in connection with (i) the 2025 Notes of $291.0 million, (ii) the Revolving Credit Facility of $275.0 million, (iii) the 2022 Notes of $100.0 million, (iv) the Jefferson Revolver of $49.5 million and (v) the CMQR Credit Agreement of $35.5 million. We made principal payments of $218.8 million primarily related to the Revolving Credit Facility and CMQR Credit Agreement.</w:t>
      </w:r>
    </w:p>
    <w:p>
      <w:pPr>
        <w:spacing w:after="0" w:line="94" w:lineRule="exact"/>
        <w:rPr>
          <w:rFonts w:ascii="Arial" w:cs="Arial" w:eastAsia="Arial" w:hAnsi="Arial"/>
          <w:sz w:val="16"/>
          <w:szCs w:val="16"/>
          <w:color w:val="auto"/>
        </w:rPr>
      </w:pPr>
    </w:p>
    <w:p>
      <w:pPr>
        <w:jc w:val="both"/>
        <w:ind w:left="660"/>
        <w:spacing w:after="0" w:line="251" w:lineRule="auto"/>
        <w:rPr>
          <w:rFonts w:ascii="Arial" w:cs="Arial" w:eastAsia="Arial" w:hAnsi="Arial"/>
          <w:sz w:val="16"/>
          <w:szCs w:val="16"/>
          <w:color w:val="auto"/>
        </w:rPr>
      </w:pPr>
      <w:r>
        <w:rPr>
          <w:rFonts w:ascii="Arial" w:cs="Arial" w:eastAsia="Arial" w:hAnsi="Arial"/>
          <w:sz w:val="16"/>
          <w:szCs w:val="16"/>
          <w:color w:val="auto"/>
        </w:rPr>
        <w:t>During the year ended December 31, 2017, additional borrowings were obtained in connection with (i) the Term Loan of $97.2 million, net of deferred financing costs, (ii) the Revolving Credit Facility of $95.0 million, (iii) the CMQR Credit Agreement of $32.0 million and (iv) the Senior Notes of $343.0 million, net of deferred financing costs and repayment of the Term Loan. We made principal repayments of $125.2 million, primarily related to the FTAI Pride Credit Agreement, the Revolving Credit Facility and the CMQR Credit Agreement.</w:t>
      </w:r>
    </w:p>
    <w:p>
      <w:pPr>
        <w:spacing w:after="0" w:line="94"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6"/>
          <w:szCs w:val="16"/>
          <w:color w:val="auto"/>
        </w:rPr>
        <w:t>During year ended December 31, 2016, additional borrowings were obtained in connection with the Series 2016 Bonds of $99.9 million and the CMQR Credit Agreement of $10.8 million. We made total principal repayments of $160.2 million, primarily related to the termination of the Jefferson Terminal Credit Agreement, Container Loan #1, and Container Loan #2.</w:t>
      </w:r>
    </w:p>
    <w:p>
      <w:pPr>
        <w:spacing w:after="0" w:line="9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years ended December 31, 2018, 2017, and 2016 proceeds from the sale of assets were $44.1 million, $121.4 million and $94.4 million, respectively.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year ended December 31, 2018, proceeds from the issuance of common stock were $148.3 million, net of issuance costs of $0.8 million.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1040" w:right="2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you if or when any such transaction will be consummated or the terms of any such transaction.</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years ended December 31,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488"/>
              <w:spacing w:after="0"/>
              <w:rPr>
                <w:sz w:val="20"/>
                <w:szCs w:val="20"/>
                <w:color w:val="auto"/>
              </w:rPr>
            </w:pPr>
            <w:r>
              <w:rPr>
                <w:rFonts w:ascii="Arial" w:cs="Arial" w:eastAsia="Arial" w:hAnsi="Arial"/>
                <w:sz w:val="14"/>
                <w:szCs w:val="14"/>
                <w:b w:val="1"/>
                <w:bCs w:val="1"/>
                <w:color w:val="auto"/>
              </w:rPr>
              <w:t>133,697</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30,903</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428"/>
              <w:spacing w:after="0"/>
              <w:rPr>
                <w:sz w:val="20"/>
                <w:szCs w:val="20"/>
                <w:color w:val="auto"/>
              </w:rPr>
            </w:pPr>
            <w:r>
              <w:rPr>
                <w:rFonts w:ascii="Arial" w:cs="Arial" w:eastAsia="Arial" w:hAnsi="Arial"/>
                <w:sz w:val="14"/>
                <w:szCs w:val="14"/>
                <w:b w:val="1"/>
                <w:bCs w:val="1"/>
                <w:color w:val="auto"/>
              </w:rPr>
              <w:t>(703,533)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(210,749)</w:t>
            </w:r>
          </w:p>
        </w:tc>
      </w:tr>
      <w:tr>
        <w:trPr>
          <w:trHeight w:val="204"/>
        </w:trPr>
        <w:tc>
          <w:tcPr>
            <w:tcW w:w="666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Pr>
          <w:p>
            <w:pPr>
              <w:spacing w:after="0"/>
              <w:rPr>
                <w:sz w:val="17"/>
                <w:szCs w:val="17"/>
                <w:color w:val="auto"/>
              </w:rPr>
            </w:pPr>
          </w:p>
        </w:tc>
        <w:tc>
          <w:tcPr>
            <w:tcW w:w="1120" w:type="dxa"/>
            <w:vAlign w:val="bottom"/>
          </w:tcPr>
          <w:p>
            <w:pPr>
              <w:jc w:val="center"/>
              <w:ind w:left="488"/>
              <w:spacing w:after="0"/>
              <w:rPr>
                <w:sz w:val="20"/>
                <w:szCs w:val="20"/>
                <w:color w:val="auto"/>
              </w:rPr>
            </w:pPr>
            <w:r>
              <w:rPr>
                <w:rFonts w:ascii="Arial" w:cs="Arial" w:eastAsia="Arial" w:hAnsi="Arial"/>
                <w:sz w:val="14"/>
                <w:szCs w:val="14"/>
                <w:b w:val="1"/>
                <w:bCs w:val="1"/>
                <w:color w:val="auto"/>
              </w:rPr>
              <w:t>597,867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363,078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(89,971)</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2018 and December 31, 2017</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operating activities increased $65.2 million primarily due to an increase in net income of $7.5 million and adjustments to reconcile net income which include increases in (i) depreciation and amortization of $48.2 million, (ii) amortization of lease intangibles and incentives of $18.4 million and (iii) a change in gain on sale of equipment of $14.4 million. These increases were partially offset by security deposits and maintenance claims included in earnings of $6.3 million and a change in fair value of non-hedge derivatives of $4.5 million. Also contributing to the offset were the changes in accounts receivable, other assets, and other liabilities due to the continued expansion of operations across all business segments.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increased $231.3 million primarily due to (i) the acquisition of property, plant and equipment of $113.9 million, (ii) the acquisition of leasing equipment and lease intangibles of $73.5 million in the Aviation Leasing segment and (iii) lower proceeds from the sale of leasing equipment and available-for-sale securities of $47.1 million and $30.2 million, respectively. Partially offsetting this increase was a change in cash used for investments of $30.4 million.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financing activities increased $234.8 million primarily due to proceeds from borrowings under (i) the 2025 Notes of $291.0 million, (ii) a net increase in the Revolving Credit Facility of $180.0 million and (iii) the Jefferson Revolver of $49.5 million. Additionally, we received proceeds from the issuance of common stock, net of issuance costs of $147.5 million. Partially offsetting these increases were (i) a net decrease in proceeds from borrowings under the 2022 Notes of $340.2 million and (ii) a net increase in repayments of the Revolving Credit Facility and CMQR Credit Agreement of $80.0 million and $14.2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2017 and December 31, 2016</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operating activities increased $37.6 million primarily due to an increase in net income of $17.4 million and adjustments to reconcile net income which include increases in (i) depreciation and amortization of $27.9 million, (ii) equity based compensation of $5.0 million and (iii) amortization of lease intangibles and incentives of $2.9 million. These increases were partially offset by asset impairment of $7.5 million in 2016 and a change in gain on sale of equipment of $12.3 million as compared to 2016. Also contributing to the offset were the changes in accounts receivable, other assets, and other liabilities due to the continued expansion of operations across all business segments.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used in investing activities increased $261.5 million primarily due to (i) the acquisition of leasing equipment and lease intangibles of $230.8 million in the Aviation Leasing segment, (ii) cash used for investments of $1.5 million and (iii) the acquisition of property, plant and equipment of $58.7 million mainly due to the acquisition of Long Ridge. Partially offsetting this increase were higher proceeds from the sale of leasing equipment and available-for-sale securities of $68.2 million and $30.2 million, respectively. Additionally, cash used in investing activities increased due to less cash received from the sale of two finance leases of $71.0 million.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financing activities increased $453.0 million primarily due to proceeds from borrowings under (i) the Term Loan of $97.2 million, net of deferred financing costs, (ii) the Revolving Credit Facility of $95.0 million, (iii) the CMQR Credit Agreement of $32.0 million and (iv) the Senior Notes of $343.0 million, net of deferred financing costs and repayment of the Term Loan. Also contributing to the increase was a decrease in the repayment of debt related to the termination of the Jefferson Terminal Credit Agreement and loans associated with the sale of shipping containers in 2016, as well as an increase in receipt of maintenance deposits of $12.2 million, offset by a decrease in cash contributions from non-controlling interests of $11.4 million.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1060" w:right="2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133,697</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30,903</w:t>
            </w:r>
          </w:p>
        </w:tc>
      </w:tr>
      <w:tr>
        <w:trPr>
          <w:trHeight w:val="216"/>
        </w:trPr>
        <w:tc>
          <w:tcPr>
            <w:tcW w:w="6660" w:type="dxa"/>
            <w:vAlign w:val="bottom"/>
          </w:tcPr>
          <w:p>
            <w:pPr>
              <w:ind w:left="20"/>
              <w:spacing w:after="0"/>
              <w:rPr>
                <w:sz w:val="20"/>
                <w:szCs w:val="20"/>
                <w:color w:val="auto"/>
              </w:rPr>
            </w:pPr>
            <w:r>
              <w:rPr>
                <w:rFonts w:ascii="Arial" w:cs="Arial" w:eastAsia="Arial" w:hAnsi="Arial"/>
                <w:sz w:val="14"/>
                <w:szCs w:val="14"/>
                <w:color w:val="auto"/>
              </w:rPr>
              <w:t>Add: Principal Collections on Finance Leases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2,513</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Proceeds from Sale of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94,875</w:t>
            </w:r>
          </w:p>
        </w:tc>
      </w:tr>
      <w:tr>
        <w:trPr>
          <w:trHeight w:val="216"/>
        </w:trPr>
        <w:tc>
          <w:tcPr>
            <w:tcW w:w="6660" w:type="dxa"/>
            <w:vAlign w:val="bottom"/>
          </w:tcPr>
          <w:p>
            <w:pPr>
              <w:ind w:left="2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(53,668)</w:t>
            </w:r>
          </w:p>
        </w:tc>
      </w:tr>
      <w:tr>
        <w:trPr>
          <w:trHeight w:val="216"/>
        </w:trPr>
        <w:tc>
          <w:tcPr>
            <w:tcW w:w="6660" w:type="dxa"/>
            <w:vAlign w:val="bottom"/>
          </w:tcPr>
          <w:p>
            <w:pPr>
              <w:ind w:left="20"/>
              <w:spacing w:after="0"/>
              <w:rPr>
                <w:sz w:val="20"/>
                <w:szCs w:val="20"/>
                <w:color w:val="auto"/>
              </w:rPr>
            </w:pPr>
            <w:r>
              <w:rPr>
                <w:rFonts w:ascii="Arial" w:cs="Arial" w:eastAsia="Arial" w:hAnsi="Arial"/>
                <w:sz w:val="14"/>
                <w:szCs w:val="14"/>
                <w:color w:val="auto"/>
              </w:rPr>
              <w:t>Less: Capital Distributions to Non-Controlling Interest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Exclude: Changes in Working Capital</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7,610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21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Funds Available for Distribution (FAD)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181,665</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177,252</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76,785</w:t>
            </w:r>
          </w:p>
        </w:tc>
      </w:tr>
      <w:tr>
        <w:trPr>
          <w:trHeight w:val="21"/>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271" w:lineRule="exact"/>
        <w:rPr>
          <w:sz w:val="20"/>
          <w:szCs w:val="20"/>
          <w:color w:val="auto"/>
        </w:rPr>
      </w:pPr>
    </w:p>
    <w:p>
      <w:pPr>
        <w:jc w:val="both"/>
        <w:ind w:left="180" w:hanging="172"/>
        <w:spacing w:after="0" w:line="225" w:lineRule="auto"/>
        <w:tabs>
          <w:tab w:leader="none" w:pos="171"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Required payments on debt obligations for the year ended December 31, 2018 exclude $175,000 repayment of the Revolving Credit Facility and $36,026 repayment of the CMQR Credit Agreement, and for the year ended December 31, 2017 exclude $100,000 repayment of the Term Loan, $95,000 repayment of the Revolving Credit Facility and $21,855 repayment of the CMQR Credit Agreement, and for the year ended December 31, 2016 exclude $98,750 repayment upon the termination of the Jefferson Terminal Credit Agreement and $7,748 repayment under the CMQR Credit Agreement which were voluntary refinancing as repayment of these amounts were not required at this time.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95" w:lineRule="exact"/>
        <w:rPr>
          <w:sz w:val="20"/>
          <w:szCs w:val="20"/>
          <w:color w:val="auto"/>
        </w:rPr>
      </w:pPr>
    </w:p>
    <w:p>
      <w:pPr>
        <w:ind w:left="660" w:hanging="328"/>
        <w:spacing w:after="0" w:line="26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 to fund these expenditures with future incurrences of indebtedness, additional capital contributions and/or future issuances of equity.</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See Note 8 to the Consolidated Financial Statements for information related to our debt obligations.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060"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00497F"/>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December 31, 2018,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Payments Due by Period</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Credit Agreement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CMQR Credit Agreement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Revolver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color w:val="auto"/>
              </w:rPr>
              <w:t>DRP Revolver</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color w:val="auto"/>
              </w:rPr>
              <w:t>Series 2012 Bonds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31,365</w:t>
            </w: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2016 Bonds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29"/>
        </w:trPr>
        <w:tc>
          <w:tcPr>
            <w:tcW w:w="32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principal payments on loans and bonds</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1,255,233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71,678</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146,010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151,765</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552,120</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2,295</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331,365</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payable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8"/>
                <w:szCs w:val="18"/>
                <w:color w:val="auto"/>
                <w:vertAlign w:val="superscript"/>
              </w:rPr>
              <w:t>(1)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80,304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67,624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46,530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to third-party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color w:val="auto"/>
              </w:rPr>
              <w:t>Operating lease obligations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119,333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95,202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446,177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106,278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141,732</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1,701,410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177,956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219,224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585,649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473,097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68"/>
        </w:numPr>
        <w:rPr>
          <w:rFonts w:ascii="Arial" w:cs="Arial" w:eastAsia="Arial" w:hAnsi="Arial"/>
          <w:sz w:val="16"/>
          <w:szCs w:val="16"/>
          <w:color w:val="auto"/>
          <w:vertAlign w:val="superscript"/>
        </w:rPr>
      </w:pPr>
      <w:r>
        <w:rPr>
          <w:rFonts w:ascii="Arial" w:cs="Arial" w:eastAsia="Arial" w:hAnsi="Arial"/>
          <w:sz w:val="12"/>
          <w:szCs w:val="12"/>
          <w:color w:val="auto"/>
        </w:rPr>
        <w:t>Estimated interest payments based on rates as of December 31, 2018.</w:t>
      </w:r>
    </w:p>
    <w:p>
      <w:pPr>
        <w:spacing w:after="0" w:line="3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2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1040" w:right="239" w:bottom="1440" w:gutter="0" w:footer="0" w:header="0"/>
        </w:sectPr>
      </w:pPr>
    </w:p>
    <w:bookmarkStart w:id="79" w:name="page80"/>
    <w:bookmarkEnd w:id="79"/>
    <w:p>
      <w:pPr>
        <w:jc w:val="both"/>
        <w:spacing w:after="0" w:line="254"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include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leases, the lessee or us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 (inclusive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capitalized acquisition costs, where applicable) and depreciated using the straight-line method, over estimated useful lives, to estimated residual values which are summarized as follows: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Range of Estimated Useful Lives</w:t>
            </w:r>
          </w:p>
        </w:tc>
        <w:tc>
          <w:tcPr>
            <w:tcW w:w="120" w:type="dxa"/>
            <w:vAlign w:val="bottom"/>
            <w:tcBorders>
              <w:bottom w:val="single" w:sz="8" w:color="CCEEFF"/>
            </w:tcBorders>
          </w:tcPr>
          <w:p>
            <w:pPr>
              <w:spacing w:after="0"/>
              <w:rPr>
                <w:sz w:val="17"/>
                <w:szCs w:val="17"/>
                <w:color w:val="auto"/>
              </w:rPr>
            </w:pPr>
          </w:p>
        </w:tc>
        <w:tc>
          <w:tcPr>
            <w:tcW w:w="35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9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84"/>
        </w:trPr>
        <w:tc>
          <w:tcPr>
            <w:tcW w:w="4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94"/>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60" w:type="dxa"/>
            <w:vAlign w:val="bottom"/>
            <w:gridSpan w:val="3"/>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500" w:type="dxa"/>
            <w:vAlign w:val="bottom"/>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78"/>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gridSpan w:val="4"/>
          </w:tcPr>
          <w:p>
            <w:pPr>
              <w:ind w:left="20"/>
              <w:spacing w:after="0"/>
              <w:rPr>
                <w:sz w:val="20"/>
                <w:szCs w:val="20"/>
                <w:color w:val="auto"/>
              </w:rPr>
            </w:pPr>
            <w:r>
              <w:rPr>
                <w:rFonts w:ascii="Arial" w:cs="Arial" w:eastAsia="Arial" w:hAnsi="Arial"/>
                <w:sz w:val="14"/>
                <w:szCs w:val="14"/>
                <w:color w:val="auto"/>
              </w:rPr>
              <w:t>life</w:t>
            </w:r>
          </w:p>
        </w:tc>
        <w:tc>
          <w:tcPr>
            <w:tcW w:w="350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Offshore energy vessels</w:t>
            </w:r>
          </w:p>
        </w:tc>
        <w:tc>
          <w:tcPr>
            <w:tcW w:w="3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 of new build cost</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Railcars and locomotives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40</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Buildings and site improvements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20</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- 30 years</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380" w:type="dxa"/>
            <w:vAlign w:val="bottom"/>
            <w:gridSpan w:val="2"/>
          </w:tcPr>
          <w:p>
            <w:pPr>
              <w:ind w:left="20"/>
              <w:spacing w:after="0"/>
              <w:rPr>
                <w:sz w:val="20"/>
                <w:szCs w:val="20"/>
                <w:color w:val="auto"/>
              </w:rPr>
            </w:pPr>
            <w:r>
              <w:rPr>
                <w:rFonts w:ascii="Arial" w:cs="Arial" w:eastAsia="Arial" w:hAnsi="Arial"/>
                <w:sz w:val="14"/>
                <w:szCs w:val="14"/>
                <w:color w:val="auto"/>
              </w:rPr>
              <w:t>- 25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- 7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tcPr>
          <w:p>
            <w:pPr>
              <w:ind w:left="20"/>
              <w:spacing w:after="0"/>
              <w:rPr>
                <w:sz w:val="20"/>
                <w:szCs w:val="20"/>
                <w:color w:val="auto"/>
              </w:rPr>
            </w:pPr>
            <w:r>
              <w:rPr>
                <w:rFonts w:ascii="Arial" w:cs="Arial" w:eastAsia="Arial" w:hAnsi="Arial"/>
                <w:sz w:val="14"/>
                <w:szCs w:val="14"/>
                <w:color w:val="auto"/>
              </w:rPr>
              <w:t>- 6 years from date of purchase</w:t>
            </w:r>
          </w:p>
        </w:tc>
        <w:tc>
          <w:tcPr>
            <w:tcW w:w="350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- 5 years from date of purchase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 circumstances,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040" w:right="239" w:bottom="1440" w:gutter="0" w:footer="0" w:header="0"/>
        </w:sectPr>
      </w:pPr>
    </w:p>
    <w:bookmarkStart w:id="80" w:name="page81"/>
    <w:bookmarkEnd w:id="80"/>
    <w:p>
      <w:pPr>
        <w:jc w:val="both"/>
        <w:spacing w:after="0" w:line="249"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 With respect to our offshore segment, although we expect current market conditions to improve, if such conditions persist for an extended period of time, this could result in the impairment of some of our offshore vessels.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CMQR and Jefferson Terminal. The carrying amount of goodwill is approximately $116.6 million as of both December 31, 2018 and 2017.</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2018 or 2017.</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2019 subject to obtaining rail capacity for crude, permits for pipeline and movements in future oil spreads. Jefferson Terminal was designed to reach a storage capacity of 21.7 million barrels, and 2.1 million of storage, or approximately 10% of capacity, is currently operational. If the Company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during 2019.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strengthening macroeconomic conditions such as increased oil prices and the increasing spread between Western Canadian Crude and Western Texas Intermediate are better than we anticipated, and we remain positive for the outlook of Jefferson Terminal’s earnings potential.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2017, and 2016 there was no impairment of goodwill.</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1060" w:right="23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2018,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$2.0 million over the next 12 months before the impact of interest rate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1073" w:right="239" w:bottom="1440" w:gutter="0" w:footer="0" w:header="0"/>
        </w:sectPr>
      </w:pPr>
    </w:p>
    <w:bookmarkStart w:id="82" w:name="page83"/>
    <w:bookmarkEnd w:id="82"/>
    <w:p>
      <w:pPr>
        <w:spacing w:after="0"/>
        <w:tabs>
          <w:tab w:leader="none" w:pos="680" w:val="left"/>
        </w:tabs>
        <w:rPr>
          <w:sz w:val="20"/>
          <w:szCs w:val="20"/>
          <w:color w:val="auto"/>
        </w:rPr>
      </w:pPr>
      <w:r>
        <w:rPr>
          <w:rFonts w:ascii="Arial" w:cs="Arial" w:eastAsia="Arial" w:hAnsi="Arial"/>
          <w:sz w:val="16"/>
          <w:szCs w:val="16"/>
          <w:b w:val="1"/>
          <w:bCs w:val="1"/>
          <w:color w:val="00497F"/>
        </w:rPr>
        <w:t>Item 8.</w:t>
        <w:tab/>
        <w:t>Financial Statements and Supplementary Data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18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Fortress Transportation and Infrastructure Investors LLC:</w:t>
            </w:r>
          </w:p>
        </w:tc>
        <w:tc>
          <w:tcPr>
            <w:tcW w:w="1720" w:type="dxa"/>
            <w:vAlign w:val="bottom"/>
          </w:tcPr>
          <w:p>
            <w:pPr>
              <w:spacing w:after="0"/>
              <w:rPr>
                <w:sz w:val="16"/>
                <w:szCs w:val="16"/>
                <w:color w:val="auto"/>
              </w:rPr>
            </w:pPr>
          </w:p>
        </w:tc>
      </w:tr>
      <w:tr>
        <w:trPr>
          <w:trHeight w:val="203"/>
        </w:trPr>
        <w:tc>
          <w:tcPr>
            <w:tcW w:w="9180" w:type="dxa"/>
            <w:vAlign w:val="bottom"/>
          </w:tcPr>
          <w:p>
            <w:pPr>
              <w:ind w:left="260"/>
              <w:spacing w:after="0"/>
              <w:rPr>
                <w:rFonts w:ascii="Arial" w:cs="Arial" w:eastAsia="Arial" w:hAnsi="Arial"/>
                <w:sz w:val="14"/>
                <w:szCs w:val="14"/>
                <w:color w:val="0A2299"/>
              </w:rPr>
            </w:pPr>
            <w:hyperlink w:anchor="page83">
              <w:r>
                <w:rPr>
                  <w:rFonts w:ascii="Arial" w:cs="Arial" w:eastAsia="Arial" w:hAnsi="Arial"/>
                  <w:sz w:val="14"/>
                  <w:szCs w:val="14"/>
                  <w:color w:val="0A2299"/>
                </w:rPr>
                <w:t>Report of Independent Registered Public Accounting Firm</w:t>
              </w:r>
            </w:hyperlink>
          </w:p>
        </w:tc>
        <w:tc>
          <w:tcPr>
            <w:tcW w:w="1720" w:type="dxa"/>
            <w:vAlign w:val="bottom"/>
          </w:tcPr>
          <w:p>
            <w:pPr>
              <w:ind w:left="1480"/>
              <w:spacing w:after="0"/>
              <w:rPr>
                <w:rFonts w:ascii="Arial" w:cs="Arial" w:eastAsia="Arial" w:hAnsi="Arial"/>
                <w:sz w:val="14"/>
                <w:szCs w:val="14"/>
                <w:color w:val="0000FF"/>
              </w:rPr>
            </w:pPr>
            <w:hyperlink w:anchor="page83">
              <w:r>
                <w:rPr>
                  <w:rFonts w:ascii="Arial" w:cs="Arial" w:eastAsia="Arial" w:hAnsi="Arial"/>
                  <w:sz w:val="14"/>
                  <w:szCs w:val="14"/>
                  <w:color w:val="0000FF"/>
                </w:rPr>
                <w:t>84</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84">
              <w:r>
                <w:rPr>
                  <w:rFonts w:ascii="Arial" w:cs="Arial" w:eastAsia="Arial" w:hAnsi="Arial"/>
                  <w:sz w:val="14"/>
                  <w:szCs w:val="14"/>
                  <w:color w:val="0000FF"/>
                </w:rPr>
                <w:t>Consolidated Balance Sheets as of December 31, 2018 and 2017</w:t>
              </w:r>
            </w:hyperlink>
          </w:p>
        </w:tc>
        <w:tc>
          <w:tcPr>
            <w:tcW w:w="1720" w:type="dxa"/>
            <w:vAlign w:val="bottom"/>
          </w:tcPr>
          <w:p>
            <w:pPr>
              <w:ind w:left="1480"/>
              <w:spacing w:after="0"/>
              <w:rPr>
                <w:rFonts w:ascii="Arial" w:cs="Arial" w:eastAsia="Arial" w:hAnsi="Arial"/>
                <w:sz w:val="14"/>
                <w:szCs w:val="14"/>
                <w:color w:val="0000FF"/>
              </w:rPr>
            </w:pPr>
            <w:hyperlink w:anchor="page84">
              <w:r>
                <w:rPr>
                  <w:rFonts w:ascii="Arial" w:cs="Arial" w:eastAsia="Arial" w:hAnsi="Arial"/>
                  <w:sz w:val="14"/>
                  <w:szCs w:val="14"/>
                  <w:color w:val="0000FF"/>
                </w:rPr>
                <w:t>85</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85">
              <w:r>
                <w:rPr>
                  <w:rFonts w:ascii="Arial" w:cs="Arial" w:eastAsia="Arial" w:hAnsi="Arial"/>
                  <w:sz w:val="14"/>
                  <w:szCs w:val="14"/>
                  <w:color w:val="0000FF"/>
                </w:rPr>
                <w:t>Consolidated Statements of Operations for the years ended December 31, 2018, 2017 and 2016</w:t>
              </w:r>
            </w:hyperlink>
          </w:p>
        </w:tc>
        <w:tc>
          <w:tcPr>
            <w:tcW w:w="1720" w:type="dxa"/>
            <w:vAlign w:val="bottom"/>
          </w:tcPr>
          <w:p>
            <w:pPr>
              <w:ind w:left="1480"/>
              <w:spacing w:after="0"/>
              <w:rPr>
                <w:rFonts w:ascii="Arial" w:cs="Arial" w:eastAsia="Arial" w:hAnsi="Arial"/>
                <w:sz w:val="14"/>
                <w:szCs w:val="14"/>
                <w:color w:val="0000FF"/>
              </w:rPr>
            </w:pPr>
            <w:hyperlink w:anchor="page85">
              <w:r>
                <w:rPr>
                  <w:rFonts w:ascii="Arial" w:cs="Arial" w:eastAsia="Arial" w:hAnsi="Arial"/>
                  <w:sz w:val="14"/>
                  <w:szCs w:val="14"/>
                  <w:color w:val="0000FF"/>
                </w:rPr>
                <w:t>86</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86">
              <w:r>
                <w:rPr>
                  <w:rFonts w:ascii="Arial" w:cs="Arial" w:eastAsia="Arial" w:hAnsi="Arial"/>
                  <w:sz w:val="14"/>
                  <w:szCs w:val="14"/>
                  <w:color w:val="0000FF"/>
                </w:rPr>
                <w:t>Consolidated Statements of Comprehensive Income (Loss) for the years ended December 31, 2018, 2017 and 2016</w:t>
              </w:r>
            </w:hyperlink>
          </w:p>
        </w:tc>
        <w:tc>
          <w:tcPr>
            <w:tcW w:w="1720" w:type="dxa"/>
            <w:vAlign w:val="bottom"/>
          </w:tcPr>
          <w:p>
            <w:pPr>
              <w:ind w:left="1480"/>
              <w:spacing w:after="0"/>
              <w:rPr>
                <w:rFonts w:ascii="Arial" w:cs="Arial" w:eastAsia="Arial" w:hAnsi="Arial"/>
                <w:sz w:val="14"/>
                <w:szCs w:val="14"/>
                <w:color w:val="0000FF"/>
              </w:rPr>
            </w:pPr>
            <w:hyperlink w:anchor="page86">
              <w:r>
                <w:rPr>
                  <w:rFonts w:ascii="Arial" w:cs="Arial" w:eastAsia="Arial" w:hAnsi="Arial"/>
                  <w:sz w:val="14"/>
                  <w:szCs w:val="14"/>
                  <w:color w:val="0000FF"/>
                </w:rPr>
                <w:t>87</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87">
              <w:r>
                <w:rPr>
                  <w:rFonts w:ascii="Arial" w:cs="Arial" w:eastAsia="Arial" w:hAnsi="Arial"/>
                  <w:sz w:val="14"/>
                  <w:szCs w:val="14"/>
                  <w:color w:val="0000FF"/>
                </w:rPr>
                <w:t>Consolidated Statement of Changes in Equity for the years ended December 31, 2018, 2017 and 2016</w:t>
              </w:r>
            </w:hyperlink>
          </w:p>
        </w:tc>
        <w:tc>
          <w:tcPr>
            <w:tcW w:w="1720" w:type="dxa"/>
            <w:vAlign w:val="bottom"/>
          </w:tcPr>
          <w:p>
            <w:pPr>
              <w:ind w:left="1480"/>
              <w:spacing w:after="0"/>
              <w:rPr>
                <w:rFonts w:ascii="Arial" w:cs="Arial" w:eastAsia="Arial" w:hAnsi="Arial"/>
                <w:sz w:val="14"/>
                <w:szCs w:val="14"/>
                <w:color w:val="0000FF"/>
              </w:rPr>
            </w:pPr>
            <w:hyperlink w:anchor="page87">
              <w:r>
                <w:rPr>
                  <w:rFonts w:ascii="Arial" w:cs="Arial" w:eastAsia="Arial" w:hAnsi="Arial"/>
                  <w:sz w:val="14"/>
                  <w:szCs w:val="14"/>
                  <w:color w:val="0000FF"/>
                </w:rPr>
                <w:t>88</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89">
              <w:r>
                <w:rPr>
                  <w:rFonts w:ascii="Arial" w:cs="Arial" w:eastAsia="Arial" w:hAnsi="Arial"/>
                  <w:sz w:val="14"/>
                  <w:szCs w:val="14"/>
                  <w:color w:val="0000FF"/>
                </w:rPr>
                <w:t>Consolidated Statements of Cash Flows for the years ended December 31, 2018, 2017 and 2016</w:t>
              </w:r>
            </w:hyperlink>
          </w:p>
        </w:tc>
        <w:tc>
          <w:tcPr>
            <w:tcW w:w="1720" w:type="dxa"/>
            <w:vAlign w:val="bottom"/>
          </w:tcPr>
          <w:p>
            <w:pPr>
              <w:ind w:left="1480"/>
              <w:spacing w:after="0"/>
              <w:rPr>
                <w:rFonts w:ascii="Arial" w:cs="Arial" w:eastAsia="Arial" w:hAnsi="Arial"/>
                <w:sz w:val="14"/>
                <w:szCs w:val="14"/>
                <w:color w:val="0000FF"/>
              </w:rPr>
            </w:pPr>
            <w:hyperlink w:anchor="page89">
              <w:r>
                <w:rPr>
                  <w:rFonts w:ascii="Arial" w:cs="Arial" w:eastAsia="Arial" w:hAnsi="Arial"/>
                  <w:sz w:val="14"/>
                  <w:szCs w:val="14"/>
                  <w:color w:val="0000FF"/>
                </w:rPr>
                <w:t>89</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91">
              <w:r>
                <w:rPr>
                  <w:rFonts w:ascii="Arial" w:cs="Arial" w:eastAsia="Arial" w:hAnsi="Arial"/>
                  <w:sz w:val="14"/>
                  <w:szCs w:val="14"/>
                  <w:color w:val="0000FF"/>
                </w:rPr>
                <w:t>Notes to Consolidated Financial Statements</w:t>
              </w:r>
            </w:hyperlink>
          </w:p>
        </w:tc>
        <w:tc>
          <w:tcPr>
            <w:tcW w:w="1720" w:type="dxa"/>
            <w:vAlign w:val="bottom"/>
          </w:tcPr>
          <w:p>
            <w:pPr>
              <w:ind w:left="1480"/>
              <w:spacing w:after="0"/>
              <w:rPr>
                <w:rFonts w:ascii="Arial" w:cs="Arial" w:eastAsia="Arial" w:hAnsi="Arial"/>
                <w:sz w:val="14"/>
                <w:szCs w:val="14"/>
                <w:color w:val="0000FF"/>
              </w:rPr>
            </w:pPr>
            <w:hyperlink w:anchor="page91">
              <w:r>
                <w:rPr>
                  <w:rFonts w:ascii="Arial" w:cs="Arial" w:eastAsia="Arial" w:hAnsi="Arial"/>
                  <w:sz w:val="14"/>
                  <w:szCs w:val="14"/>
                  <w:color w:val="0000FF"/>
                </w:rPr>
                <w:t>91</w:t>
              </w:r>
            </w:hyperlink>
          </w:p>
        </w:tc>
      </w:tr>
      <w:tr>
        <w:trPr>
          <w:trHeight w:val="419"/>
        </w:trPr>
        <w:tc>
          <w:tcPr>
            <w:tcW w:w="918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Intermodal Finance I Ltd:</w:t>
            </w:r>
          </w:p>
        </w:tc>
        <w:tc>
          <w:tcPr>
            <w:tcW w:w="1720" w:type="dxa"/>
            <w:vAlign w:val="bottom"/>
          </w:tcPr>
          <w:p>
            <w:pPr>
              <w:spacing w:after="0"/>
              <w:rPr>
                <w:sz w:val="24"/>
                <w:szCs w:val="24"/>
                <w:color w:val="auto"/>
              </w:rPr>
            </w:pPr>
          </w:p>
        </w:tc>
      </w:tr>
      <w:tr>
        <w:trPr>
          <w:trHeight w:val="203"/>
        </w:trPr>
        <w:tc>
          <w:tcPr>
            <w:tcW w:w="9180" w:type="dxa"/>
            <w:vAlign w:val="bottom"/>
          </w:tcPr>
          <w:p>
            <w:pPr>
              <w:ind w:left="260"/>
              <w:spacing w:after="0"/>
              <w:rPr>
                <w:rFonts w:ascii="Arial" w:cs="Arial" w:eastAsia="Arial" w:hAnsi="Arial"/>
                <w:sz w:val="14"/>
                <w:szCs w:val="14"/>
                <w:color w:val="0000FF"/>
              </w:rPr>
            </w:pPr>
            <w:hyperlink w:anchor="page128">
              <w:r>
                <w:rPr>
                  <w:rFonts w:ascii="Arial" w:cs="Arial" w:eastAsia="Arial" w:hAnsi="Arial"/>
                  <w:sz w:val="14"/>
                  <w:szCs w:val="14"/>
                  <w:color w:val="0000FF"/>
                </w:rPr>
                <w:t>Report of Independent Auditors</w:t>
              </w:r>
            </w:hyperlink>
          </w:p>
        </w:tc>
        <w:tc>
          <w:tcPr>
            <w:tcW w:w="1720" w:type="dxa"/>
            <w:vAlign w:val="bottom"/>
          </w:tcPr>
          <w:p>
            <w:pPr>
              <w:ind w:left="1480"/>
              <w:spacing w:after="0"/>
              <w:rPr>
                <w:rFonts w:ascii="Arial" w:cs="Arial" w:eastAsia="Arial" w:hAnsi="Arial"/>
                <w:sz w:val="14"/>
                <w:szCs w:val="14"/>
                <w:color w:val="0000FF"/>
                <w:w w:val="93"/>
              </w:rPr>
            </w:pPr>
            <w:hyperlink w:anchor="page128">
              <w:r>
                <w:rPr>
                  <w:rFonts w:ascii="Arial" w:cs="Arial" w:eastAsia="Arial" w:hAnsi="Arial"/>
                  <w:sz w:val="14"/>
                  <w:szCs w:val="14"/>
                  <w:color w:val="0000FF"/>
                  <w:w w:val="93"/>
                </w:rPr>
                <w:t>128</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29">
              <w:r>
                <w:rPr>
                  <w:rFonts w:ascii="Arial" w:cs="Arial" w:eastAsia="Arial" w:hAnsi="Arial"/>
                  <w:sz w:val="14"/>
                  <w:szCs w:val="14"/>
                  <w:color w:val="0000FF"/>
                </w:rPr>
                <w:t>Consolidated Balance Sheets as of December 31, 2018 and 2017</w:t>
              </w:r>
            </w:hyperlink>
          </w:p>
        </w:tc>
        <w:tc>
          <w:tcPr>
            <w:tcW w:w="1720" w:type="dxa"/>
            <w:vAlign w:val="bottom"/>
          </w:tcPr>
          <w:p>
            <w:pPr>
              <w:ind w:left="1480"/>
              <w:spacing w:after="0"/>
              <w:rPr>
                <w:rFonts w:ascii="Arial" w:cs="Arial" w:eastAsia="Arial" w:hAnsi="Arial"/>
                <w:sz w:val="14"/>
                <w:szCs w:val="14"/>
                <w:color w:val="0000FF"/>
                <w:w w:val="93"/>
              </w:rPr>
            </w:pPr>
            <w:hyperlink w:anchor="page129">
              <w:r>
                <w:rPr>
                  <w:rFonts w:ascii="Arial" w:cs="Arial" w:eastAsia="Arial" w:hAnsi="Arial"/>
                  <w:sz w:val="14"/>
                  <w:szCs w:val="14"/>
                  <w:color w:val="0000FF"/>
                  <w:w w:val="93"/>
                </w:rPr>
                <w:t>129</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30">
              <w:r>
                <w:rPr>
                  <w:rFonts w:ascii="Arial" w:cs="Arial" w:eastAsia="Arial" w:hAnsi="Arial"/>
                  <w:sz w:val="14"/>
                  <w:szCs w:val="14"/>
                  <w:color w:val="0000FF"/>
                </w:rPr>
                <w:t>Consolidated Statements of Operations for the years ended December 31, 2018, 2017 and 2016</w:t>
              </w:r>
            </w:hyperlink>
          </w:p>
        </w:tc>
        <w:tc>
          <w:tcPr>
            <w:tcW w:w="1720" w:type="dxa"/>
            <w:vAlign w:val="bottom"/>
          </w:tcPr>
          <w:p>
            <w:pPr>
              <w:ind w:left="1480"/>
              <w:spacing w:after="0"/>
              <w:rPr>
                <w:rFonts w:ascii="Arial" w:cs="Arial" w:eastAsia="Arial" w:hAnsi="Arial"/>
                <w:sz w:val="14"/>
                <w:szCs w:val="14"/>
                <w:color w:val="0000FF"/>
                <w:w w:val="93"/>
              </w:rPr>
            </w:pPr>
            <w:hyperlink w:anchor="page130">
              <w:r>
                <w:rPr>
                  <w:rFonts w:ascii="Arial" w:cs="Arial" w:eastAsia="Arial" w:hAnsi="Arial"/>
                  <w:sz w:val="14"/>
                  <w:szCs w:val="14"/>
                  <w:color w:val="0000FF"/>
                  <w:w w:val="93"/>
                </w:rPr>
                <w:t>130</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31">
              <w:r>
                <w:rPr>
                  <w:rFonts w:ascii="Arial" w:cs="Arial" w:eastAsia="Arial" w:hAnsi="Arial"/>
                  <w:sz w:val="14"/>
                  <w:szCs w:val="14"/>
                  <w:color w:val="0000FF"/>
                </w:rPr>
                <w:t>Consolidated Statements of Comprehensive (Loss) Income for the years ended December 31, 2018, 2017, and 2016</w:t>
              </w:r>
            </w:hyperlink>
          </w:p>
        </w:tc>
        <w:tc>
          <w:tcPr>
            <w:tcW w:w="1720" w:type="dxa"/>
            <w:vAlign w:val="bottom"/>
          </w:tcPr>
          <w:p>
            <w:pPr>
              <w:ind w:left="1480"/>
              <w:spacing w:after="0"/>
              <w:rPr>
                <w:rFonts w:ascii="Arial" w:cs="Arial" w:eastAsia="Arial" w:hAnsi="Arial"/>
                <w:sz w:val="14"/>
                <w:szCs w:val="14"/>
                <w:color w:val="0000FF"/>
                <w:w w:val="93"/>
              </w:rPr>
            </w:pPr>
            <w:hyperlink w:anchor="page131">
              <w:r>
                <w:rPr>
                  <w:rFonts w:ascii="Arial" w:cs="Arial" w:eastAsia="Arial" w:hAnsi="Arial"/>
                  <w:sz w:val="14"/>
                  <w:szCs w:val="14"/>
                  <w:color w:val="0000FF"/>
                  <w:w w:val="93"/>
                </w:rPr>
                <w:t>131</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32">
              <w:r>
                <w:rPr>
                  <w:rFonts w:ascii="Arial" w:cs="Arial" w:eastAsia="Arial" w:hAnsi="Arial"/>
                  <w:sz w:val="14"/>
                  <w:szCs w:val="14"/>
                  <w:color w:val="0000FF"/>
                </w:rPr>
                <w:t>Consolidated Statements of Cash Flows for the years ended December 31, 2018, 2017, and 2016</w:t>
              </w:r>
            </w:hyperlink>
          </w:p>
        </w:tc>
        <w:tc>
          <w:tcPr>
            <w:tcW w:w="1720" w:type="dxa"/>
            <w:vAlign w:val="bottom"/>
          </w:tcPr>
          <w:p>
            <w:pPr>
              <w:ind w:left="1480"/>
              <w:spacing w:after="0"/>
              <w:rPr>
                <w:rFonts w:ascii="Arial" w:cs="Arial" w:eastAsia="Arial" w:hAnsi="Arial"/>
                <w:sz w:val="14"/>
                <w:szCs w:val="14"/>
                <w:color w:val="0000FF"/>
                <w:w w:val="93"/>
              </w:rPr>
            </w:pPr>
            <w:hyperlink w:anchor="page132">
              <w:r>
                <w:rPr>
                  <w:rFonts w:ascii="Arial" w:cs="Arial" w:eastAsia="Arial" w:hAnsi="Arial"/>
                  <w:sz w:val="14"/>
                  <w:szCs w:val="14"/>
                  <w:color w:val="0000FF"/>
                  <w:w w:val="93"/>
                </w:rPr>
                <w:t>132</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33">
              <w:r>
                <w:rPr>
                  <w:rFonts w:ascii="Arial" w:cs="Arial" w:eastAsia="Arial" w:hAnsi="Arial"/>
                  <w:sz w:val="14"/>
                  <w:szCs w:val="14"/>
                  <w:color w:val="0000FF"/>
                </w:rPr>
                <w:t>Consolidated Statements of Members’ Equity for the years ended December 31, 2018, 2017, and 2016</w:t>
              </w:r>
            </w:hyperlink>
          </w:p>
        </w:tc>
        <w:tc>
          <w:tcPr>
            <w:tcW w:w="1720" w:type="dxa"/>
            <w:vAlign w:val="bottom"/>
          </w:tcPr>
          <w:p>
            <w:pPr>
              <w:ind w:left="1480"/>
              <w:spacing w:after="0"/>
              <w:rPr>
                <w:rFonts w:ascii="Arial" w:cs="Arial" w:eastAsia="Arial" w:hAnsi="Arial"/>
                <w:sz w:val="14"/>
                <w:szCs w:val="14"/>
                <w:color w:val="0000FF"/>
                <w:w w:val="93"/>
              </w:rPr>
            </w:pPr>
            <w:hyperlink w:anchor="page133">
              <w:r>
                <w:rPr>
                  <w:rFonts w:ascii="Arial" w:cs="Arial" w:eastAsia="Arial" w:hAnsi="Arial"/>
                  <w:sz w:val="14"/>
                  <w:szCs w:val="14"/>
                  <w:color w:val="0000FF"/>
                  <w:w w:val="93"/>
                </w:rPr>
                <w:t>133</w:t>
              </w:r>
            </w:hyperlink>
          </w:p>
        </w:tc>
      </w:tr>
      <w:tr>
        <w:trPr>
          <w:trHeight w:val="189"/>
        </w:trPr>
        <w:tc>
          <w:tcPr>
            <w:tcW w:w="9180" w:type="dxa"/>
            <w:vAlign w:val="bottom"/>
          </w:tcPr>
          <w:p>
            <w:pPr>
              <w:ind w:left="260"/>
              <w:spacing w:after="0"/>
              <w:rPr>
                <w:rFonts w:ascii="Arial" w:cs="Arial" w:eastAsia="Arial" w:hAnsi="Arial"/>
                <w:sz w:val="14"/>
                <w:szCs w:val="14"/>
                <w:color w:val="0000FF"/>
              </w:rPr>
            </w:pPr>
            <w:hyperlink w:anchor="page134">
              <w:r>
                <w:rPr>
                  <w:rFonts w:ascii="Arial" w:cs="Arial" w:eastAsia="Arial" w:hAnsi="Arial"/>
                  <w:sz w:val="14"/>
                  <w:szCs w:val="14"/>
                  <w:color w:val="0000FF"/>
                </w:rPr>
                <w:t>Notes to Consolidated Financial Statements</w:t>
              </w:r>
            </w:hyperlink>
          </w:p>
        </w:tc>
        <w:tc>
          <w:tcPr>
            <w:tcW w:w="1720" w:type="dxa"/>
            <w:vAlign w:val="bottom"/>
          </w:tcPr>
          <w:p>
            <w:pPr>
              <w:ind w:left="1480"/>
              <w:spacing w:after="0"/>
              <w:rPr>
                <w:rFonts w:ascii="Arial" w:cs="Arial" w:eastAsia="Arial" w:hAnsi="Arial"/>
                <w:sz w:val="14"/>
                <w:szCs w:val="14"/>
                <w:color w:val="0000FF"/>
                <w:w w:val="93"/>
              </w:rPr>
            </w:pPr>
            <w:hyperlink w:anchor="page134">
              <w:r>
                <w:rPr>
                  <w:rFonts w:ascii="Arial" w:cs="Arial" w:eastAsia="Arial" w:hAnsi="Arial"/>
                  <w:sz w:val="14"/>
                  <w:szCs w:val="14"/>
                  <w:color w:val="0000FF"/>
                  <w:w w:val="93"/>
                </w:rPr>
                <w:t>134</w:t>
              </w:r>
            </w:hyperlink>
          </w:p>
        </w:tc>
      </w:tr>
    </w:tbl>
    <w:p>
      <w:pPr>
        <w:spacing w:after="0" w:line="35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accordance with Regulation S-X 3-09, the consolidated financial statements of Intermodal Finance I Ltd. as of December 31, 2018 (unaudited) and December 31, 2017 and for the years ended December 31, 2018 (unaudited), 2017, and 2016, are presented herein.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932"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3760"/>
        <w:spacing w:after="0" w:line="387" w:lineRule="auto"/>
        <w:rPr>
          <w:sz w:val="20"/>
          <w:szCs w:val="20"/>
          <w:color w:val="auto"/>
        </w:rPr>
      </w:pPr>
      <w:r>
        <w:rPr>
          <w:rFonts w:ascii="Arial" w:cs="Arial" w:eastAsia="Arial" w:hAnsi="Arial"/>
          <w:sz w:val="16"/>
          <w:szCs w:val="16"/>
          <w:color w:val="333333"/>
        </w:rPr>
        <w:t xml:space="preserve">To the Shareholders and the Board of Directors of </w:t>
      </w:r>
      <w:r>
        <w:rPr>
          <w:rFonts w:ascii="Arial" w:cs="Arial" w:eastAsia="Arial" w:hAnsi="Arial"/>
          <w:sz w:val="16"/>
          <w:szCs w:val="16"/>
          <w:color w:val="000000"/>
        </w:rPr>
        <w:t>Fortress Transportation and Infrastructure Investors LLC</w:t>
      </w:r>
      <w:r>
        <w:rPr>
          <w:rFonts w:ascii="Arial" w:cs="Arial" w:eastAsia="Arial" w:hAnsi="Arial"/>
          <w:sz w:val="16"/>
          <w:szCs w:val="16"/>
          <w:color w:val="333333"/>
        </w:rPr>
        <w:t xml:space="preserve"> </w:t>
      </w:r>
      <w:r>
        <w:rPr>
          <w:rFonts w:ascii="Arial" w:cs="Arial" w:eastAsia="Arial" w:hAnsi="Arial"/>
          <w:sz w:val="16"/>
          <w:szCs w:val="16"/>
          <w:b w:val="1"/>
          <w:bCs w:val="1"/>
          <w:color w:val="333333"/>
        </w:rPr>
        <w:t>Opinion on the Financial Statements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 xml:space="preserve">We have audited the accompanying consolidated balance sheets of </w:t>
      </w:r>
      <w:r>
        <w:rPr>
          <w:rFonts w:ascii="Arial" w:cs="Arial" w:eastAsia="Arial" w:hAnsi="Arial"/>
          <w:sz w:val="16"/>
          <w:szCs w:val="16"/>
          <w:color w:val="000000"/>
        </w:rPr>
        <w:t>Fortress Transportation and Infrastructure Investors LLC</w:t>
      </w:r>
      <w:r>
        <w:rPr>
          <w:rFonts w:ascii="Arial" w:cs="Arial" w:eastAsia="Arial" w:hAnsi="Arial"/>
          <w:sz w:val="16"/>
          <w:szCs w:val="16"/>
          <w:color w:val="333333"/>
        </w:rPr>
        <w:t xml:space="preserve"> (“the Company”) as of December 31, 2018 and 2017, the related consolidated statements of operations, comprehensive income (loss) changes in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 xml:space="preserve">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w:t>
      </w:r>
      <w:r>
        <w:rPr>
          <w:rFonts w:ascii="Arial" w:cs="Arial" w:eastAsia="Arial" w:hAnsi="Arial"/>
          <w:sz w:val="16"/>
          <w:szCs w:val="16"/>
          <w:color w:val="000000"/>
        </w:rPr>
        <w:t>February 28, 2019</w:t>
      </w:r>
      <w:r>
        <w:rPr>
          <w:rFonts w:ascii="Arial" w:cs="Arial" w:eastAsia="Arial" w:hAnsi="Arial"/>
          <w:sz w:val="16"/>
          <w:szCs w:val="16"/>
          <w:color w:val="333333"/>
        </w:rPr>
        <w:t xml:space="preserve">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Basis for Opinion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932"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 except share and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8"/>
                <w:szCs w:val="18"/>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99,601</w:t>
            </w:r>
          </w:p>
        </w:tc>
        <w:tc>
          <w:tcPr>
            <w:tcW w:w="12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59,400</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33,406</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53,789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31,076</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1,432,210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1,074,130</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Finance leases, net</w:t>
            </w:r>
          </w:p>
        </w:tc>
        <w:tc>
          <w:tcPr>
            <w:tcW w:w="72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18,623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708,853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489,949</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40,560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42,538</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108,809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59,436</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2,638,778</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68,226</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1,237,347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158,163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103,464</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38,539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27,257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38,759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18,520</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1,584,996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($0.01 par value per share; 2,000,000,000 shares authorized; 84,050,889 and 75,771,738</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840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2018 and December 31, 2017, respectively)</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1,029,376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985,009</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4"/>
                <w:szCs w:val="14"/>
                <w:color w:val="auto"/>
              </w:rPr>
              <w:t>Accumulated other comprehensive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997,399</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947,068</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56,383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1,053,782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2,638,778</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380"/>
          </w:cols>
          <w:pgMar w:left="240" w:top="121" w:right="27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 except share and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7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Notes</w:t>
            </w:r>
          </w:p>
        </w:tc>
        <w:tc>
          <w:tcPr>
            <w:tcW w:w="360" w:type="dxa"/>
            <w:vAlign w:val="bottom"/>
          </w:tcPr>
          <w:p>
            <w:pPr>
              <w:spacing w:after="0"/>
              <w:rPr>
                <w:sz w:val="18"/>
                <w:szCs w:val="18"/>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2016</w:t>
            </w:r>
          </w:p>
        </w:tc>
      </w:tr>
      <w:tr>
        <w:trPr>
          <w:trHeight w:val="20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253,039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170,000</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101,949</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126,839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46,771</w:t>
            </w: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6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379,878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217,659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148,720</w:t>
            </w:r>
          </w:p>
        </w:tc>
      </w:tr>
      <w:tr>
        <w:trPr>
          <w:trHeight w:val="216"/>
        </w:trPr>
        <w:tc>
          <w:tcPr>
            <w:tcW w:w="5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66,169</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12,314</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4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16,742</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60,210</w:t>
            </w: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18,957</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401,542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180,708</w:t>
            </w:r>
          </w:p>
        </w:tc>
      </w:tr>
      <w:tr>
        <w:trPr>
          <w:trHeight w:val="216"/>
        </w:trPr>
        <w:tc>
          <w:tcPr>
            <w:tcW w:w="5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4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(5,992)</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(1,579)</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income (expense)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(8,342)</w:t>
            </w:r>
          </w:p>
        </w:tc>
      </w:tr>
      <w:tr>
        <w:trPr>
          <w:trHeight w:val="216"/>
        </w:trPr>
        <w:tc>
          <w:tcPr>
            <w:tcW w:w="5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(14,332)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(40,330)</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1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(40,598)</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r>
      <w:tr>
        <w:trPr>
          <w:trHeight w:val="216"/>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(20,064)</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9"/>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(0.26)</w:t>
            </w:r>
          </w:p>
        </w:tc>
      </w:tr>
      <w:tr>
        <w:trPr>
          <w:trHeight w:val="263"/>
        </w:trPr>
        <w:tc>
          <w:tcPr>
            <w:tcW w:w="57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83,654,068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75,766,811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75,738,698</w:t>
            </w:r>
          </w:p>
        </w:tc>
      </w:tr>
      <w:tr>
        <w:trPr>
          <w:trHeight w:val="204"/>
        </w:trPr>
        <w:tc>
          <w:tcPr>
            <w:tcW w:w="5720" w:type="dxa"/>
            <w:vAlign w:val="bottom"/>
          </w:tcPr>
          <w:p>
            <w:pPr>
              <w:ind w:left="20"/>
              <w:spacing w:after="0"/>
              <w:rPr>
                <w:sz w:val="20"/>
                <w:szCs w:val="20"/>
                <w:color w:val="auto"/>
              </w:rPr>
            </w:pPr>
            <w:r>
              <w:rPr>
                <w:rFonts w:ascii="Arial" w:cs="Arial" w:eastAsia="Arial" w:hAnsi="Arial"/>
                <w:sz w:val="14"/>
                <w:szCs w:val="14"/>
                <w:color w:val="auto"/>
              </w:rPr>
              <w:t>Diluted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83,664,833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75,766,811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75,738,698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60"/>
          </w:cols>
          <w:pgMar w:left="240" w:top="121" w:right="2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COMPREHENSIVE INCOME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(40,598)</w:t>
            </w: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Cash Flow Hedge: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Available-for-Sale Securities: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color w:val="auto"/>
              </w:rPr>
              <w:t>Unrealized gain in available-for-sale securities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7,130</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gains included in net income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(15,704)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(33,565)</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r>
      <w:tr>
        <w:trPr>
          <w:trHeight w:val="216"/>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(6,996)</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(13,031)</w:t>
            </w:r>
          </w:p>
        </w:tc>
      </w:tr>
      <w:tr>
        <w:trPr>
          <w:trHeight w:val="21"/>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2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121" w:right="259" w:bottom="295" w:gutter="0" w:footer="0" w:header="0"/>
          <w:type w:val="continuous"/>
        </w:sectPr>
      </w:pPr>
    </w:p>
    <w:bookmarkStart w:id="87" w:name="page88"/>
    <w:bookmarkEnd w:id="87"/>
    <w:p>
      <w:pPr>
        <w:jc w:val="center"/>
        <w:ind w:right="-2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9019"/>
          </w:cols>
          <w:pgMar w:left="1440" w:top="306" w:right="1440"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 OF CHANGES IN EQUITY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274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Equity</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2015</w:t>
            </w: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1,184,198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124,403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1,290,686</w:t>
            </w: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2"/>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for the period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(40,598)</w:t>
            </w:r>
          </w:p>
        </w:tc>
      </w:tr>
      <w:tr>
        <w:trPr>
          <w:trHeight w:val="210"/>
        </w:trPr>
        <w:tc>
          <w:tcPr>
            <w:tcW w:w="274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7,033</w:t>
            </w:r>
          </w:p>
        </w:tc>
      </w:tr>
      <w:tr>
        <w:trPr>
          <w:trHeight w:val="216"/>
        </w:trPr>
        <w:tc>
          <w:tcPr>
            <w:tcW w:w="2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comprehensive income (loss)</w:t>
            </w: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(33,565)</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Capital contributions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12,121</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(100,027)</w:t>
            </w: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2016</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1,084,757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111,868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1,165,680</w:t>
            </w: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2"/>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 for the period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(23,240)</w:t>
            </w:r>
          </w:p>
        </w:tc>
      </w:tr>
      <w:tr>
        <w:trPr>
          <w:trHeight w:val="210"/>
        </w:trPr>
        <w:tc>
          <w:tcPr>
            <w:tcW w:w="274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(7,130)</w:t>
            </w:r>
          </w:p>
        </w:tc>
      </w:tr>
      <w:tr>
        <w:trPr>
          <w:trHeight w:val="216"/>
        </w:trPr>
        <w:tc>
          <w:tcPr>
            <w:tcW w:w="2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comprehensive income (loss)</w:t>
            </w: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(30,370)</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Capital contributions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distributions</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Transfer of non-controlling interest</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(2,798)</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5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(100,058)</w:t>
            </w: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2017</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985,009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1,035,075</w:t>
            </w: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5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for the period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(15,704)</w:t>
            </w: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(15,704)</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(3,705)</w:t>
            </w: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(110,584)</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147,717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147,799</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901</w:t>
            </w: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Equity - December 31, 2018</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840</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1,029,376</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(32,817)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56,383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1,053,782</w:t>
            </w:r>
          </w:p>
        </w:tc>
      </w:tr>
      <w:tr>
        <w:trPr>
          <w:trHeight w:val="21"/>
        </w:trPr>
        <w:tc>
          <w:tcPr>
            <w:tcW w:w="2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60"/>
          </w:cols>
          <w:pgMar w:left="240" w:top="121" w:right="29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(15,704)</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(23,240)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(40,598)</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5,992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(6,323)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(3,672)</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60,210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Gain on settlement of liabilities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Change in current and deferred income taxes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non-hedge derivative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5,447</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Operating distributions from unconsolidated entities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730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(23,340)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(7,980)</w:t>
            </w:r>
          </w:p>
        </w:tc>
      </w:tr>
      <w:tr>
        <w:trPr>
          <w:trHeight w:val="222"/>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(8,584)</w:t>
            </w:r>
          </w:p>
        </w:tc>
      </w:tr>
      <w:tr>
        <w:trPr>
          <w:trHeight w:val="210"/>
        </w:trPr>
        <w:tc>
          <w:tcPr>
            <w:tcW w:w="7300" w:type="dxa"/>
            <w:vAlign w:val="bottom"/>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30,471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7,726</w:t>
            </w:r>
          </w:p>
        </w:tc>
      </w:tr>
      <w:tr>
        <w:trPr>
          <w:trHeight w:val="222"/>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fees payable to affiliate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r>
      <w:tr>
        <w:trPr>
          <w:trHeight w:val="210"/>
        </w:trPr>
        <w:tc>
          <w:tcPr>
            <w:tcW w:w="7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9,651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6,651</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133,697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30,903</w:t>
            </w:r>
          </w:p>
        </w:tc>
      </w:tr>
      <w:tr>
        <w:trPr>
          <w:trHeight w:val="202"/>
        </w:trPr>
        <w:tc>
          <w:tcPr>
            <w:tcW w:w="7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Investment in notes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(3,066)</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(28,784)</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2,513</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(497,988)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(229,963)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(57,371)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Purchase deposit for aircraft and aircraft engines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(13,681)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finance leases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44,062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22,885</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available-for-sale securities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deposit on sale of leasing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Return of deposit on sale of leasing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capital distributions from unconsolidated entities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(703,533)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(472,265)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(210,749)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80"/>
          </w:cols>
          <w:pgMar w:left="240" w:top="121" w:right="27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20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750,980</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567,191</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152,140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(160,166)</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Payment of other liabilities to non-controlling interest holder</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Receipt of security deposits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3,815</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security deposits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Receipt of maintenance deposits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53,645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14,804</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 of maintenance deposits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148,318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11,480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distributions to non-controlling interests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Settlement of equity-based compensation</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 shares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dividends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(100,027)</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597,867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363,078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(89,971)</w:t>
            </w:r>
          </w:p>
        </w:tc>
      </w:tr>
      <w:tr>
        <w:trPr>
          <w:trHeight w:val="202"/>
        </w:trPr>
        <w:tc>
          <w:tcPr>
            <w:tcW w:w="7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(269,817)</w:t>
            </w:r>
          </w:p>
        </w:tc>
      </w:tr>
      <w:tr>
        <w:trPr>
          <w:trHeight w:val="21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92,806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403,313</w:t>
            </w:r>
          </w:p>
        </w:tc>
      </w:tr>
      <w:tr>
        <w:trPr>
          <w:trHeight w:val="241"/>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120,837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133,496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43,636</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25,068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13,150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216"/>
        </w:trPr>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Proceeds from borrowings of debt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108,339</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2,860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and settlement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(14,263)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(7,724)</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(12,184)</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Financing of property, plant and equipment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5,321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24,518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6,350</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financing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Non-cash contribution of non-controlling interest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641</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to non-controlling interest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w:t>
            </w:r>
          </w:p>
        </w:tc>
      </w:tr>
      <w:tr>
        <w:trPr>
          <w:trHeight w:val="210"/>
        </w:trPr>
        <w:tc>
          <w:tcPr>
            <w:tcW w:w="7300" w:type="dxa"/>
            <w:vAlign w:val="bottom"/>
          </w:tcPr>
          <w:p>
            <w:pPr>
              <w:ind w:left="20"/>
              <w:spacing w:after="0"/>
              <w:rPr>
                <w:sz w:val="20"/>
                <w:szCs w:val="20"/>
                <w:color w:val="auto"/>
              </w:rPr>
            </w:pPr>
            <w:r>
              <w:rPr>
                <w:rFonts w:ascii="Arial" w:cs="Arial" w:eastAsia="Arial" w:hAnsi="Arial"/>
                <w:sz w:val="14"/>
                <w:szCs w:val="14"/>
                <w:color w:val="auto"/>
              </w:rPr>
              <w:t>Change in fair value of cash flow hedge</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2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non-controlling interest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3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80"/>
          </w:cols>
          <w:pgMar w:left="240" w:top="121" w:right="27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 ORGANIZATION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Fortress Transportation and Infrastructure Investors LLC ("we", "us", "our" or the “Company”) is a Delaware limited liability company which, through its subsidiary, Fortress Worldwide Transportation and Infrastructure General Partnership (the “Partnership”), is engaged in the ownership and leasing of i) aviation equipment, ii) offshore energy equipment and iii) shipping containers. We also own and operate i) a short line railroad in North America, Central Maine and Québec Railway (“CMQR”), ii) a multi-modal crude oil and refined products terminal in Beaumont, Texas (“Jefferson Terminal”), iii) a deep-water port located along the Delaware River with an underground storage cavern and multiple industrial development opportunities (“Repauno”), and iv) a multi-modal terminal located along the Ohio River with multiple industrial development opportunities (“Long Ridge”). We have six reportable segments, i) Aviation Leasing, ii) Offshore Energy, iii) Shipping Containers, iv) Jefferson Terminal, v) Railroad and vi) Ports and Terminals, which operate in two primary businesses, Equipment Leasing and Infrastructure (Note 14).</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December 31, 2014, through their investment in us,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an affiliate of Fortress.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us.</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May 20, 2015, we completed our Initial Public Offering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SUMMARY OF SIGNIFICANT ACCOUNTING POLICIES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(“GAAP”) and include the accounts of us and our subsidiaries.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interest and in which we have control over significant operating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decisions, as well as variable interest entities (“VIEs”) in which we are the primary beneficiary. All significant intercompany transactions and balances have been eliminated. The ownership interest of other investors in consolidated subsidiaries is recorded as non-controlling interest.</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0000"/>
        </w:rPr>
        <w:t>—The assessment of whether an entity is a VIE and the determination of whether to consolidate a VIE requires judgment. VIEs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WWTAI IES MT6015 Ltd</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previously held an interest in WWTAI IES MT6015 Ltd. (“MT6015”), an entity formed in 2014 which had entered into a contract with a shipbuilder for the construction of an offshore multi service / inspection, maintenance and repair vessel (the “Vessel”) for a price of approximately $75 million. Our subsidiary and a third party each held a 50% interest in MT6015 and had equal representation on its board of directors. In connection with the initial capitalization of MT6015, another subsidiary of ours provided the third party partner with a $3.7 million loan which was utilized by the third party partner to fund its equity contribution to MT6015. In addition, the agreement provided us with disproportionate voting rights, in certain situations, as defined in the agreement. Accordingly, we determined that MT6015 is a VIE and that we were the primary beneficiary; accordingly, MT6015 had been presented on a consolidated basis in the accompanying financial statements.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2016, we determined not to proceed with the purchase of the Vessel. The shipbuilder delivered a notice of termination of the shipbuilding contract to MT6015 in July 2016. Correspondingly, in the second quarter of 2016, we recorded an impairment in our MT6015 investment of $7.5 million. The shipbuilder has no further recourse to 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21"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2017, we entered into a settlement arrangement whereby the holder of the non-controlling interest settled its $3.7 million loan due to us by transferring its interest in our subsidiary, and the note payable due to the holder of the non-controlling interest was extinguished. The settlement resulted in a net gain of $1.1 million recorded in other income.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JGP Energy Partners LLC</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third quarter of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w:t>
      </w: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2018 and 2017, our investment in JGP was $25.5 million and $24.9 million, respectively, which is included in investments on our balance sheet. Refer to Note 6 for further details.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River Partners LLC</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1, 2016, through Delaware River Partners LLC (“DRP”), a consolidated subsidiary, we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We currently hold a 90% economic interest and a 100% voting interest in DRP. DRP is solely reliant on us to finance its activities and therefore is a VIE. We concluded that we are the primary beneficiary; and accordingly, DRP has been presented on a consolidated basis in the accompanying financial statements. We have the right to purchase an additional 8% economic interest from the non-controlling party prior to the fifth year anniversary of the acquisition of Repauno. At the time of the purchase, we concluded that 8% of the 10% interest held by the non-controlling party did not share in the risks or rewards of true equity; and, therefore upon acquisition $5.3 million was recorded in other liabilities on our Consolidated Balance Sheets. The remaining 2% economic non-controlling interest was valued at $0.6 million at the acquisition date.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Ohio River Partners LLC</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16, 2017, through Ohio River Partners Shareholders LLC (“ORP”), a consolidated subsidiary, we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are the primary beneficiary; accordingly, ORP has been presented on a consolidated basis in the accompanying financial statements.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0000"/>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our services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Through our subsidiaries, we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terminal services revenue and the majority of freight rail revenue are denominated in U.S. dollars.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 equivalents.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consists of prepaid interest and principal pursuant to the requirements of certain of our debt agreements (Note 8),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funds set aside for qualifying constructions projects at Jefferson Terminal.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0000"/>
        </w:rPr>
        <w:t>—We consider listed equity securities as available-for-sale securities recorded at fair value with unrealized gains (losses)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recorded in other comprehensive income (loss) and realized gains (losses) recorded in earnings. Our basis on which the cost of the security sold or the amount reclassified out of other comprehensive income into earnings is determined using specific identification. We realized a gain of $11.4 million on the sale of available-for-sale securities during the year ended December 31, 2017, recorded in Gain on sale of assets, net in our Consolidated Statements of Operations. We did not hold any available-for-sale securities as of December 31, 2018 or 2017.</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—Commodities inventory is carried at the lower of cost or net realizable value on our balance sheet. Commodities are removed from inventory based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on the average cost at the time of sale. As of December 31, 2018 and 2017, we had commodities inventory of $10.4 million and $8.9 million, respectively. We record our inventory as a component of other assets on the accompanying Consolidated Balance Sheets.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 (inclusive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capitalized acquisition costs, where applicable) and depreciated using the straight-line method, over estimated useful lives, to estimated residual values which are summarized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4"/>
                <w:szCs w:val="14"/>
                <w:b w:val="1"/>
                <w:bCs w:val="1"/>
                <w:color w:val="auto"/>
              </w:rPr>
              <w:t>Asset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Range of Estimated Useful Lives</w:t>
            </w:r>
          </w:p>
        </w:tc>
        <w:tc>
          <w:tcPr>
            <w:tcW w:w="160" w:type="dxa"/>
            <w:vAlign w:val="bottom"/>
            <w:shd w:val="clear" w:color="auto" w:fill="CCEEFF"/>
          </w:tcPr>
          <w:p>
            <w:pPr>
              <w:spacing w:after="0"/>
              <w:rPr>
                <w:sz w:val="18"/>
                <w:szCs w:val="18"/>
                <w:color w:val="auto"/>
              </w:rPr>
            </w:pPr>
          </w:p>
        </w:tc>
        <w:tc>
          <w:tcPr>
            <w:tcW w:w="35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9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Aircraft</w:t>
            </w:r>
          </w:p>
        </w:tc>
        <w:tc>
          <w:tcPr>
            <w:tcW w:w="3600" w:type="dxa"/>
            <w:vAlign w:val="bottom"/>
            <w:gridSpan w:val="4"/>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Generally not to exceed 15% of manufacturer’s list</w:t>
            </w:r>
          </w:p>
        </w:tc>
      </w:tr>
      <w:tr>
        <w:trPr>
          <w:trHeight w:val="178"/>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price when new</w:t>
            </w:r>
          </w:p>
        </w:tc>
      </w:tr>
      <w:tr>
        <w:trPr>
          <w:trHeight w:val="20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Aircraft engines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- 6 years, based on maintenance adjusted service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Sum of engine core salvage value plus the estimated</w:t>
            </w:r>
          </w:p>
        </w:tc>
      </w:tr>
      <w:tr>
        <w:trPr>
          <w:trHeight w:val="184"/>
        </w:trPr>
        <w:tc>
          <w:tcPr>
            <w:tcW w:w="4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life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600" w:type="dxa"/>
            <w:vAlign w:val="bottom"/>
            <w:gridSpan w:val="4"/>
          </w:tcPr>
          <w:p>
            <w:pPr>
              <w:ind w:left="20"/>
              <w:spacing w:after="0"/>
              <w:rPr>
                <w:sz w:val="20"/>
                <w:szCs w:val="20"/>
                <w:color w:val="auto"/>
              </w:rPr>
            </w:pPr>
            <w:r>
              <w:rPr>
                <w:rFonts w:ascii="Arial" w:cs="Arial" w:eastAsia="Arial" w:hAnsi="Arial"/>
                <w:sz w:val="14"/>
                <w:szCs w:val="14"/>
                <w:color w:val="auto"/>
              </w:rPr>
              <w:t>25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20% of new build cost</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Track and track related assets</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15</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- 50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site improvements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- 30 years</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Railroad equipment</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80" w:type="dxa"/>
            <w:vAlign w:val="bottom"/>
            <w:gridSpan w:val="3"/>
          </w:tcPr>
          <w:p>
            <w:pPr>
              <w:ind w:left="20"/>
              <w:spacing w:after="0"/>
              <w:rPr>
                <w:sz w:val="20"/>
                <w:szCs w:val="20"/>
                <w:color w:val="auto"/>
              </w:rPr>
            </w:pPr>
            <w:r>
              <w:rPr>
                <w:rFonts w:ascii="Arial" w:cs="Arial" w:eastAsia="Arial" w:hAnsi="Arial"/>
                <w:sz w:val="14"/>
                <w:szCs w:val="14"/>
                <w:color w:val="auto"/>
              </w:rPr>
              <w:t>- 15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Terminal machinery and equipment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- 25 years from date of manufacture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Vehicles</w:t>
            </w:r>
          </w:p>
        </w:tc>
        <w:tc>
          <w:tcPr>
            <w:tcW w:w="120" w:type="dxa"/>
            <w:vAlign w:val="bottom"/>
          </w:tcPr>
          <w:p>
            <w:pPr>
              <w:ind w:left="20"/>
              <w:spacing w:after="0"/>
              <w:rPr>
                <w:sz w:val="20"/>
                <w:szCs w:val="20"/>
                <w:color w:val="auto"/>
              </w:rPr>
            </w:pPr>
            <w:r>
              <w:rPr>
                <w:rFonts w:ascii="Arial" w:cs="Arial" w:eastAsia="Arial" w:hAnsi="Arial"/>
                <w:sz w:val="14"/>
                <w:szCs w:val="14"/>
                <w:color w:val="auto"/>
              </w:rPr>
              <w:t>5</w:t>
            </w:r>
          </w:p>
        </w:tc>
        <w:tc>
          <w:tcPr>
            <w:tcW w:w="3480" w:type="dxa"/>
            <w:vAlign w:val="bottom"/>
            <w:gridSpan w:val="3"/>
          </w:tcPr>
          <w:p>
            <w:pPr>
              <w:ind w:left="20"/>
              <w:spacing w:after="0"/>
              <w:rPr>
                <w:sz w:val="20"/>
                <w:szCs w:val="20"/>
                <w:color w:val="auto"/>
              </w:rPr>
            </w:pPr>
            <w:r>
              <w:rPr>
                <w:rFonts w:ascii="Arial" w:cs="Arial" w:eastAsia="Arial" w:hAnsi="Arial"/>
                <w:sz w:val="14"/>
                <w:szCs w:val="14"/>
                <w:color w:val="auto"/>
              </w:rPr>
              <w:t>- 7 years from date of manufacture</w:t>
            </w:r>
          </w:p>
        </w:tc>
        <w:tc>
          <w:tcPr>
            <w:tcW w:w="350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2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204"/>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3</w:t>
            </w:r>
          </w:p>
        </w:tc>
        <w:tc>
          <w:tcPr>
            <w:tcW w:w="3480" w:type="dxa"/>
            <w:vAlign w:val="bottom"/>
            <w:gridSpan w:val="3"/>
          </w:tcPr>
          <w:p>
            <w:pPr>
              <w:ind w:left="20"/>
              <w:spacing w:after="0"/>
              <w:rPr>
                <w:sz w:val="20"/>
                <w:szCs w:val="20"/>
                <w:color w:val="auto"/>
              </w:rPr>
            </w:pPr>
            <w:r>
              <w:rPr>
                <w:rFonts w:ascii="Arial" w:cs="Arial" w:eastAsia="Arial" w:hAnsi="Arial"/>
                <w:sz w:val="14"/>
                <w:szCs w:val="14"/>
                <w:color w:val="auto"/>
              </w:rPr>
              <w:t>- 5 years from date of purchase</w:t>
            </w:r>
          </w:p>
        </w:tc>
        <w:tc>
          <w:tcPr>
            <w:tcW w:w="3500" w:type="dxa"/>
            <w:vAlign w:val="bottom"/>
          </w:tcPr>
          <w:p>
            <w:pPr>
              <w:ind w:left="20"/>
              <w:spacing w:after="0"/>
              <w:rPr>
                <w:sz w:val="20"/>
                <w:szCs w:val="20"/>
                <w:color w:val="auto"/>
              </w:rPr>
            </w:pPr>
            <w:r>
              <w:rPr>
                <w:rFonts w:ascii="Arial" w:cs="Arial" w:eastAsia="Arial" w:hAnsi="Arial"/>
                <w:sz w:val="14"/>
                <w:szCs w:val="14"/>
                <w:color w:val="auto"/>
              </w:rPr>
              <w:t>None</w:t>
            </w:r>
          </w:p>
        </w:tc>
      </w:tr>
    </w:tbl>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between 30 and 60 months.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April 2018, through Ohio Gasco LLC, a consolidated subsidiary, we purchased a 40% working interest in approximately 21,000 acres of natural gas reserves located in southeastern Ohio. Our interest in this natural gas joint venture is consolidated on a proportionate basis in accordance with Accounting Standards Codification ("ASC") Topic 932 Extractive Activities – Oil and Gas. We follow the successful efforts method of accounting for costs incurred in oil and gas producing activities. Capitalized costs are amortized using the unit-of-production method based on total proved reserves.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construction projects and tax exempt bonds is capitalized and included in the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project. Interest capitalization ceases once a project is substantially complete or no longer undergoing construction activities to prepare it for its intended use. We capitalized interest of $10.7 million, $2.6 million and $2.7 million during the years ended December 31, 2018, 2017 and 2016, respectively.</w:t>
      </w:r>
    </w:p>
    <w:p>
      <w:pPr>
        <w:spacing w:after="0" w:line="7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Repairs and maintenance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expense of $8.7 million, $5.0 million and $3.7 million were recorded in operating expenses in the accompanying Consolidated Statements of Operations during the years ended December 31, 2018, 2017 and 2016, respectively.</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 circumstances,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we measure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revenue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121"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0000"/>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CMQR and Jefferson Terminal. The carrying amount of goodwill is approximately $116.6 million as of both December 31, 2018 and 2017.</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2018 or 2017.</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2019 subject to obtaining rail capacity for crude, permits for pipeline and movements in future oil spreads. Jefferson Terminal was designed to reach a storage capacity of 21.7 million barrels, and 2.1 million of storage, or approximately 10% of capacity, is currently operational. If our strategy changes from planned capacity downward due to an inability to source contracts or expand volumes, the fair value of the reporting units would be negatively affected, which could lead to an impairment.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during 2019.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due to strengthening macroeconomic conditions such as increased oil prices and projected increasing spreads between Western Canadian Crude and Western Texas Intermediate, we remain positive for the outlook of Jefferson Terminal’s earnings potential.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2017, and 2016 there was no impairment of goodwill.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 and existing customer relationships acquired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connection with the acquisitions of CMQR and Jefferson Terminal.</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collectively had a weighted-average remaining amortization period of approximately 33 months as of December 31, 2018, and are recorded as a component of equipment leasing revenues in the accompanying Consolidated Statements of Operations.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10 years, no estimated residual value, and amortization is recorded as a component of depreciation and amortization in the accompanying Consolidated Statements of Operations. The weighted-average remaining amortization period was approximately 68 months as of December 31, 2018.</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underlying loans. Unamortized deferred financing costs of $14.5 million and $11.4 million as of December 31, 2018 and December 31, 2017, respectively, are recorded as a component of debt in the accompanying Consolidated Balance Sheets. Amortization expense of $5.4 million, $4.2 million and $2.6 million for the years ended December 31, 2018, 2017 and 2016, respectively, are included as a component of interest expense in the accompanying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January 1, 2018, we adopted FASB ASU No. 2014-09, Revenue from Contracts with Customers (“ASC 606”) using the modified retrospective approach. ASC 606 requires revenue to be recognized when we transfer promised services to customers in amounts that reflect the consideration to which a company expects to be entitled in exchange for those services. The adoption of the standard did not have a material impact on our consolidated financial statements. See below for a detailed description of revenue recognition by our two strategic business units, Equipment Leasing and Infrastructure.</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Lease contracts within the scope of ASC 840, Leases (“ASC 840”) are specifically excluded from ASC 606, and lease contracts entered into by Equipment Leasing and Infrastructure are accounted for under ASC 840. However, Infrastructure revenues that do not qualify as leases or service arrangements embedded in lease contracts are accounted for under ASC 606. Payment terms are short term in nature and do not extend beyond one year. See Note 10 for additional details regarding the disaggregation of our revenues by segment.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Equipment Leasing Revenues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net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2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lease term, include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Infrastructure Revenues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freight movement, demurrage, unloading and switching. Freight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movement revenues are recognized proportionally based on distance as freight is transported from origin to destination. Accordingly, freight movement revenue is recognized over time with progress measured based on distance transpired, i.e., as the services are rendered and the customer simultaneously receives and consumes the benefit over time. Demurrage, unloading and switching are recognized in other miscellaneous rail revenues, for which demurrage progress is measured over time, and unloading and switching revenues are measured at a point in time as the service is rendered.</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relevant lease agreement.</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marketing revenue related to Canadian crude oil. Other revenue consists of two performance obligations: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handling and storage of raw materials. The revenues are recognized over time, i.e., as the services are rendered and the customer simultaneously receives and consumes the benefit over time.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years ended December 31, 2018 and 2016, we earned approximately 16% and 10%, respectively, of our revenue from one customer in the Jefferson Terminal segment. During the year ended December 31, 2017, no customer accounted for 10% of our revenue.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2018, accounts receivable from two customers in the Jefferson Terminal segment each represented 17% and 15% of total accounts receivable, net. As of December 31, 2017, accounts receivable from two customers in the Offshore Segment each represented 17% and 10% of total accounts receivable, net.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0000"/>
        </w:rPr>
        <w:t>—We determine the provision for doubtful accounts based on our assessment of the collectability of our receivables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customer-by-customer basis. The provision for doubtful accounts at December 31, 2018 and December 31, 2017 was $1.1 million and $1.0 million, respectively. Bad debt expense was $1.8 million, $0.7 million, and $0.2 million for the years ended December 31, 2018, 2017 and 2016,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 Recognition</w:t>
      </w:r>
      <w:r>
        <w:rPr>
          <w:rFonts w:ascii="Arial" w:cs="Arial" w:eastAsia="Arial" w:hAnsi="Arial"/>
          <w:sz w:val="16"/>
          <w:szCs w:val="16"/>
          <w:color w:val="000000"/>
        </w:rPr>
        <w:t>—Expenses are recognized on an accrual basis as incurred.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Acquisition and Transaction expenses</w:t>
      </w:r>
      <w:r>
        <w:rPr>
          <w:rFonts w:ascii="Arial" w:cs="Arial" w:eastAsia="Arial" w:hAnsi="Arial"/>
          <w:sz w:val="16"/>
          <w:szCs w:val="16"/>
          <w:color w:val="000000"/>
        </w:rPr>
        <w:t>—Acquisition and transaction expense is comprised of costs related to completed business combinations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terminated deal costs related to abandoned pursuits, including advisory, legal, accounting, valuation and other professional or consulting fees.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0000"/>
        </w:rPr>
        <w:t>—Comprehensive income (loss) is defined as the change in equity of a business enterprise during a period from transactions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other events and circumstances, excluding those resulting from investments by and distributions to owners. Our comprehensive income (loss) represents net income (loss), as presented in the Consolidated Statements of Operations, adjusted for fair value changes related to the available-for-sale securities and derivatives accounted for as cash flow hedges.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Derivative Financial Instruments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We enter into short-term and long-term crude forward contracts. Gains and losses related to our sales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purchase derivatives are recorded on a gross basis and are included in Other revenue and Operating expenses, respectively, in our Consolidated Statements of Operations. See Note 9 for additional details.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Foreign Currency</w:t>
      </w:r>
      <w:r>
        <w:rPr>
          <w:rFonts w:ascii="Arial" w:cs="Arial" w:eastAsia="Arial" w:hAnsi="Arial"/>
          <w:sz w:val="16"/>
          <w:szCs w:val="16"/>
          <w:color w:val="000000"/>
        </w:rPr>
        <w:t>—Our functional and reporting currency is the U.S. dollar. Purchases and sales of assets and income and expense items denominated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Income Taxes</w:t>
      </w:r>
      <w:r>
        <w:rPr>
          <w:rFonts w:ascii="Arial" w:cs="Arial" w:eastAsia="Arial" w:hAnsi="Arial"/>
          <w:sz w:val="16"/>
          <w:szCs w:val="16"/>
          <w:color w:val="000000"/>
        </w:rPr>
        <w:t>—A portion of our income earned by our corporate subsidiaries is subject to U.S. federal and state income taxation, taxed at prevailing rates.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remainder of our income is allocated directly to our partners and is not subject to a corporate level of taxation. Certain subsidiaries of ours are subject to income tax in the foreign countries in which they conduct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file income tax returns in the U.S. federal jurisdiction, various state jurisdictions and in certain foreign jurisdictions. The income tax returns filed by us and our subsidiaries are subject to examination by the U.S. federal, state and foreign tax authorities. We recognize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commodities inventory of $10.4 million and $8.9 million, leasing equipment purchase deposits of $10.2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and $12.3 million, lease incentives of $51.0 million and $23.8 million, prepaid expenses of $8.2 million and $4.1 million and derivative assets of $7.5 million and $1.0 million as of December 31, 2018 and December 31, 2017, respectively.</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In both the fourth quarters ended December 31, 2018 and 2017,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Board of Directors declared a cash dividend of $0.33 per share, for a total of $1.32 of dividends per share for each of the years ended December 31, 2018 and 2017.</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January 2016, the Financial Accounting Standards Board ("FASB") issued Accounting Standards Update ("ASU")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2016-01, </w:t>
      </w:r>
      <w:r>
        <w:rPr>
          <w:rFonts w:ascii="Arial" w:cs="Arial" w:eastAsia="Arial" w:hAnsi="Arial"/>
          <w:sz w:val="16"/>
          <w:szCs w:val="16"/>
          <w:i w:val="1"/>
          <w:iCs w:val="1"/>
          <w:color w:val="000000"/>
        </w:rPr>
        <w:t>Financial Instruments-Overall (Subtopic 825-10): Recognition and Measurement of Financial Assets and Financial Liabilities</w:t>
      </w:r>
      <w:r>
        <w:rPr>
          <w:rFonts w:ascii="Arial" w:cs="Arial" w:eastAsia="Arial" w:hAnsi="Arial"/>
          <w:sz w:val="16"/>
          <w:szCs w:val="16"/>
          <w:color w:val="000000"/>
        </w:rPr>
        <w:t xml:space="preserve"> (“ASU 2016-01”). ASU 2016-01 requires (i) equity investments, except those accounted for under the equity method of accounting or 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We adopted ASU 2016-01 as of January 1, 2018 and the adoption of this guidance did not have any impact on our consolidated financial statements.</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w:t>
      </w:r>
    </w:p>
    <w:p>
      <w:pPr>
        <w:spacing w:after="0" w:line="3" w:lineRule="exact"/>
        <w:rPr>
          <w:sz w:val="20"/>
          <w:szCs w:val="20"/>
          <w:color w:val="auto"/>
        </w:rPr>
      </w:pPr>
    </w:p>
    <w:p>
      <w:pPr>
        <w:ind w:firstLine="8"/>
        <w:spacing w:after="0" w:line="260" w:lineRule="auto"/>
        <w:tabs>
          <w:tab w:leader="none" w:pos="34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and separately identifiable cash flows and application of the predominance principle. We adopted ASU 2016-15 as of January 1, 2018 and the adoption of this guidance did not have a material impact on the presentation of our Statements of Cash Flows.</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xml:space="preserve"> (“ASU 2016-16”).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Consolidation, or for an intra-entity transfer of inventory. We adopted ASU 2016-16 as of January 1, 2018 and the adoption of this guidance did not have an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We adopted ASU 2016-18 as of January 1, 2018 and the adoption resulted in the following changes to our reported cash flows from investing and financing activities for the years ended December 31,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Pr>
          <w:p>
            <w:pPr>
              <w:spacing w:after="0"/>
              <w:rPr>
                <w:sz w:val="17"/>
                <w:szCs w:val="17"/>
                <w:color w:val="auto"/>
              </w:rPr>
            </w:pPr>
          </w:p>
        </w:tc>
        <w:tc>
          <w:tcPr>
            <w:tcW w:w="4100" w:type="dxa"/>
            <w:vAlign w:val="bottom"/>
            <w:gridSpan w:val="7"/>
          </w:tcPr>
          <w:p>
            <w:pPr>
              <w:jc w:val="center"/>
              <w:ind w:right="68"/>
              <w:spacing w:after="0"/>
              <w:rPr>
                <w:sz w:val="20"/>
                <w:szCs w:val="20"/>
                <w:color w:val="auto"/>
              </w:rPr>
            </w:pPr>
            <w:r>
              <w:rPr>
                <w:rFonts w:ascii="Arial" w:cs="Arial" w:eastAsia="Arial" w:hAnsi="Arial"/>
                <w:sz w:val="14"/>
                <w:szCs w:val="14"/>
                <w:b w:val="1"/>
                <w:bCs w:val="1"/>
                <w:color w:val="auto"/>
              </w:rPr>
              <w:t>Year Ended December 31, 2016</w:t>
            </w:r>
          </w:p>
        </w:tc>
      </w:tr>
      <w:tr>
        <w:trPr>
          <w:trHeight w:val="175"/>
        </w:trPr>
        <w:tc>
          <w:tcPr>
            <w:tcW w:w="28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As Previously</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7"/>
                <w:szCs w:val="17"/>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As Reported</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(213,098)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(210,749)</w:t>
            </w:r>
          </w:p>
        </w:tc>
      </w:tr>
      <w:tr>
        <w:trPr>
          <w:trHeight w:val="194"/>
        </w:trPr>
        <w:tc>
          <w:tcPr>
            <w:tcW w:w="2840" w:type="dxa"/>
            <w:vAlign w:val="bottom"/>
          </w:tcPr>
          <w:p>
            <w:pPr>
              <w:ind w:left="20"/>
              <w:spacing w:after="0"/>
              <w:rPr>
                <w:sz w:val="20"/>
                <w:szCs w:val="20"/>
                <w:color w:val="auto"/>
              </w:rPr>
            </w:pPr>
            <w:r>
              <w:rPr>
                <w:rFonts w:ascii="Arial" w:cs="Arial" w:eastAsia="Arial" w:hAnsi="Arial"/>
                <w:sz w:val="14"/>
                <w:szCs w:val="14"/>
                <w:color w:val="auto"/>
              </w:rPr>
              <w:t>Net cash provided by (used in) financing</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2"/>
        </w:trPr>
        <w:tc>
          <w:tcPr>
            <w:tcW w:w="2840" w:type="dxa"/>
            <w:vAlign w:val="bottom"/>
          </w:tcPr>
          <w:p>
            <w:pPr>
              <w:ind w:left="20"/>
              <w:spacing w:after="0"/>
              <w:rPr>
                <w:sz w:val="20"/>
                <w:szCs w:val="20"/>
                <w:color w:val="auto"/>
              </w:rPr>
            </w:pPr>
            <w:r>
              <w:rPr>
                <w:rFonts w:ascii="Arial" w:cs="Arial" w:eastAsia="Arial" w:hAnsi="Arial"/>
                <w:sz w:val="14"/>
                <w:szCs w:val="14"/>
                <w:color w:val="auto"/>
              </w:rPr>
              <w:t>activities</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363,078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363,078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(131,453)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41,482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(89,971)</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ASU 2017-05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We adopted ASU 2017-05 as of January 1, 2018 and the adoption of this guidance did not have an impact on our consolidated financial statements.</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2017-09"), which provides guidance about which changes to the terms or conditions of a share-based payment award require an 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apply modification accounting in Topic 718. ASU 2017-09 is to be applied on a prospective basis to an award modified on or after the adoption date. We adopted ASU 2017-09 as of January 1, 2018 and the adoption of this guidance did not have an impact on our consolidated financial statements.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 subsequently amended by ASU 2018-01, 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2018-11 and ASU 2018-20, collectively “ASU 2016-02”). ASU 2016-02 amends the existing accounting standards for lease accounting, including requiring lessees to recognize most leases on their balance sheets and making targeted changes to lessor accounting. Additionally, ASU 2018-20 provides certain narrow-scope improvements as it relates to lessors.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w:t>
      </w:r>
    </w:p>
    <w:p>
      <w:pPr>
        <w:spacing w:after="0" w:line="8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will adopt ASC 842 on January 1, 2019 under the modified retrospective transition approach using the date of initial application as the effective date. Therefore, financial information and disclosures under ASC 842 will not be provided for periods prior to January 1, 2019. We will elect the ‘package of practical expedients’, which permits us not to reassess under the new standard our prior conclusions about lease identification, lease classification and initial direct costs. In addition, we will implement accounting policy elections to (i) not separate lease and non-lease components for both lessee and lessor relationships and (ii) not capitalize any leases with initial terms of less than twelve months on our balance sheet. Although our evaluation is ongoing, upon adoption of this ASU we expect to recognize right-of-use assets and lease liabilities, which primarily relate to a ground lease and railcar leases, of approximately $44 million to $49 million on our consolidated balance sheets. We do not expect this ASU to have a material impact on our results of operations 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contractual right to receive cash. ASU 2016-13 will be effective for fiscal years beginning after December 15, 2019, including interim periods within those fiscal years. We are currently evaluating the impact of adopting this new guidance on our consolidated financial statements.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addresses concerns over the cost and complexity of the two-step goodwill impairment test by removing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Targeted Improvements to Accounting for Hedging Activities</w:t>
      </w:r>
      <w:r>
        <w:rPr>
          <w:rFonts w:ascii="Arial" w:cs="Arial" w:eastAsia="Arial" w:hAnsi="Arial"/>
          <w:sz w:val="16"/>
          <w:szCs w:val="16"/>
          <w:color w:val="auto"/>
        </w:rPr>
        <w:t>, which improves the financial reporting of hedging relationships to better represent the economic results of an entity’s risk management activities in its financial statements and make certain improvements to simplify the application of the hedge accounting guidance. The amendments will make more financial and nonfinancial hedging strategies eligible for hedge accounting, amend the presentation and disclosure requirements and change how entities assess effectiveness. Entities are required to apply the amendments as a cumulative-effect adjustment to retained earnings as of the beginning of the first reporting period after adoption. This ASU will be effective for fiscal years beginning after December 15, 2018 and early adoption is permitted. We are currently evaluating the impact of adopting this new guidance on our consolidated financial statements.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w:t>
      </w:r>
      <w:r>
        <w:rPr>
          <w:rFonts w:ascii="Arial" w:cs="Arial" w:eastAsia="Arial" w:hAnsi="Arial"/>
          <w:sz w:val="16"/>
          <w:szCs w:val="16"/>
          <w:color w:val="auto"/>
        </w:rPr>
        <w:t>g to simplify the accounting for share-based payments to nonemployees by aligning it with the accounting for share-based payments to employees, with certain exceptions. The new guidance expands the scope of ASC 718 to include share-based payments granted to nonemployees in exchange for goods or services used or consumed in an entity’s own operations and supersedes the guidance in ASC 505-50. The guidance is effective for public business entities in annual periods beginning after December 15, 2018, and interim periods within those annual periods, and early adoption is permitted. We are currently evaluating the impact of adopting this new guidance on our consolidated financial statements.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are currently evaluating the impact of adopting this new guidance on our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3. LEASING EQUIPMENT, 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2017</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1,672,156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1,217,862</w:t>
            </w:r>
          </w:p>
        </w:tc>
      </w:t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(239,946)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(143,732)</w:t>
            </w: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1,432,210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1,074,130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year ended December 31, 2018, we acquired 29 aircraft and 34 commercial engines, and sold one aircraft and 13 commercial engines. During the year ended December 31, 2017, we acquired 25 aircraft and 58 commercial engines, and sold three aircraft and 14 commercial engines. We recognized gains of $3.9 million, $7.2 million and $5.2 million related to the sale of these assets in the years ended December 31, 2018, 2017 and 2016, respectively, which were recorded in Gain on sale of assets, net in our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expense for leasing equipment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FINANCE LEASES, 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net are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spacing w:after="0"/>
              <w:rPr>
                <w:sz w:val="16"/>
                <w:szCs w:val="16"/>
                <w:color w:val="auto"/>
              </w:rPr>
            </w:pPr>
          </w:p>
        </w:tc>
      </w:tr>
      <w:tr>
        <w:trPr>
          <w:trHeight w:val="26"/>
        </w:trPr>
        <w:tc>
          <w:tcPr>
            <w:tcW w:w="7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72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2017</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16,015</w:t>
            </w:r>
          </w:p>
        </w:tc>
      </w:tr>
      <w:tr>
        <w:trPr>
          <w:trHeight w:val="21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(9,853)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w:t>
            </w:r>
          </w:p>
        </w:tc>
      </w:tr>
      <w:tr>
        <w:trPr>
          <w:trHeight w:val="24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18,623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During the first quarter of 2016, we completed the sale of approximately 42,000 shipping containers that were subject to direct finance leases for a modest gain.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future minimum lease payments to be received under finance leases for the remainder of the lease terms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8,231</w:t>
            </w:r>
          </w:p>
        </w:tc>
      </w:tr>
      <w:tr>
        <w:trPr>
          <w:trHeight w:val="210"/>
        </w:trPr>
        <w:tc>
          <w:tcPr>
            <w:tcW w:w="9400" w:type="dxa"/>
            <w:vAlign w:val="bottom"/>
          </w:tcPr>
          <w:p>
            <w:pPr>
              <w:ind w:left="20"/>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10,257</w:t>
            </w:r>
          </w:p>
        </w:tc>
      </w:tr>
      <w:tr>
        <w:trPr>
          <w:trHeight w:val="222"/>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210"/>
        </w:trPr>
        <w:tc>
          <w:tcPr>
            <w:tcW w:w="9400" w:type="dxa"/>
            <w:vAlign w:val="bottom"/>
          </w:tcPr>
          <w:p>
            <w:pPr>
              <w:ind w:left="20"/>
              <w:spacing w:after="0"/>
              <w:rPr>
                <w:sz w:val="20"/>
                <w:szCs w:val="20"/>
                <w:color w:val="auto"/>
              </w:rPr>
            </w:pPr>
            <w:r>
              <w:rPr>
                <w:rFonts w:ascii="Arial" w:cs="Arial" w:eastAsia="Arial" w:hAnsi="Arial"/>
                <w:sz w:val="14"/>
                <w:szCs w:val="14"/>
                <w:color w:val="auto"/>
              </w:rPr>
              <w:t>2022</w:t>
            </w: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2,008</w:t>
            </w:r>
          </w:p>
        </w:tc>
      </w:tr>
      <w:tr>
        <w:trPr>
          <w:trHeight w:val="222"/>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5,972</w:t>
            </w:r>
          </w:p>
        </w:tc>
      </w:tr>
      <w:tr>
        <w:trPr>
          <w:trHeight w:val="21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28,476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PROPERTY, PLANT AND EQUIPMENT, 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210"/>
        </w:trPr>
        <w:tc>
          <w:tcPr>
            <w:tcW w:w="7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75,028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74,268</w:t>
            </w:r>
          </w:p>
        </w:tc>
      </w:tr>
      <w:tr>
        <w:trPr>
          <w:trHeight w:val="216"/>
        </w:trPr>
        <w:tc>
          <w:tcPr>
            <w:tcW w:w="7260" w:type="dxa"/>
            <w:vAlign w:val="bottom"/>
          </w:tcPr>
          <w:p>
            <w:pPr>
              <w:ind w:left="20"/>
              <w:spacing w:after="0"/>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8"/>
                <w:szCs w:val="18"/>
                <w:color w:val="auto"/>
                <w:vertAlign w:val="superscript"/>
              </w:rPr>
              <w:t>(1)</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253,239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100,420</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14,514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349,227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299,444</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Proved oil and gas properties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Track and track related assets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42,349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35,371</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equipment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Railcars and locomotives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4,513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3,429</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hardware and software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w:t>
            </w:r>
          </w:p>
        </w:tc>
      </w:tr>
      <w:tr>
        <w:trPr>
          <w:trHeight w:val="210"/>
        </w:trPr>
        <w:tc>
          <w:tcPr>
            <w:tcW w:w="72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544</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w:t>
            </w:r>
          </w:p>
        </w:tc>
      </w:tr>
      <w:tr>
        <w:trPr>
          <w:trHeight w:val="210"/>
        </w:trPr>
        <w:tc>
          <w:tcPr>
            <w:tcW w:w="7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770,366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528,925</w:t>
            </w: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(63,032)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(40,605)</w:t>
            </w:r>
          </w:p>
        </w:tc>
      </w:tr>
      <w:tr>
        <w:trPr>
          <w:trHeight w:val="21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Spare parts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w:t>
            </w:r>
          </w:p>
        </w:tc>
      </w:tr>
      <w:tr>
        <w:trPr>
          <w:trHeight w:val="241"/>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708,853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489,949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70"/>
        </w:numPr>
        <w:rPr>
          <w:rFonts w:ascii="Arial" w:cs="Arial" w:eastAsia="Arial" w:hAnsi="Arial"/>
          <w:sz w:val="16"/>
          <w:szCs w:val="16"/>
          <w:color w:val="auto"/>
          <w:vertAlign w:val="superscript"/>
        </w:rPr>
      </w:pPr>
      <w:r>
        <w:rPr>
          <w:rFonts w:ascii="Arial" w:cs="Arial" w:eastAsia="Arial" w:hAnsi="Arial"/>
          <w:sz w:val="12"/>
          <w:szCs w:val="12"/>
          <w:color w:val="auto"/>
        </w:rPr>
        <w:t>Includes unproved oil and gas properties of $59,930.</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During the years ended December 31, 2018 and 2017, additional property, plant and equipment of $241.3 million and $152.3 million were acquired, respectively, primarily consisting of the purchase of construction in progress, terminal machinery and equipment, and oil and gas properties.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16, 2017, we purchased the assets of Long Ridge for $30.0 million through one of our consolidated subsidiaries. The assets acquired consisted primarily of land, buildings, railroad track, docks, water rights, site improvements and other rights. As part of the transaction, additional amounts of $2.3 million were capitalized for costs directly related to the purchase, including costs for legal advice, exploratory diligence, and regulatory permitting. Long Ridge is part of the Ports and Terminals segment as of December 31, 2018.</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expense for property, plant and equipment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22,744</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Carrying Value</w:t>
            </w:r>
          </w:p>
        </w:tc>
      </w:tr>
      <w:tr>
        <w:trPr>
          <w:trHeight w:val="210"/>
        </w:trPr>
        <w:tc>
          <w:tcPr>
            <w:tcW w:w="274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2017</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13,724</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2280" w:type="dxa"/>
            <w:vAlign w:val="bottom"/>
            <w:gridSpan w:val="2"/>
          </w:tcPr>
          <w:p>
            <w:pPr>
              <w:ind w:left="560"/>
              <w:spacing w:after="0"/>
              <w:rPr>
                <w:sz w:val="20"/>
                <w:szCs w:val="20"/>
                <w:color w:val="auto"/>
              </w:rPr>
            </w:pPr>
            <w:r>
              <w:rPr>
                <w:rFonts w:ascii="Arial" w:cs="Arial" w:eastAsia="Arial" w:hAnsi="Arial"/>
                <w:sz w:val="14"/>
                <w:szCs w:val="14"/>
                <w:color w:val="auto"/>
              </w:rPr>
              <w:t>Equity method</w:t>
            </w:r>
          </w:p>
        </w:tc>
        <w:tc>
          <w:tcPr>
            <w:tcW w:w="2180" w:type="dxa"/>
            <w:vAlign w:val="bottom"/>
          </w:tcPr>
          <w:p>
            <w:pPr>
              <w:jc w:val="right"/>
              <w:ind w:right="9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25,461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24,920</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22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Equity method</w:t>
            </w:r>
          </w:p>
        </w:tc>
        <w:tc>
          <w:tcPr>
            <w:tcW w:w="218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3,894</w:t>
            </w:r>
          </w:p>
        </w:tc>
      </w:tr>
      <w:tr>
        <w:trPr>
          <w:trHeight w:val="210"/>
        </w:trPr>
        <w:tc>
          <w:tcPr>
            <w:tcW w:w="2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40,560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42,538</w:t>
            </w:r>
          </w:p>
        </w:tc>
      </w:tr>
      <w:tr>
        <w:trPr>
          <w:trHeight w:val="27"/>
        </w:trPr>
        <w:tc>
          <w:tcPr>
            <w:tcW w:w="2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Advanced Engine Repair JV</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2016, we invested $15.0 million for a 25% interest in an advanced engine repair joint venture. We focus on developing new costs savings programs for engine repairs. We exercise significant influence over this investment and account for this investment as an equity method investment. Our proportionate share of equity in losses was $0.7 million, $1.3 million and $0.0 million for the years ended December 31, 2018, 2017 and 2016,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JGP</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 Our proportionate share of equity in losses was $0.6 million, $0.3 million and $0.0 million for the years ended December 31, 2018, 2017 and 2016,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presents summarized financial information for our equity method investments, excluding Intermodal Finance I, Ltd: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7"/>
                <w:szCs w:val="17"/>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7"/>
                <w:szCs w:val="17"/>
                <w:color w:val="auto"/>
              </w:rPr>
            </w:pPr>
          </w:p>
        </w:tc>
        <w:tc>
          <w:tcPr>
            <w:tcW w:w="192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 2017</w:t>
            </w:r>
          </w:p>
        </w:tc>
      </w:tr>
      <w:tr>
        <w:trPr>
          <w:trHeight w:val="202"/>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r>
      <w:tr>
        <w:trPr>
          <w:trHeight w:val="210"/>
        </w:trPr>
        <w:tc>
          <w:tcPr>
            <w:tcW w:w="68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7,870</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9,904</w:t>
            </w:r>
          </w:p>
        </w:tc>
      </w:tr>
      <w:tr>
        <w:trPr>
          <w:trHeight w:val="222"/>
        </w:trPr>
        <w:tc>
          <w:tcPr>
            <w:tcW w:w="6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r>
      <w:tr>
        <w:trPr>
          <w:trHeight w:val="210"/>
        </w:trPr>
        <w:tc>
          <w:tcPr>
            <w:tcW w:w="686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905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1,282</w:t>
            </w:r>
          </w:p>
        </w:tc>
      </w:tr>
      <w:tr>
        <w:trPr>
          <w:trHeight w:val="222"/>
        </w:trPr>
        <w:tc>
          <w:tcPr>
            <w:tcW w:w="6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r>
      <w:tr>
        <w:trPr>
          <w:trHeight w:val="210"/>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50,042</w:t>
            </w:r>
          </w:p>
        </w:tc>
      </w:tr>
      <w:tr>
        <w:trPr>
          <w:trHeight w:val="241"/>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107,409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5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2,736</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Total liabilities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r>
      <w:tr>
        <w:trPr>
          <w:trHeight w:val="203"/>
        </w:trPr>
        <w:tc>
          <w:tcPr>
            <w:tcW w:w="4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0"/>
        </w:trPr>
        <w:tc>
          <w:tcPr>
            <w:tcW w:w="4520" w:type="dxa"/>
            <w:vAlign w:val="bottom"/>
          </w:tcPr>
          <w:p>
            <w:pPr>
              <w:ind w:left="120"/>
              <w:spacing w:after="0"/>
              <w:rPr>
                <w:sz w:val="20"/>
                <w:szCs w:val="20"/>
                <w:color w:val="auto"/>
              </w:rPr>
            </w:pPr>
            <w:r>
              <w:rPr>
                <w:rFonts w:ascii="Arial" w:cs="Arial" w:eastAsia="Arial" w:hAnsi="Arial"/>
                <w:sz w:val="14"/>
                <w:szCs w:val="14"/>
                <w:color w:val="auto"/>
              </w:rPr>
              <w:t>Shareholders’ equity</w:t>
            </w: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112,326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110,520</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loss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(9,971)</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(5,847)</w:t>
            </w:r>
          </w:p>
        </w:tc>
      </w:tr>
      <w:tr>
        <w:trPr>
          <w:trHeight w:val="21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equity</w:t>
            </w:r>
          </w:p>
        </w:tc>
        <w:tc>
          <w:tcPr>
            <w:tcW w:w="5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102,355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104,673</w:t>
            </w:r>
          </w:p>
        </w:tc>
      </w:tr>
      <w:tr>
        <w:trPr>
          <w:trHeight w:val="24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5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104,610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107,409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711"/>
        </w:trPr>
        <w:tc>
          <w:tcPr>
            <w:tcW w:w="45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1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2016</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Revenue</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0"/>
        </w:trPr>
        <w:tc>
          <w:tcPr>
            <w:tcW w:w="4520" w:type="dxa"/>
            <w:vAlign w:val="bottom"/>
          </w:tcPr>
          <w:p>
            <w:pPr>
              <w:ind w:left="120"/>
              <w:spacing w:after="0"/>
              <w:rPr>
                <w:sz w:val="20"/>
                <w:szCs w:val="20"/>
                <w:color w:val="auto"/>
              </w:rPr>
            </w:pPr>
            <w:r>
              <w:rPr>
                <w:rFonts w:ascii="Arial" w:cs="Arial" w:eastAsia="Arial" w:hAnsi="Arial"/>
                <w:sz w:val="14"/>
                <w:szCs w:val="14"/>
                <w:color w:val="auto"/>
              </w:rPr>
              <w:t>Research and development cost</w:t>
            </w: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2,134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4,073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expense</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10"/>
        </w:trPr>
        <w:tc>
          <w:tcPr>
            <w:tcW w:w="4520" w:type="dxa"/>
            <w:vAlign w:val="bottom"/>
          </w:tcPr>
          <w:p>
            <w:pPr>
              <w:ind w:left="120"/>
              <w:spacing w:after="0"/>
              <w:rPr>
                <w:sz w:val="20"/>
                <w:szCs w:val="20"/>
                <w:color w:val="auto"/>
              </w:rPr>
            </w:pPr>
            <w:r>
              <w:rPr>
                <w:rFonts w:ascii="Arial" w:cs="Arial" w:eastAsia="Arial" w:hAnsi="Arial"/>
                <w:sz w:val="14"/>
                <w:szCs w:val="14"/>
                <w:color w:val="auto"/>
              </w:rPr>
              <w:t>General and administrative expenses</w:t>
            </w: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Expenses</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10"/>
        </w:trPr>
        <w:tc>
          <w:tcPr>
            <w:tcW w:w="452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5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5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Company’s share of loss</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(1,317)</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Intermodal Finance I, Ltd.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2018, Intermodal owns a portfolio of multiple finance leases, representing two customers and comprising approximately 3,000 shipping containers, as well as a portfolio of approximately 5,000 shipping containers subject to multiple operating leases. During the year ended December 31, 2016, Intermodal recorded an asset impairment charge of $6.0 million, which resulted from certain operating leases not being renewed and containers being returned at a faster pace than expected. Our proportionate share of the impairment charge was $3.1 million based on our 51% ownership percentage. Intermodal didn't have any impairment charges during the years ended December 31, 2018 and 2017. Our proportionate share of equity in earnings (losses) was $0.3 million, $(0.2) million, $(6.0) million for the years ended December 31, 2018, 2017, and 2016,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Intermodal as of and for the years ended December 31, 2018 (unaudited), 2017, and 2016, are presented herein.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7. INTANGIBLE ASSETS AND LIABILITIES, 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48,143</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48,143</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(29,780)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(29,780)</w:t>
            </w: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18,363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18,363</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35,738</w:t>
            </w: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(15,378)</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(15,588)</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20,135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20,150</w:t>
            </w:r>
          </w:p>
        </w:tc>
      </w:tr>
      <w:tr>
        <w:trPr>
          <w:trHeight w:val="21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18,363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20,135</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38,513</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3,736</w:t>
            </w: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(2,114)</w:t>
            </w:r>
          </w:p>
        </w:tc>
      </w:tr>
      <w:tr>
        <w:trPr>
          <w:trHeight w:val="23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1,622</w:t>
            </w: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84"/>
        </w:trPr>
        <w:tc>
          <w:tcPr>
            <w:tcW w:w="5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36,747</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36,747</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r>
      <w:tr>
        <w:trPr>
          <w:trHeight w:val="20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16,295</w:t>
            </w: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35,738</w:t>
            </w: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(11,990)</w:t>
            </w: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23,748</w:t>
            </w:r>
          </w:p>
        </w:tc>
      </w:tr>
      <w:tr>
        <w:trPr>
          <w:trHeight w:val="21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16,295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23,688</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40,043</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w:t>
            </w: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Pr>
          <w:p>
            <w:pPr>
              <w:spacing w:after="0"/>
              <w:rPr>
                <w:sz w:val="17"/>
                <w:szCs w:val="17"/>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Classification in Consolidated</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10"/>
        </w:trPr>
        <w:tc>
          <w:tcPr>
            <w:tcW w:w="256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4,979</w:t>
            </w:r>
          </w:p>
        </w:tc>
      </w:tr>
      <w:tr>
        <w:trPr>
          <w:trHeight w:val="21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3,598</w:t>
            </w: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12,186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8,577</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estimated net annual amortization of intangibles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3773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39" w:hanging="1339"/>
        <w:spacing w:after="0"/>
        <w:tabs>
          <w:tab w:leader="none" w:pos="1339" w:val="left"/>
        </w:tabs>
        <w:numPr>
          <w:ilvl w:val="0"/>
          <w:numId w:val="71"/>
        </w:numPr>
        <w:rPr>
          <w:rFonts w:ascii="Arial" w:cs="Arial" w:eastAsia="Arial" w:hAnsi="Arial"/>
          <w:sz w:val="14"/>
          <w:szCs w:val="14"/>
          <w:color w:val="auto"/>
        </w:rPr>
      </w:pPr>
      <w:r>
        <w:rPr>
          <w:rFonts w:ascii="Arial" w:cs="Arial" w:eastAsia="Arial" w:hAnsi="Arial"/>
          <w:sz w:val="14"/>
          <w:szCs w:val="14"/>
          <w:color w:val="auto"/>
        </w:rPr>
        <w:t>11,244</w:t>
      </w:r>
    </w:p>
    <w:p>
      <w:pPr>
        <w:spacing w:after="0" w:line="55" w:lineRule="exact"/>
        <w:rPr>
          <w:rFonts w:ascii="Arial" w:cs="Arial" w:eastAsia="Arial" w:hAnsi="Arial"/>
          <w:sz w:val="14"/>
          <w:szCs w:val="14"/>
          <w:color w:val="auto"/>
        </w:rPr>
      </w:pPr>
    </w:p>
    <w:p>
      <w:pPr>
        <w:ind w:left="1419"/>
        <w:spacing w:after="0"/>
        <w:rPr>
          <w:rFonts w:ascii="Arial" w:cs="Arial" w:eastAsia="Arial" w:hAnsi="Arial"/>
          <w:sz w:val="14"/>
          <w:szCs w:val="14"/>
          <w:color w:val="auto"/>
        </w:rPr>
      </w:pPr>
      <w:r>
        <w:rPr>
          <w:rFonts w:ascii="Arial" w:cs="Arial" w:eastAsia="Arial" w:hAnsi="Arial"/>
          <w:sz w:val="14"/>
          <w:szCs w:val="14"/>
          <w:color w:val="auto"/>
        </w:rPr>
        <w:t>8,746</w:t>
      </w:r>
    </w:p>
    <w:p>
      <w:pPr>
        <w:spacing w:after="0" w:line="55" w:lineRule="exact"/>
        <w:rPr>
          <w:rFonts w:ascii="Arial" w:cs="Arial" w:eastAsia="Arial" w:hAnsi="Arial"/>
          <w:sz w:val="14"/>
          <w:szCs w:val="14"/>
          <w:color w:val="auto"/>
        </w:rPr>
      </w:pPr>
    </w:p>
    <w:p>
      <w:pPr>
        <w:ind w:left="1419"/>
        <w:spacing w:after="0"/>
        <w:rPr>
          <w:rFonts w:ascii="Arial" w:cs="Arial" w:eastAsia="Arial" w:hAnsi="Arial"/>
          <w:sz w:val="14"/>
          <w:szCs w:val="14"/>
          <w:color w:val="auto"/>
        </w:rPr>
      </w:pPr>
      <w:r>
        <w:rPr>
          <w:rFonts w:ascii="Arial" w:cs="Arial" w:eastAsia="Arial" w:hAnsi="Arial"/>
          <w:sz w:val="14"/>
          <w:szCs w:val="14"/>
          <w:color w:val="auto"/>
        </w:rPr>
        <w:t>6,472</w:t>
      </w:r>
    </w:p>
    <w:p>
      <w:pPr>
        <w:spacing w:after="0" w:line="55" w:lineRule="exact"/>
        <w:rPr>
          <w:rFonts w:ascii="Arial" w:cs="Arial" w:eastAsia="Arial" w:hAnsi="Arial"/>
          <w:sz w:val="14"/>
          <w:szCs w:val="14"/>
          <w:color w:val="auto"/>
        </w:rPr>
      </w:pPr>
    </w:p>
    <w:p>
      <w:pPr>
        <w:ind w:left="1419"/>
        <w:spacing w:after="0"/>
        <w:rPr>
          <w:rFonts w:ascii="Arial" w:cs="Arial" w:eastAsia="Arial" w:hAnsi="Arial"/>
          <w:sz w:val="14"/>
          <w:szCs w:val="14"/>
          <w:color w:val="auto"/>
        </w:rPr>
      </w:pPr>
      <w:r>
        <w:rPr>
          <w:rFonts w:ascii="Arial" w:cs="Arial" w:eastAsia="Arial" w:hAnsi="Arial"/>
          <w:sz w:val="14"/>
          <w:szCs w:val="14"/>
          <w:color w:val="auto"/>
        </w:rPr>
        <w:t>4,438</w:t>
      </w:r>
    </w:p>
    <w:p>
      <w:pPr>
        <w:spacing w:after="0" w:line="55" w:lineRule="exact"/>
        <w:rPr>
          <w:rFonts w:ascii="Arial" w:cs="Arial" w:eastAsia="Arial" w:hAnsi="Arial"/>
          <w:sz w:val="14"/>
          <w:szCs w:val="14"/>
          <w:color w:val="auto"/>
        </w:rPr>
      </w:pPr>
    </w:p>
    <w:p>
      <w:pPr>
        <w:ind w:left="1419"/>
        <w:spacing w:after="0"/>
        <w:rPr>
          <w:rFonts w:ascii="Arial" w:cs="Arial" w:eastAsia="Arial" w:hAnsi="Arial"/>
          <w:sz w:val="14"/>
          <w:szCs w:val="14"/>
          <w:color w:val="auto"/>
        </w:rPr>
      </w:pPr>
      <w:r>
        <w:rPr>
          <w:rFonts w:ascii="Arial" w:cs="Arial" w:eastAsia="Arial" w:hAnsi="Arial"/>
          <w:sz w:val="14"/>
          <w:szCs w:val="14"/>
          <w:color w:val="auto"/>
        </w:rPr>
        <w:t>3,612</w:t>
      </w:r>
    </w:p>
    <w:p>
      <w:pPr>
        <w:spacing w:after="0" w:line="55" w:lineRule="exact"/>
        <w:rPr>
          <w:rFonts w:ascii="Arial" w:cs="Arial" w:eastAsia="Arial" w:hAnsi="Arial"/>
          <w:sz w:val="14"/>
          <w:szCs w:val="14"/>
          <w:color w:val="auto"/>
        </w:rPr>
      </w:pPr>
    </w:p>
    <w:p>
      <w:pPr>
        <w:ind w:left="1419"/>
        <w:spacing w:after="0"/>
        <w:rPr>
          <w:rFonts w:ascii="Arial" w:cs="Arial" w:eastAsia="Arial" w:hAnsi="Arial"/>
          <w:sz w:val="14"/>
          <w:szCs w:val="14"/>
          <w:color w:val="auto"/>
        </w:rPr>
      </w:pPr>
      <w:r>
        <w:rPr>
          <w:rFonts w:ascii="Arial" w:cs="Arial" w:eastAsia="Arial" w:hAnsi="Arial"/>
          <w:sz w:val="14"/>
          <w:szCs w:val="14"/>
          <w:color w:val="auto"/>
        </w:rPr>
        <w:t>2,379</w:t>
      </w:r>
    </w:p>
    <w:p>
      <w:pPr>
        <w:spacing w:after="0" w:line="51" w:lineRule="exact"/>
        <w:rPr>
          <w:sz w:val="20"/>
          <w:szCs w:val="20"/>
          <w:color w:val="auto"/>
        </w:rPr>
      </w:pPr>
    </w:p>
    <w:p>
      <w:pPr>
        <w:ind w:left="1339" w:hanging="1339"/>
        <w:spacing w:after="0"/>
        <w:tabs>
          <w:tab w:leader="none" w:pos="1339"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36,891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1183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41" w:space="720"/>
            <w:col w:w="1859"/>
          </w:cols>
          <w:pgMar w:left="240" w:top="121" w:right="23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8. DEBT, 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2"/>
          </w:tcPr>
          <w:p>
            <w:pPr>
              <w:ind w:left="1680"/>
              <w:spacing w:after="0"/>
              <w:rPr>
                <w:sz w:val="20"/>
                <w:szCs w:val="20"/>
                <w:color w:val="auto"/>
              </w:rPr>
            </w:pPr>
            <w:r>
              <w:rPr>
                <w:rFonts w:ascii="Arial" w:cs="Arial" w:eastAsia="Arial" w:hAnsi="Arial"/>
                <w:sz w:val="14"/>
                <w:szCs w:val="14"/>
                <w:b w:val="1"/>
                <w:bCs w:val="1"/>
                <w:color w:val="auto"/>
              </w:rPr>
              <w:t>December 31, 2018</w:t>
            </w: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7"/>
                <w:szCs w:val="17"/>
                <w:color w:val="auto"/>
              </w:rPr>
            </w:pPr>
          </w:p>
        </w:tc>
        <w:tc>
          <w:tcPr>
            <w:tcW w:w="4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Stated Interest Rate</w:t>
            </w: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Borrowings</w:t>
            </w:r>
          </w:p>
        </w:tc>
        <w:tc>
          <w:tcPr>
            <w:tcW w:w="0" w:type="dxa"/>
            <w:vAlign w:val="bottom"/>
          </w:tcPr>
          <w:p>
            <w:pPr>
              <w:spacing w:after="0"/>
              <w:rPr>
                <w:sz w:val="1"/>
                <w:szCs w:val="1"/>
                <w:color w:val="auto"/>
              </w:rPr>
            </w:pPr>
          </w:p>
        </w:tc>
      </w:tr>
      <w:tr>
        <w:trPr>
          <w:trHeight w:val="202"/>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40"/>
              <w:spacing w:after="0"/>
              <w:rPr>
                <w:sz w:val="20"/>
                <w:szCs w:val="20"/>
                <w:color w:val="auto"/>
              </w:rPr>
            </w:pPr>
            <w:r>
              <w:rPr>
                <w:rFonts w:ascii="Arial" w:cs="Arial" w:eastAsia="Arial" w:hAnsi="Arial"/>
                <w:sz w:val="14"/>
                <w:szCs w:val="14"/>
                <w:color w:val="auto"/>
              </w:rPr>
              <w:t xml:space="preserve">FTAI Pride Credit Agreement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47,743</w:t>
            </w:r>
          </w:p>
        </w:tc>
        <w:tc>
          <w:tcPr>
            <w:tcW w:w="100" w:type="dxa"/>
            <w:vAlign w:val="bottom"/>
          </w:tcPr>
          <w:p>
            <w:pPr>
              <w:spacing w:after="0"/>
              <w:rPr>
                <w:sz w:val="18"/>
                <w:szCs w:val="18"/>
                <w:color w:val="auto"/>
              </w:rPr>
            </w:pPr>
          </w:p>
        </w:tc>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rPr>
              <w:t>LIBOR + 4.50%</w:t>
            </w:r>
          </w:p>
        </w:tc>
        <w:tc>
          <w:tcPr>
            <w:tcW w:w="1520" w:type="dxa"/>
            <w:vAlign w:val="bottom"/>
          </w:tcPr>
          <w:p>
            <w:pPr>
              <w:jc w:val="center"/>
              <w:spacing w:after="0"/>
              <w:rPr>
                <w:sz w:val="20"/>
                <w:szCs w:val="20"/>
                <w:color w:val="auto"/>
              </w:rPr>
            </w:pPr>
            <w:r>
              <w:rPr>
                <w:rFonts w:ascii="Arial" w:cs="Arial" w:eastAsia="Arial" w:hAnsi="Arial"/>
                <w:sz w:val="14"/>
                <w:szCs w:val="14"/>
                <w:color w:val="auto"/>
              </w:rPr>
              <w:t>9/15/2019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53,993</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 Adjusted LIBOR + 2.50% or 4.50%; or</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CMQR Credit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22,265</w:t>
            </w:r>
          </w:p>
        </w:tc>
        <w:tc>
          <w:tcPr>
            <w:tcW w:w="100" w:type="dxa"/>
            <w:vAlign w:val="bottom"/>
            <w:shd w:val="clear" w:color="auto" w:fill="CCEEFF"/>
          </w:tcPr>
          <w:p>
            <w:pPr>
              <w:spacing w:after="0"/>
              <w:rPr>
                <w:sz w:val="14"/>
                <w:szCs w:val="14"/>
                <w:color w:val="auto"/>
              </w:rPr>
            </w:pPr>
          </w:p>
        </w:tc>
        <w:tc>
          <w:tcPr>
            <w:tcW w:w="4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U.S. or Canadian Base Rate + 1.50% or 3.50%; or</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Agreement</w:t>
            </w: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(iii) Canadian Fixed Rate plus 2.50% or 4.50%</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9/18/2019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22,800</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49,805</w:t>
            </w:r>
          </w:p>
        </w:tc>
        <w:tc>
          <w:tcPr>
            <w:tcW w:w="100" w:type="dxa"/>
            <w:vAlign w:val="bottom"/>
          </w:tcPr>
          <w:p>
            <w:pPr>
              <w:spacing w:after="0"/>
              <w:rPr>
                <w:sz w:val="16"/>
                <w:szCs w:val="16"/>
                <w:color w:val="auto"/>
              </w:rPr>
            </w:pPr>
          </w:p>
        </w:tc>
        <w:tc>
          <w:tcPr>
            <w:tcW w:w="458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+ 1.50%; or</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40"/>
              <w:spacing w:after="0" w:line="184" w:lineRule="exact"/>
              <w:rPr>
                <w:sz w:val="20"/>
                <w:szCs w:val="20"/>
                <w:color w:val="auto"/>
              </w:rPr>
            </w:pPr>
            <w:r>
              <w:rPr>
                <w:rFonts w:ascii="Arial" w:cs="Arial" w:eastAsia="Arial" w:hAnsi="Arial"/>
                <w:sz w:val="14"/>
                <w:szCs w:val="14"/>
                <w:color w:val="auto"/>
              </w:rPr>
              <w:t xml:space="preserve">Jefferson Revolver </w:t>
            </w:r>
            <w:r>
              <w:rPr>
                <w:rFonts w:ascii="Arial" w:cs="Arial" w:eastAsia="Arial" w:hAnsi="Arial"/>
                <w:sz w:val="18"/>
                <w:szCs w:val="18"/>
                <w:color w:val="auto"/>
                <w:vertAlign w:val="superscript"/>
              </w:rPr>
              <w:t>(2)</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520" w:type="dxa"/>
            <w:vAlign w:val="bottom"/>
          </w:tcPr>
          <w:p>
            <w:pPr>
              <w:jc w:val="center"/>
              <w:spacing w:after="0"/>
              <w:rPr>
                <w:sz w:val="20"/>
                <w:szCs w:val="20"/>
                <w:color w:val="auto"/>
              </w:rPr>
            </w:pPr>
            <w:r>
              <w:rPr>
                <w:rFonts w:ascii="Arial" w:cs="Arial" w:eastAsia="Arial" w:hAnsi="Arial"/>
                <w:sz w:val="14"/>
                <w:szCs w:val="14"/>
                <w:color w:val="auto"/>
              </w:rPr>
              <w:t>3/7/2021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42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 xml:space="preserve">DRP Revolver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4580" w:type="dxa"/>
            <w:vAlign w:val="bottom"/>
            <w:gridSpan w:val="2"/>
            <w:shd w:val="clear" w:color="auto" w:fill="CCEEFF"/>
          </w:tcPr>
          <w:p>
            <w:pPr>
              <w:jc w:val="center"/>
              <w:ind w:right="120"/>
              <w:spacing w:after="0" w:line="153" w:lineRule="exact"/>
              <w:rPr>
                <w:sz w:val="20"/>
                <w:szCs w:val="20"/>
                <w:color w:val="auto"/>
              </w:rPr>
            </w:pPr>
            <w:r>
              <w:rPr>
                <w:rFonts w:ascii="Arial" w:cs="Arial" w:eastAsia="Arial" w:hAnsi="Arial"/>
                <w:sz w:val="14"/>
                <w:szCs w:val="14"/>
                <w:color w:val="auto"/>
              </w:rPr>
              <w:t>(i) Base Rate + 1.50%; or</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11/5/2021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(ii) Base Rate + 2.50% (Eurodollar)</w:t>
            </w: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40"/>
              <w:spacing w:after="0"/>
              <w:rPr>
                <w:sz w:val="20"/>
                <w:szCs w:val="20"/>
                <w:color w:val="auto"/>
              </w:rPr>
            </w:pPr>
            <w:r>
              <w:rPr>
                <w:rFonts w:ascii="Arial" w:cs="Arial" w:eastAsia="Arial" w:hAnsi="Arial"/>
                <w:sz w:val="14"/>
                <w:szCs w:val="14"/>
                <w:color w:val="auto"/>
              </w:rPr>
              <w:t>Revolving Credit</w:t>
            </w: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100,000</w:t>
            </w:r>
          </w:p>
        </w:tc>
        <w:tc>
          <w:tcPr>
            <w:tcW w:w="100" w:type="dxa"/>
            <w:vAlign w:val="bottom"/>
          </w:tcPr>
          <w:p>
            <w:pPr>
              <w:spacing w:after="0"/>
              <w:rPr>
                <w:sz w:val="17"/>
                <w:szCs w:val="17"/>
                <w:color w:val="auto"/>
              </w:rPr>
            </w:pPr>
          </w:p>
        </w:tc>
        <w:tc>
          <w:tcPr>
            <w:tcW w:w="4580" w:type="dxa"/>
            <w:vAlign w:val="bottom"/>
            <w:gridSpan w:val="2"/>
          </w:tcPr>
          <w:p>
            <w:pPr>
              <w:jc w:val="center"/>
              <w:ind w:right="120"/>
              <w:spacing w:after="0"/>
              <w:rPr>
                <w:sz w:val="20"/>
                <w:szCs w:val="20"/>
                <w:color w:val="auto"/>
              </w:rPr>
            </w:pPr>
            <w:r>
              <w:rPr>
                <w:rFonts w:ascii="Arial" w:cs="Arial" w:eastAsia="Arial" w:hAnsi="Arial"/>
                <w:sz w:val="14"/>
                <w:szCs w:val="14"/>
                <w:color w:val="auto"/>
              </w:rPr>
              <w:t>(i) Base Rate + 2.00%; or</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6/16/2021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420" w:type="dxa"/>
            <w:vAlign w:val="bottom"/>
            <w:tcBorders>
              <w:bottom w:val="single" w:sz="8" w:color="CCEEFF"/>
            </w:tcBorders>
          </w:tcPr>
          <w:p>
            <w:pPr>
              <w:ind w:left="240"/>
              <w:spacing w:after="0" w:line="176" w:lineRule="exact"/>
              <w:rPr>
                <w:sz w:val="20"/>
                <w:szCs w:val="20"/>
                <w:color w:val="auto"/>
              </w:rPr>
            </w:pPr>
            <w:r>
              <w:rPr>
                <w:rFonts w:ascii="Arial" w:cs="Arial" w:eastAsia="Arial" w:hAnsi="Arial"/>
                <w:sz w:val="14"/>
                <w:szCs w:val="14"/>
                <w:color w:val="auto"/>
              </w:rPr>
              <w:t xml:space="preserve">Facility </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(ii) Adjusted Eurodollar Rate + 3.00%</w:t>
            </w:r>
          </w:p>
        </w:tc>
        <w:tc>
          <w:tcPr>
            <w:tcW w:w="1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loans payable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219,813</w:t>
            </w:r>
          </w:p>
        </w:tc>
        <w:tc>
          <w:tcPr>
            <w:tcW w:w="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76,793</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42,797</w:t>
            </w:r>
          </w:p>
        </w:tc>
        <w:tc>
          <w:tcPr>
            <w:tcW w:w="4580" w:type="dxa"/>
            <w:vAlign w:val="bottom"/>
            <w:gridSpan w:val="2"/>
            <w:shd w:val="clear" w:color="auto" w:fill="CCEEFF"/>
          </w:tcPr>
          <w:p>
            <w:pPr>
              <w:jc w:val="right"/>
              <w:ind w:right="2028"/>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7/1/2032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44,404</w:t>
            </w:r>
          </w:p>
        </w:tc>
        <w:tc>
          <w:tcPr>
            <w:tcW w:w="0" w:type="dxa"/>
            <w:vAlign w:val="bottom"/>
          </w:tcPr>
          <w:p>
            <w:pPr>
              <w:spacing w:after="0"/>
              <w:rPr>
                <w:sz w:val="1"/>
                <w:szCs w:val="1"/>
                <w:color w:val="auto"/>
              </w:rPr>
            </w:pPr>
          </w:p>
        </w:tc>
      </w:tr>
      <w:tr>
        <w:trPr>
          <w:trHeight w:val="216"/>
        </w:trPr>
        <w:tc>
          <w:tcPr>
            <w:tcW w:w="2420" w:type="dxa"/>
            <w:vAlign w:val="bottom"/>
          </w:tcPr>
          <w:p>
            <w:pPr>
              <w:ind w:left="24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144,200</w:t>
            </w:r>
          </w:p>
        </w:tc>
        <w:tc>
          <w:tcPr>
            <w:tcW w:w="4580" w:type="dxa"/>
            <w:vAlign w:val="bottom"/>
            <w:gridSpan w:val="2"/>
          </w:tcPr>
          <w:p>
            <w:pPr>
              <w:jc w:val="right"/>
              <w:ind w:right="202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2/1/2036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 xml:space="preserve">Senior Notes due 2022 </w:t>
            </w:r>
            <w:r>
              <w:rPr>
                <w:rFonts w:ascii="Arial" w:cs="Arial" w:eastAsia="Arial" w:hAnsi="Arial"/>
                <w:sz w:val="18"/>
                <w:szCs w:val="18"/>
                <w:color w:val="auto"/>
                <w:vertAlign w:val="superscript"/>
              </w:rPr>
              <w:t>(6)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549,405</w:t>
            </w:r>
          </w:p>
        </w:tc>
        <w:tc>
          <w:tcPr>
            <w:tcW w:w="4580" w:type="dxa"/>
            <w:vAlign w:val="bottom"/>
            <w:gridSpan w:val="2"/>
            <w:shd w:val="clear" w:color="auto" w:fill="CCEEFF"/>
          </w:tcPr>
          <w:p>
            <w:pPr>
              <w:jc w:val="right"/>
              <w:ind w:right="20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3/15/2022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449,290</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18"/>
                <w:szCs w:val="18"/>
                <w:color w:val="auto"/>
                <w:vertAlign w:val="superscript"/>
              </w:rPr>
              <w:t>(7)</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295,642</w:t>
            </w:r>
          </w:p>
        </w:tc>
        <w:tc>
          <w:tcPr>
            <w:tcW w:w="4580" w:type="dxa"/>
            <w:vAlign w:val="bottom"/>
            <w:tcBorders>
              <w:bottom w:val="single" w:sz="8" w:color="CCEEFF"/>
            </w:tcBorders>
            <w:gridSpan w:val="2"/>
          </w:tcPr>
          <w:p>
            <w:pPr>
              <w:jc w:val="right"/>
              <w:ind w:right="2028"/>
              <w:spacing w:after="0"/>
              <w:rPr>
                <w:sz w:val="20"/>
                <w:szCs w:val="20"/>
                <w:color w:val="auto"/>
              </w:rPr>
            </w:pPr>
            <w:r>
              <w:rPr>
                <w:rFonts w:ascii="Arial" w:cs="Arial" w:eastAsia="Arial" w:hAnsi="Arial"/>
                <w:sz w:val="14"/>
                <w:szCs w:val="14"/>
                <w:color w:val="auto"/>
              </w:rPr>
              <w:t>6.50%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10/1/2025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bonds payable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1,032,044</w:t>
            </w:r>
          </w:p>
        </w:tc>
        <w:tc>
          <w:tcPr>
            <w:tcW w:w="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637,894</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1,251,857</w:t>
            </w:r>
          </w:p>
        </w:tc>
        <w:tc>
          <w:tcPr>
            <w:tcW w:w="1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714,687</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Debt issuance costs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(14,510)</w:t>
            </w:r>
          </w:p>
        </w:tc>
        <w:tc>
          <w:tcPr>
            <w:tcW w:w="10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(11,423)</w:t>
            </w: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1,237,347</w:t>
            </w:r>
          </w:p>
        </w:tc>
        <w:tc>
          <w:tcPr>
            <w:tcW w:w="10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71,678</w:t>
            </w:r>
          </w:p>
        </w:tc>
        <w:tc>
          <w:tcPr>
            <w:tcW w:w="10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22"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Secured on a first priority basis by the offshore construction vessel and charter.</w:t>
      </w:r>
    </w:p>
    <w:p>
      <w:pPr>
        <w:ind w:left="140" w:hanging="132"/>
        <w:spacing w:after="0" w:line="211"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0.50% on the average daily unused portion, as well as customary letter of credit fees and agency fees.</w:t>
      </w:r>
    </w:p>
    <w:p>
      <w:pPr>
        <w:ind w:left="140" w:hanging="132"/>
        <w:spacing w:after="0" w:line="211"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Requires a quarterly commitment fee at a rate of 0.875% on the average daily unused portion, as well as customary letter of credit fees and agency fees.</w:t>
      </w:r>
    </w:p>
    <w:p>
      <w:pPr>
        <w:ind w:left="140" w:hanging="132"/>
        <w:spacing w:after="0" w:line="211"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Includes unamortized premium of $1,577 and $1,639 as of December 31, 2018 and 2017, respectively.</w:t>
      </w:r>
    </w:p>
    <w:p>
      <w:pPr>
        <w:ind w:left="180" w:hanging="172"/>
        <w:spacing w:after="0" w:line="204" w:lineRule="auto"/>
        <w:tabs>
          <w:tab w:leader="none" w:pos="17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These bonds have a stated maturity of February 1, 2036 but are subject to mandatory tender for purchase at par, by our subsidiary, on February 13, 2020 if they have not been repurchased from proceeds of a remarketing of the bonds or redeemed prior to such date.</w:t>
      </w:r>
    </w:p>
    <w:p>
      <w:pPr>
        <w:spacing w:after="0" w:line="1" w:lineRule="exact"/>
        <w:rPr>
          <w:rFonts w:ascii="Arial" w:cs="Arial" w:eastAsia="Arial" w:hAnsi="Arial"/>
          <w:sz w:val="19"/>
          <w:szCs w:val="19"/>
          <w:color w:val="auto"/>
          <w:vertAlign w:val="superscript"/>
        </w:rPr>
      </w:pPr>
    </w:p>
    <w:p>
      <w:pPr>
        <w:ind w:left="140" w:hanging="132"/>
        <w:spacing w:after="0" w:line="211"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$5,154 and $6,506, respectively, and an unamortized premium of $4,559 and $5,796, respectively, as of December 31, 2018 and 2017.</w:t>
      </w:r>
    </w:p>
    <w:p>
      <w:pPr>
        <w:ind w:left="140" w:hanging="132"/>
        <w:spacing w:after="0" w:line="224" w:lineRule="auto"/>
        <w:tabs>
          <w:tab w:leader="none" w:pos="140" w:val="left"/>
        </w:tabs>
        <w:numPr>
          <w:ilvl w:val="0"/>
          <w:numId w:val="73"/>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$4,358 and $0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DRP Revolving Credit Facility</w:t>
      </w:r>
      <w:r>
        <w:rPr>
          <w:rFonts w:ascii="Arial" w:cs="Arial" w:eastAsia="Arial" w:hAnsi="Arial"/>
          <w:sz w:val="16"/>
          <w:szCs w:val="16"/>
          <w:color w:val="000000"/>
        </w:rPr>
        <w:t>—On November 5, 2018, our subsidiary entered into a revolving credit facility (the “DRP Revolver”) that provides for revolving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loans in the aggregate amount of $25.0 million. The DRP Revolver is secured by the capital stock of certain of our direct subsidiaries as defined in the related credit agreement. Any amount borrowed may be voluntarily prepaid without penalty or premium, other than customary breakage costs related to prepayments of Eurodollar Rate borrowings.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of a credit agreement default by our subsidiary, including bankruptcy or insolvency, financial covenant default, or the failure to make a capital call under the relevant agreement, we have agreed to contribute capital to satisfy up to 120% of the aggregate outstanding obligations.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Jefferson Revolving Credit Facility</w:t>
      </w:r>
      <w:r>
        <w:rPr>
          <w:rFonts w:ascii="Arial" w:cs="Arial" w:eastAsia="Arial" w:hAnsi="Arial"/>
          <w:sz w:val="16"/>
          <w:szCs w:val="16"/>
          <w:color w:val="000000"/>
        </w:rPr>
        <w:t>—On March 7, 2018, our subsidiary entered into a revolving credit facility (the “Jefferson Revolver”) that provides for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loans in the aggregate principal amount of $50.0 million. The Jefferson Revolver is secured by the capital stock of certain of our direct subsidiaries as defined in the related credit agreement. Any amount borrowed may be voluntarily prepaid without penalty or premium, other than customary breakage costs related to prepayments of Eurodollar Rate borrowings.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20, 2018, our subsidiary entered into an amendment to the Jefferson Revolver which temporarily increases the aggregate revolving commitments by $25.0 million to $75.0 million, until August 1, 2019, after which the aggregate revolving commitment will revert back to $50.0 million.</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of a credit agreement default by our subsidiary, including bankruptcy or insolvency, financial covenant default, or the failure to make a capital call under the relevant agreement, we have agreed to contribute capital to satisfy up to 120% of the aggregate outstanding obligations.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September 18, 2018, we issued $300.0 million aggregate principal amount of senior unsecured notes due 2025 (the “2025</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2025 Notes bear interest at a rate of 6.50% per annum, payable semi-annually in arrears on April 1 and October 1 of each year, commencing on April 1, 2019, to persons who are registered holders on the immediately preceding March 15 and September 15, respectively.</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Prior to October 1, 2021, we may redeem some or all of the 2025 Notes at a redemption price equal to 100.000% of the principal amount of the 2025 Notes redeemed, plus accrued and unpaid interest, if any, to, but not including, the applicable redemption date, plus a “make-whole” premium. On or after October 1, 2021, we may redeem some or all of the 2025 Notes at declining redemption prices equal to (i) 103.250% beginning on October 1, 2021, (ii) 101.625% beginning on October 1, 2022 and (iii) 100.000% beginning on October 1, 2023 and thereafter, plus, in each case, accrued and unpaid interest, if any, to, but not including, the applicable redemption date. In addition, at any time on or prior to October 1, 2021, we may redeem up to 40% of the aggregate principal amount of the 2025 Notes using net proceeds from certain equity offerings at a redemption price equal to 106.500% of the principal amount of the 2025 Notes redeemed, plus accrued and unpaid interest, if any, to, but not including, the applicable redemption date.</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0000"/>
        </w:rPr>
        <w:t>—On June 16, 2017, we entered into a revolving credit facility (the “Revolving Credit Facility”) with certain lenders. On August 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2018, we entered into an amendment to the Revolving Credit Facility which, among other things, (i) increases the aggregate revolving commitments by $50.0 million to $125.0 million (of which $25.0 million may be utilized for the issuance of letters of credit) and (ii) extends the maturity date of the revolving loans and commitments under the Existing Credit Agreement by one year from June 16, 2020 to June 16, 2021. The Revolving Credit Facility is secured by the capital stock of certain direct subsidiaries of ours as defined in the related credit agreement. Any amount borrowed may be voluntarily prepaid without penalty or premium, other than customary breakage costs related to prepayments of Eurodollar Rate borrowings.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0000"/>
        </w:rPr>
        <w:t>—On June 30, 2017, CMQR amended its credit agreement for a revolving line of credit increase in the aggregate amount from $20.0</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to $25.0 million and to extend the maturity date to September 18, 2019. The CMQR credit agreement is also indirectly supported by us. In the event of a default under the credit agreement, CMQR’s lenders can cause CMQR to call up to a total of $29.0 million in capital from us, and in the event of CMQR’s bankruptcy, the lenders can put the debt back to us.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March 15, 2017, we issued $250.0 million aggregate principal amount of senior unsecured notes due 2022 (the “2022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On August 23, 2017, we issued an additional $100.0 million of 2022 Notes at an offering price of 102.75% of the principal amount plus accrued interest from March 15, 2017 to the date of issuance. On December 20, 2017, we issued an additional $100.0 million of 2022 Notes at an offering price of 103.25% of the principal amount plus accrued interest from September 15, 2017. On May 31, 2018, we issued an additional $100.0 million of 2022 Notes at an offering price of 100.00% of the principal amount plus accrued interest from March 15, 2018.</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2022 Notes bear interest at a rate of 6.75% per annum, payable semi-annually in arrears on March 15 and September 15 of each year, commencing on September 15, 2017, to persons who are registered holders of the 2022 Notes on the immediately preceding March 1 and September 1,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Prior to March 15, 2020, we may redeem some or all of the 2022 Notes at a redemption price equal to 100.00% of the principal amount of the 2022 Notes redeemed, plus accrued and unpaid interest, if any, to, but not including, the applicable redemption date, plus a “make-whole” premium. On or after March 15, 2020, we may redeem some or all of the 2022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we may at any time redeem up to 40% of the aggregate principal amount of the 2022 Notes using net proceeds from certain equity offerings at a redemption price equal to 106.75% of the principal amount of the 2022 Notes redeemed, plus accrued and unpaid interest, if any, to, but not including, the applicable redemption date.</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fully extinguished certain debt of $100.0 million and $98.8 million and recognized a loss on extinguishment of debt of $2.5 million and $1.6 million during the years ended December 31, 2017 and 2016, respectively. We did not fully extinguish any debt in 2018.</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scheduled principal repayments under our debt agreements for the next five years and thereafter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Credit Agreement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47,743</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4"/>
                <w:szCs w:val="14"/>
                <w:color w:val="auto"/>
              </w:rPr>
              <w:t>CMQR Credit Agreement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22,265</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Revolver</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4"/>
                <w:szCs w:val="14"/>
                <w:color w:val="auto"/>
              </w:rPr>
              <w:t>DRP Revolver</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4"/>
                <w:szCs w:val="14"/>
                <w:color w:val="auto"/>
              </w:rPr>
              <w:t>Series 2012 Bonds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31,365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41,220</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2016 Bonds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550,000</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Total principal payments on loans and</w:t>
            </w:r>
          </w:p>
        </w:tc>
        <w:tc>
          <w:tcPr>
            <w:tcW w:w="2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71,678</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146,010</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151,765</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552,120</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2,295</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331,365</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1,255,233</w:t>
            </w:r>
          </w:p>
        </w:tc>
        <w:tc>
          <w:tcPr>
            <w:tcW w:w="0" w:type="dxa"/>
            <w:vAlign w:val="bottom"/>
          </w:tcPr>
          <w:p>
            <w:pPr>
              <w:spacing w:after="0"/>
              <w:rPr>
                <w:sz w:val="1"/>
                <w:szCs w:val="1"/>
                <w:color w:val="auto"/>
              </w:rPr>
            </w:pPr>
          </w:p>
        </w:tc>
      </w:tr>
      <w:tr>
        <w:trPr>
          <w:trHeight w:val="180"/>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497F"/>
        </w:rPr>
        <w:t>9. FAIR VALUE MEASUREMENTS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8"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13"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December 31, 2018 and December 31, 2017, by level within the fair value hierarchy. Assets measured at fair value are classified in their entirety based on the lowest level of input that is significant to their fair value measurement.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16"/>
                <w:szCs w:val="16"/>
                <w:color w:val="auto"/>
              </w:rPr>
            </w:pPr>
          </w:p>
        </w:tc>
        <w:tc>
          <w:tcPr>
            <w:tcW w:w="4280" w:type="dxa"/>
            <w:vAlign w:val="bottom"/>
            <w:gridSpan w:val="6"/>
          </w:tcPr>
          <w:p>
            <w:pPr>
              <w:jc w:val="center"/>
              <w:ind w:left="6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2"/>
        </w:trPr>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29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r>
      <w:tr>
        <w:trPr>
          <w:trHeight w:val="202"/>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0"/>
        </w:trPr>
        <w:tc>
          <w:tcPr>
            <w:tcW w:w="29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99,601</w:t>
            </w:r>
          </w:p>
        </w:tc>
        <w:tc>
          <w:tcPr>
            <w:tcW w:w="12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99,601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ind w:left="13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222"/>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210"/>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7,470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36"/>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120,837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7,470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77"/>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Derivative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36"/>
        </w:trPr>
        <w:tc>
          <w:tcPr>
            <w:tcW w:w="2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8"/>
        </w:trPr>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24"/>
                <w:szCs w:val="24"/>
                <w:color w:val="auto"/>
              </w:rPr>
            </w:pPr>
          </w:p>
        </w:tc>
        <w:tc>
          <w:tcPr>
            <w:tcW w:w="4280" w:type="dxa"/>
            <w:vAlign w:val="bottom"/>
            <w:gridSpan w:val="6"/>
          </w:tcPr>
          <w:p>
            <w:pPr>
              <w:jc w:val="center"/>
              <w:ind w:left="6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2"/>
        </w:trPr>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2017</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2"/>
        </w:trPr>
        <w:tc>
          <w:tcPr>
            <w:tcW w:w="29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r>
      <w:tr>
        <w:trPr>
          <w:trHeight w:val="196"/>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Technique</w:t>
            </w:r>
          </w:p>
        </w:tc>
      </w:tr>
      <w:tr>
        <w:trPr>
          <w:trHeight w:val="202"/>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0"/>
        </w:trPr>
        <w:tc>
          <w:tcPr>
            <w:tcW w:w="29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59,400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22"/>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10"/>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36"/>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had no liabilities that were measured at fair value on a recurring basis.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discussed below, our financial instruments other than cash and cash equivalents,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Series 2012 Bonds </w:t>
            </w:r>
            <w:r>
              <w:rPr>
                <w:rFonts w:ascii="Arial" w:cs="Arial" w:eastAsia="Arial" w:hAnsi="Arial"/>
                <w:sz w:val="18"/>
                <w:szCs w:val="18"/>
                <w:color w:val="auto"/>
                <w:vertAlign w:val="superscript"/>
              </w:rPr>
              <w:t>(1)</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42,633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45,691</w:t>
            </w:r>
          </w:p>
        </w:tc>
      </w:tr>
      <w:tr>
        <w:trPr>
          <w:trHeight w:val="216"/>
        </w:trPr>
        <w:tc>
          <w:tcPr>
            <w:tcW w:w="7540" w:type="dxa"/>
            <w:vAlign w:val="bottom"/>
          </w:tcPr>
          <w:p>
            <w:pPr>
              <w:ind w:left="20"/>
              <w:spacing w:after="0"/>
              <w:rPr>
                <w:sz w:val="20"/>
                <w:szCs w:val="20"/>
                <w:color w:val="auto"/>
              </w:rPr>
            </w:pPr>
            <w:r>
              <w:rPr>
                <w:rFonts w:ascii="Arial" w:cs="Arial" w:eastAsia="Arial" w:hAnsi="Arial"/>
                <w:sz w:val="14"/>
                <w:szCs w:val="14"/>
                <w:color w:val="auto"/>
              </w:rPr>
              <w:t xml:space="preserve">Series 2016 Bonds </w:t>
            </w:r>
            <w:r>
              <w:rPr>
                <w:rFonts w:ascii="Arial" w:cs="Arial" w:eastAsia="Arial" w:hAnsi="Arial"/>
                <w:sz w:val="18"/>
                <w:szCs w:val="18"/>
                <w:color w:val="auto"/>
                <w:vertAlign w:val="superscript"/>
              </w:rPr>
              <w:t>(1)</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149,582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150,329</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551,144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449,290</w:t>
            </w:r>
          </w:p>
        </w:tc>
      </w:tr>
      <w:tr>
        <w:trPr>
          <w:trHeight w:val="204"/>
        </w:trPr>
        <w:tc>
          <w:tcPr>
            <w:tcW w:w="754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283,965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w:t>
      </w:r>
    </w:p>
    <w:p>
      <w:pPr>
        <w:ind w:left="140" w:hanging="132"/>
        <w:spacing w:after="0" w:line="235" w:lineRule="auto"/>
        <w:tabs>
          <w:tab w:leader="none" w:pos="140" w:val="left"/>
        </w:tabs>
        <w:numPr>
          <w:ilvl w:val="0"/>
          <w:numId w:val="76"/>
        </w:numPr>
        <w:rPr>
          <w:rFonts w:ascii="Arial" w:cs="Arial" w:eastAsia="Arial" w:hAnsi="Arial"/>
          <w:sz w:val="16"/>
          <w:szCs w:val="16"/>
          <w:color w:val="auto"/>
          <w:vertAlign w:val="superscript"/>
        </w:rPr>
      </w:pPr>
      <w:r>
        <w:rPr>
          <w:rFonts w:ascii="Arial" w:cs="Arial" w:eastAsia="Arial" w:hAnsi="Arial"/>
          <w:sz w:val="12"/>
          <w:szCs w:val="12"/>
          <w:color w:val="auto"/>
        </w:rPr>
        <w:t>Fair value is based upon market prices for similar municipal securities.</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10. 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while revenues attributed to our Infrastructure business unit are within the scope of ASC 606, unless otherwise 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Year Ended December 31, 2018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11"/>
          </w:tcPr>
          <w:p>
            <w:pPr>
              <w:jc w:val="center"/>
              <w:ind w:left="648"/>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Infrastructure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Aviation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Shipping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Ports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Containers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Railroad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Terminals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360" w:type="dxa"/>
            <w:vAlign w:val="bottom"/>
          </w:tcPr>
          <w:p>
            <w:pPr>
              <w:ind w:left="40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151,531</w:t>
            </w:r>
          </w:p>
        </w:tc>
        <w:tc>
          <w:tcPr>
            <w:tcW w:w="3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5,659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4"/>
          </w:tcPr>
          <w:p>
            <w:pPr>
              <w:ind w:left="1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3"/>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157,190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Maintenance revenue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360" w:type="dxa"/>
            <w:vAlign w:val="bottom"/>
          </w:tcPr>
          <w:p>
            <w:pPr>
              <w:ind w:left="400"/>
              <w:spacing w:after="0"/>
              <w:rPr>
                <w:sz w:val="20"/>
                <w:szCs w:val="20"/>
                <w:color w:val="auto"/>
              </w:rPr>
            </w:pPr>
            <w:r>
              <w:rPr>
                <w:rFonts w:ascii="Arial" w:cs="Arial" w:eastAsia="Arial" w:hAnsi="Arial"/>
                <w:sz w:val="14"/>
                <w:szCs w:val="14"/>
                <w:color w:val="auto"/>
              </w:rPr>
              <w:t>Finance lease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1,454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revenue</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974</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360" w:type="dxa"/>
            <w:vAlign w:val="bottom"/>
          </w:tcPr>
          <w:p>
            <w:pPr>
              <w:ind w:left="400"/>
              <w:spacing w:after="0" w:line="129" w:lineRule="exact"/>
              <w:rPr>
                <w:sz w:val="20"/>
                <w:szCs w:val="20"/>
                <w:color w:val="auto"/>
              </w:rPr>
            </w:pPr>
            <w:r>
              <w:rPr>
                <w:rFonts w:ascii="Arial" w:cs="Arial" w:eastAsia="Arial" w:hAnsi="Arial"/>
                <w:sz w:val="14"/>
                <w:szCs w:val="14"/>
                <w:b w:val="1"/>
                <w:bCs w:val="1"/>
                <w:color w:val="auto"/>
              </w:rPr>
              <w:t>Total equipment leasing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244,270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253,039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60" w:type="dxa"/>
            <w:vAlign w:val="bottom"/>
          </w:tcPr>
          <w:p>
            <w:pPr>
              <w:ind w:left="40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360" w:type="dxa"/>
            <w:vAlign w:val="bottom"/>
          </w:tcPr>
          <w:p>
            <w:pPr>
              <w:ind w:left="400"/>
              <w:spacing w:after="0"/>
              <w:rPr>
                <w:sz w:val="20"/>
                <w:szCs w:val="20"/>
                <w:color w:val="auto"/>
              </w:rPr>
            </w:pPr>
            <w:r>
              <w:rPr>
                <w:rFonts w:ascii="Arial" w:cs="Arial" w:eastAsia="Arial" w:hAnsi="Arial"/>
                <w:sz w:val="14"/>
                <w:szCs w:val="14"/>
                <w:color w:val="auto"/>
              </w:rPr>
              <w:t>Lease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3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Rail revenues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10,108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shd w:val="clear" w:color="auto" w:fill="CCEEFF"/>
          </w:tcPr>
          <w:p>
            <w:pPr>
              <w:spacing w:after="0"/>
              <w:rPr>
                <w:sz w:val="19"/>
                <w:szCs w:val="19"/>
                <w:color w:val="auto"/>
              </w:rPr>
            </w:pPr>
          </w:p>
        </w:tc>
        <w:tc>
          <w:tcPr>
            <w:tcW w:w="2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360" w:type="dxa"/>
            <w:vAlign w:val="bottom"/>
          </w:tcPr>
          <w:p>
            <w:pPr>
              <w:ind w:left="400"/>
              <w:spacing w:after="0" w:line="129" w:lineRule="exact"/>
              <w:rPr>
                <w:sz w:val="20"/>
                <w:szCs w:val="20"/>
                <w:color w:val="auto"/>
              </w:rPr>
            </w:pPr>
            <w:r>
              <w:rPr>
                <w:rFonts w:ascii="Arial" w:cs="Arial" w:eastAsia="Arial" w:hAnsi="Arial"/>
                <w:sz w:val="14"/>
                <w:szCs w:val="14"/>
                <w:b w:val="1"/>
                <w:bCs w:val="1"/>
                <w:color w:val="auto"/>
              </w:rPr>
              <w:t>Total infrastructure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70,985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38,410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126,839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revenues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244,270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70,985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17,444</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379,878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Shipping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Ports and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Terminal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Railroad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Terminals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ind w:left="440"/>
              <w:spacing w:after="0"/>
              <w:rPr>
                <w:sz w:val="20"/>
                <w:szCs w:val="20"/>
                <w:color w:val="auto"/>
              </w:rPr>
            </w:pPr>
            <w:r>
              <w:rPr>
                <w:rFonts w:ascii="Arial" w:cs="Arial" w:eastAsia="Arial" w:hAnsi="Arial"/>
                <w:sz w:val="14"/>
                <w:szCs w:val="14"/>
                <w:color w:val="auto"/>
              </w:rPr>
              <w:t>Lease income</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91,103</w:t>
            </w:r>
          </w:p>
        </w:tc>
        <w:tc>
          <w:tcPr>
            <w:tcW w:w="30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Maintenance revenue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65,651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ind w:left="440"/>
              <w:spacing w:after="0"/>
              <w:rPr>
                <w:sz w:val="20"/>
                <w:szCs w:val="20"/>
                <w:color w:val="auto"/>
              </w:rPr>
            </w:pPr>
            <w:r>
              <w:rPr>
                <w:rFonts w:ascii="Arial" w:cs="Arial" w:eastAsia="Arial" w:hAnsi="Arial"/>
                <w:sz w:val="14"/>
                <w:szCs w:val="14"/>
                <w:color w:val="auto"/>
              </w:rPr>
              <w:t>Finance lease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revenue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360" w:type="dxa"/>
            <w:vAlign w:val="bottom"/>
          </w:tcPr>
          <w:p>
            <w:pPr>
              <w:ind w:left="44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60" w:type="dxa"/>
            <w:vAlign w:val="bottom"/>
          </w:tcPr>
          <w:p>
            <w:pPr>
              <w:ind w:left="44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156,793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ind w:left="440"/>
              <w:spacing w:after="0"/>
              <w:rPr>
                <w:sz w:val="20"/>
                <w:szCs w:val="20"/>
                <w:color w:val="auto"/>
              </w:rPr>
            </w:pPr>
            <w:r>
              <w:rPr>
                <w:rFonts w:ascii="Arial" w:cs="Arial" w:eastAsia="Arial" w:hAnsi="Arial"/>
                <w:sz w:val="14"/>
                <w:szCs w:val="14"/>
                <w:color w:val="auto"/>
              </w:rPr>
              <w:t>Lease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Rail revenues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360" w:type="dxa"/>
            <w:vAlign w:val="bottom"/>
          </w:tcPr>
          <w:p>
            <w:pPr>
              <w:ind w:left="440"/>
              <w:spacing w:after="0"/>
              <w:rPr>
                <w:sz w:val="20"/>
                <w:szCs w:val="20"/>
                <w:color w:val="auto"/>
              </w:rPr>
            </w:pPr>
            <w:r>
              <w:rPr>
                <w:rFonts w:ascii="Arial" w:cs="Arial" w:eastAsia="Arial" w:hAnsi="Arial"/>
                <w:sz w:val="14"/>
                <w:szCs w:val="14"/>
                <w:color w:val="auto"/>
              </w:rPr>
              <w:t>Terminal services revenues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revenue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360" w:type="dxa"/>
            <w:vAlign w:val="bottom"/>
          </w:tcPr>
          <w:p>
            <w:pPr>
              <w:ind w:left="440"/>
              <w:spacing w:after="0" w:line="156" w:lineRule="exact"/>
              <w:rPr>
                <w:sz w:val="20"/>
                <w:szCs w:val="20"/>
                <w:color w:val="auto"/>
              </w:rPr>
            </w:pPr>
            <w:r>
              <w:rPr>
                <w:rFonts w:ascii="Arial" w:cs="Arial" w:eastAsia="Arial" w:hAnsi="Arial"/>
                <w:sz w:val="14"/>
                <w:szCs w:val="14"/>
                <w:b w:val="1"/>
                <w:bCs w:val="1"/>
                <w:color w:val="auto"/>
              </w:rPr>
              <w:t>Total infrastructure</w:t>
            </w: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6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revenues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32,607</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47,659</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156,793</w:t>
            </w:r>
          </w:p>
        </w:tc>
        <w:tc>
          <w:tcPr>
            <w:tcW w:w="3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217,659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84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75"/>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0"/>
        </w:trPr>
        <w:tc>
          <w:tcPr>
            <w:tcW w:w="2700" w:type="dxa"/>
            <w:vAlign w:val="bottom"/>
          </w:tcPr>
          <w:p>
            <w:pPr>
              <w:ind w:left="440"/>
              <w:spacing w:after="0"/>
              <w:rPr>
                <w:sz w:val="20"/>
                <w:szCs w:val="20"/>
                <w:color w:val="auto"/>
              </w:rPr>
            </w:pPr>
            <w:r>
              <w:rPr>
                <w:rFonts w:ascii="Arial" w:cs="Arial" w:eastAsia="Arial" w:hAnsi="Arial"/>
                <w:sz w:val="14"/>
                <w:szCs w:val="14"/>
                <w:color w:val="auto"/>
              </w:rPr>
              <w:t>Lease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66,024</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69,736</w:t>
            </w:r>
          </w:p>
        </w:tc>
      </w:tr>
      <w:tr>
        <w:trPr>
          <w:trHeight w:val="222"/>
        </w:trPr>
        <w:tc>
          <w:tcPr>
            <w:tcW w:w="2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Maintenance revenue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28,697</w:t>
            </w:r>
          </w:p>
        </w:tc>
      </w:tr>
      <w:tr>
        <w:trPr>
          <w:trHeight w:val="210"/>
        </w:trPr>
        <w:tc>
          <w:tcPr>
            <w:tcW w:w="2700" w:type="dxa"/>
            <w:vAlign w:val="bottom"/>
          </w:tcPr>
          <w:p>
            <w:pPr>
              <w:ind w:left="440"/>
              <w:spacing w:after="0"/>
              <w:rPr>
                <w:sz w:val="20"/>
                <w:szCs w:val="20"/>
                <w:color w:val="auto"/>
              </w:rPr>
            </w:pPr>
            <w:r>
              <w:rPr>
                <w:rFonts w:ascii="Arial" w:cs="Arial" w:eastAsia="Arial" w:hAnsi="Arial"/>
                <w:sz w:val="14"/>
                <w:szCs w:val="14"/>
                <w:color w:val="auto"/>
              </w:rPr>
              <w:t>Finance lease income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2,723</w:t>
            </w:r>
          </w:p>
        </w:tc>
      </w:tr>
      <w:tr>
        <w:trPr>
          <w:trHeight w:val="222"/>
        </w:trPr>
        <w:tc>
          <w:tcPr>
            <w:tcW w:w="2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 revenue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r>
      <w:tr>
        <w:trPr>
          <w:trHeight w:val="156"/>
        </w:trPr>
        <w:tc>
          <w:tcPr>
            <w:tcW w:w="2700" w:type="dxa"/>
            <w:vAlign w:val="bottom"/>
          </w:tcPr>
          <w:p>
            <w:pPr>
              <w:ind w:left="44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96"/>
        </w:trPr>
        <w:tc>
          <w:tcPr>
            <w:tcW w:w="2700" w:type="dxa"/>
            <w:vAlign w:val="bottom"/>
          </w:tcPr>
          <w:p>
            <w:pPr>
              <w:ind w:left="44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95,408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101,949</w:t>
            </w: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0"/>
        </w:trPr>
        <w:tc>
          <w:tcPr>
            <w:tcW w:w="2700" w:type="dxa"/>
            <w:vAlign w:val="bottom"/>
          </w:tcPr>
          <w:p>
            <w:pPr>
              <w:ind w:left="440"/>
              <w:spacing w:after="0"/>
              <w:rPr>
                <w:sz w:val="20"/>
                <w:szCs w:val="20"/>
                <w:color w:val="auto"/>
              </w:rPr>
            </w:pPr>
            <w:r>
              <w:rPr>
                <w:rFonts w:ascii="Arial" w:cs="Arial" w:eastAsia="Arial" w:hAnsi="Arial"/>
                <w:sz w:val="14"/>
                <w:szCs w:val="14"/>
                <w:color w:val="auto"/>
              </w:rPr>
              <w:t>Lease income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27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Rail revenues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w:t>
            </w:r>
          </w:p>
        </w:tc>
      </w:tr>
      <w:tr>
        <w:trPr>
          <w:trHeight w:val="210"/>
        </w:trPr>
        <w:tc>
          <w:tcPr>
            <w:tcW w:w="27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Terminal services revenues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15,902</w:t>
            </w:r>
          </w:p>
        </w:tc>
      </w:tr>
      <w:tr>
        <w:trPr>
          <w:trHeight w:val="210"/>
        </w:trPr>
        <w:tc>
          <w:tcPr>
            <w:tcW w:w="270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infrastructure revenues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46,771</w:t>
            </w: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95,408</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148,720</w:t>
            </w:r>
          </w:p>
        </w:tc>
      </w:tr>
      <w:tr>
        <w:trPr>
          <w:trHeight w:val="21"/>
        </w:trPr>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157,470</w:t>
            </w:r>
          </w:p>
        </w:tc>
      </w:tr>
      <w:tr>
        <w:trPr>
          <w:trHeight w:val="210"/>
        </w:trPr>
        <w:tc>
          <w:tcPr>
            <w:tcW w:w="952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102,337</w:t>
            </w:r>
          </w:p>
        </w:tc>
      </w:tr>
      <w:tr>
        <w:trPr>
          <w:trHeight w:val="222"/>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68,473</w:t>
            </w:r>
          </w:p>
        </w:tc>
      </w:tr>
      <w:tr>
        <w:trPr>
          <w:trHeight w:val="210"/>
        </w:trPr>
        <w:tc>
          <w:tcPr>
            <w:tcW w:w="9520" w:type="dxa"/>
            <w:vAlign w:val="bottom"/>
          </w:tcPr>
          <w:p>
            <w:pPr>
              <w:ind w:left="20"/>
              <w:spacing w:after="0"/>
              <w:rPr>
                <w:sz w:val="20"/>
                <w:szCs w:val="20"/>
                <w:color w:val="auto"/>
              </w:rPr>
            </w:pPr>
            <w:r>
              <w:rPr>
                <w:rFonts w:ascii="Arial" w:cs="Arial" w:eastAsia="Arial" w:hAnsi="Arial"/>
                <w:sz w:val="14"/>
                <w:szCs w:val="14"/>
                <w:color w:val="auto"/>
              </w:rPr>
              <w:t>2022</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43,484</w:t>
            </w:r>
          </w:p>
        </w:tc>
      </w:tr>
      <w:tr>
        <w:trPr>
          <w:trHeight w:val="222"/>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27,813</w:t>
            </w:r>
          </w:p>
        </w:tc>
      </w:tr>
      <w:tr>
        <w:trPr>
          <w:trHeight w:val="21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14,843</w:t>
            </w:r>
          </w:p>
        </w:tc>
      </w:tr>
      <w:tr>
        <w:trPr>
          <w:trHeight w:val="241"/>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414,420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497F"/>
        </w:rPr>
        <w:t>11. EQUITY-BASED COMPENSATION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December 31, 2018, the Incentive Plan provides for the issuance of up to 30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(income) related to our stock-based compensation arrangements: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2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jc w:val="center"/>
              <w:ind w:right="188"/>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Recognized, If All Vesting Conditions</w:t>
            </w:r>
          </w:p>
        </w:tc>
        <w:tc>
          <w:tcPr>
            <w:tcW w:w="0" w:type="dxa"/>
            <w:vAlign w:val="bottom"/>
          </w:tcPr>
          <w:p>
            <w:pPr>
              <w:spacing w:after="0"/>
              <w:rPr>
                <w:sz w:val="1"/>
                <w:szCs w:val="1"/>
                <w:color w:val="auto"/>
              </w:rPr>
            </w:pPr>
          </w:p>
        </w:tc>
      </w:tr>
      <w:tr>
        <w:trPr>
          <w:trHeight w:val="61"/>
        </w:trPr>
        <w:tc>
          <w:tcPr>
            <w:tcW w:w="4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Are Met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4"/>
                <w:szCs w:val="14"/>
                <w:color w:val="auto"/>
              </w:rPr>
              <w:t>Restricted Shares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 restricted shares and common units: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7"/>
                <w:szCs w:val="17"/>
                <w:color w:val="auto"/>
              </w:rPr>
            </w:pPr>
          </w:p>
        </w:tc>
        <w:tc>
          <w:tcPr>
            <w:tcW w:w="24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Restricted Shares</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6"/>
          </w:tcPr>
          <w:p>
            <w:pPr>
              <w:jc w:val="right"/>
              <w:ind w:right="84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Outstanding as of</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70,721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572,525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836,342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N/A</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670,000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Less: exercised / 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232,927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forfeited and canceled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N/A</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Outstanding as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851,342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49,766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1,009,598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24"/>
                <w:szCs w:val="24"/>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Restricted Shares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02"/>
        </w:trPr>
        <w:tc>
          <w:tcPr>
            <w:tcW w:w="28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60" w:type="dxa"/>
            <w:vAlign w:val="bottom"/>
            <w:gridSpan w:val="3"/>
          </w:tcPr>
          <w:p>
            <w:pPr>
              <w:ind w:left="180"/>
              <w:spacing w:after="0"/>
              <w:rPr>
                <w:sz w:val="20"/>
                <w:szCs w:val="20"/>
                <w:color w:val="auto"/>
              </w:rPr>
            </w:pPr>
            <w:r>
              <w:rPr>
                <w:rFonts w:ascii="Arial" w:cs="Arial" w:eastAsia="Arial" w:hAnsi="Arial"/>
                <w:sz w:val="14"/>
                <w:szCs w:val="14"/>
                <w:color w:val="auto"/>
              </w:rPr>
              <w:t>Weighted average exercise price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18.20</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16.92</w:t>
            </w:r>
          </w:p>
        </w:tc>
        <w:tc>
          <w:tcPr>
            <w:tcW w:w="8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222"/>
        </w:trPr>
        <w:tc>
          <w:tcPr>
            <w:tcW w:w="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Aggregate intrinsic value (in thousands)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1,163</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860" w:type="dxa"/>
            <w:vAlign w:val="bottom"/>
            <w:gridSpan w:val="3"/>
          </w:tcPr>
          <w:p>
            <w:pPr>
              <w:ind w:left="180"/>
              <w:spacing w:after="0"/>
              <w:rPr>
                <w:sz w:val="20"/>
                <w:szCs w:val="20"/>
                <w:color w:val="auto"/>
              </w:rPr>
            </w:pPr>
            <w:r>
              <w:rPr>
                <w:rFonts w:ascii="Arial" w:cs="Arial" w:eastAsia="Arial" w:hAnsi="Arial"/>
                <w:sz w:val="14"/>
                <w:szCs w:val="14"/>
                <w:color w:val="auto"/>
              </w:rPr>
              <w:t>Weighted average remaining contractual term (in years)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2018, we granted equity-based compensation awards of 10,000 stock options, the grant date fair value of which was not material, to our two new independent directors (5,000 options each) pursuant to the Incentive Plan. These options immediately vested upon grant and expire after 10 years.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equity offerings in January 2018 and December 2018 (see Note 15 for details), we granted options to the Manager related to 700,000 and 126,342 common shares, respectively, which had a fair value of $1.9 million and $0.2 million, respectively, as of the grant dates. The fair value of these options were recorded as an increase in equity with an offsetting reduction of capital proceeds received.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assumptions used in valuing the options for the equity offerings in January 2018 and December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Borders>
              <w:bottom w:val="single" w:sz="8" w:color="CCEEFF"/>
            </w:tcBorders>
          </w:tcPr>
          <w:p>
            <w:pPr>
              <w:spacing w:after="0"/>
              <w:rPr>
                <w:sz w:val="17"/>
                <w:szCs w:val="17"/>
                <w:color w:val="auto"/>
              </w:rPr>
            </w:pPr>
          </w:p>
        </w:tc>
        <w:tc>
          <w:tcPr>
            <w:tcW w:w="55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January</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December</w:t>
            </w:r>
          </w:p>
        </w:tc>
        <w:tc>
          <w:tcPr>
            <w:tcW w:w="160" w:type="dxa"/>
            <w:vAlign w:val="bottom"/>
            <w:tcBorders>
              <w:bottom w:val="single" w:sz="8" w:color="auto"/>
            </w:tcBorders>
          </w:tcPr>
          <w:p>
            <w:pPr>
              <w:spacing w:after="0"/>
              <w:rPr>
                <w:sz w:val="17"/>
                <w:szCs w:val="17"/>
                <w:color w:val="auto"/>
              </w:rPr>
            </w:pPr>
          </w:p>
        </w:tc>
      </w:tr>
      <w:tr>
        <w:trPr>
          <w:trHeight w:val="180"/>
        </w:trPr>
        <w:tc>
          <w:tcPr>
            <w:tcW w:w="1820" w:type="dxa"/>
            <w:vAlign w:val="bottom"/>
            <w:shd w:val="clear" w:color="auto" w:fill="CCEEFF"/>
          </w:tcPr>
          <w:p>
            <w:pPr>
              <w:spacing w:after="0"/>
              <w:rPr>
                <w:sz w:val="15"/>
                <w:szCs w:val="15"/>
                <w:color w:val="auto"/>
              </w:rPr>
            </w:pP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 expected stock volatility is based on an assessment of the volatility of our</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publicly traded common shares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4"/>
        </w:trPr>
        <w:tc>
          <w:tcPr>
            <w:tcW w:w="1820" w:type="dxa"/>
            <w:vAlign w:val="bottom"/>
          </w:tcPr>
          <w:p>
            <w:pPr>
              <w:spacing w:after="0"/>
              <w:rPr>
                <w:sz w:val="16"/>
                <w:szCs w:val="16"/>
                <w:color w:val="auto"/>
              </w:rPr>
            </w:pPr>
          </w:p>
        </w:tc>
        <w:tc>
          <w:tcPr>
            <w:tcW w:w="6880" w:type="dxa"/>
            <w:vAlign w:val="bottom"/>
            <w:gridSpan w:val="2"/>
          </w:tcPr>
          <w:p>
            <w:pPr>
              <w:ind w:left="280"/>
              <w:spacing w:after="0"/>
              <w:rPr>
                <w:sz w:val="20"/>
                <w:szCs w:val="20"/>
                <w:color w:val="auto"/>
              </w:rPr>
            </w:pPr>
            <w:r>
              <w:rPr>
                <w:rFonts w:ascii="Arial" w:cs="Arial" w:eastAsia="Arial" w:hAnsi="Arial"/>
                <w:sz w:val="14"/>
                <w:szCs w:val="14"/>
                <w:color w:val="auto"/>
              </w:rPr>
              <w:t>The risk-free rate is determined using the implied yield currently available on U.S.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2"/>
        </w:trPr>
        <w:tc>
          <w:tcPr>
            <w:tcW w:w="1820" w:type="dxa"/>
            <w:vAlign w:val="bottom"/>
          </w:tcPr>
          <w:p>
            <w:pPr>
              <w:spacing w:after="0"/>
              <w:rPr>
                <w:sz w:val="14"/>
                <w:szCs w:val="14"/>
                <w:color w:val="auto"/>
              </w:rPr>
            </w:pPr>
          </w:p>
        </w:tc>
        <w:tc>
          <w:tcPr>
            <w:tcW w:w="6880" w:type="dxa"/>
            <w:vAlign w:val="bottom"/>
            <w:gridSpan w:val="2"/>
          </w:tcPr>
          <w:p>
            <w:pPr>
              <w:ind w:left="280"/>
              <w:spacing w:after="0"/>
              <w:rPr>
                <w:sz w:val="20"/>
                <w:szCs w:val="20"/>
                <w:color w:val="auto"/>
              </w:rPr>
            </w:pPr>
            <w:r>
              <w:rPr>
                <w:rFonts w:ascii="Arial" w:cs="Arial" w:eastAsia="Arial" w:hAnsi="Arial"/>
                <w:sz w:val="14"/>
                <w:szCs w:val="14"/>
                <w:color w:val="auto"/>
              </w:rPr>
              <w:t>government bonds with a term consistent with the expected term on the date of</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82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6880" w:type="dxa"/>
            <w:vAlign w:val="bottom"/>
            <w:gridSpan w:val="2"/>
          </w:tcPr>
          <w:p>
            <w:pPr>
              <w:ind w:left="280"/>
              <w:spacing w:after="0"/>
              <w:rPr>
                <w:sz w:val="20"/>
                <w:szCs w:val="20"/>
                <w:color w:val="auto"/>
              </w:rPr>
            </w:pPr>
            <w:r>
              <w:rPr>
                <w:rFonts w:ascii="Arial" w:cs="Arial" w:eastAsia="Arial" w:hAnsi="Arial"/>
                <w:sz w:val="14"/>
                <w:szCs w:val="14"/>
                <w:color w:val="auto"/>
              </w:rPr>
              <w:t>grant.</w:t>
            </w:r>
          </w:p>
        </w:tc>
        <w:tc>
          <w:tcPr>
            <w:tcW w:w="480" w:type="dxa"/>
            <w:vAlign w:val="bottom"/>
          </w:tcPr>
          <w:p>
            <w:pPr>
              <w:jc w:val="right"/>
              <w:spacing w:after="0"/>
              <w:rPr>
                <w:sz w:val="20"/>
                <w:szCs w:val="20"/>
                <w:color w:val="auto"/>
              </w:rPr>
            </w:pPr>
            <w:r>
              <w:rPr>
                <w:rFonts w:ascii="Arial" w:cs="Arial" w:eastAsia="Arial" w:hAnsi="Arial"/>
                <w:sz w:val="14"/>
                <w:szCs w:val="14"/>
                <w:color w:val="auto"/>
              </w:rPr>
              <w:t>2.52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2.98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0"/>
        </w:trPr>
        <w:tc>
          <w:tcPr>
            <w:tcW w:w="1820" w:type="dxa"/>
            <w:vAlign w:val="bottom"/>
            <w:shd w:val="clear" w:color="auto" w:fill="CCEEFF"/>
          </w:tcPr>
          <w:p>
            <w:pPr>
              <w:spacing w:after="0"/>
              <w:rPr>
                <w:sz w:val="17"/>
                <w:szCs w:val="17"/>
                <w:color w:val="auto"/>
              </w:rPr>
            </w:pP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 expected dividend yield is based on management’s current expected dividend</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rate.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4"/>
        </w:trPr>
        <w:tc>
          <w:tcPr>
            <w:tcW w:w="1820" w:type="dxa"/>
            <w:vAlign w:val="bottom"/>
          </w:tcPr>
          <w:p>
            <w:pPr>
              <w:spacing w:after="0"/>
              <w:rPr>
                <w:sz w:val="16"/>
                <w:szCs w:val="16"/>
                <w:color w:val="auto"/>
              </w:rPr>
            </w:pPr>
          </w:p>
        </w:tc>
        <w:tc>
          <w:tcPr>
            <w:tcW w:w="6880" w:type="dxa"/>
            <w:vAlign w:val="bottom"/>
            <w:gridSpan w:val="2"/>
          </w:tcPr>
          <w:p>
            <w:pPr>
              <w:ind w:left="280"/>
              <w:spacing w:after="0"/>
              <w:rPr>
                <w:sz w:val="20"/>
                <w:szCs w:val="20"/>
                <w:color w:val="auto"/>
              </w:rPr>
            </w:pPr>
            <w:r>
              <w:rPr>
                <w:rFonts w:ascii="Arial" w:cs="Arial" w:eastAsia="Arial" w:hAnsi="Arial"/>
                <w:sz w:val="14"/>
                <w:szCs w:val="14"/>
                <w:color w:val="auto"/>
              </w:rPr>
              <w:t>Expected term used represents the period of time the options granted are</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2"/>
        </w:trPr>
        <w:tc>
          <w:tcPr>
            <w:tcW w:w="1820" w:type="dxa"/>
            <w:vAlign w:val="bottom"/>
          </w:tcPr>
          <w:p>
            <w:pPr>
              <w:ind w:left="20"/>
              <w:spacing w:after="0"/>
              <w:rPr>
                <w:sz w:val="20"/>
                <w:szCs w:val="20"/>
                <w:color w:val="auto"/>
              </w:rPr>
            </w:pPr>
            <w:r>
              <w:rPr>
                <w:rFonts w:ascii="Arial" w:cs="Arial" w:eastAsia="Arial" w:hAnsi="Arial"/>
                <w:sz w:val="14"/>
                <w:szCs w:val="14"/>
                <w:color w:val="auto"/>
              </w:rPr>
              <w:t>Expected term</w:t>
            </w:r>
          </w:p>
        </w:tc>
        <w:tc>
          <w:tcPr>
            <w:tcW w:w="6880" w:type="dxa"/>
            <w:vAlign w:val="bottom"/>
            <w:gridSpan w:val="2"/>
          </w:tcPr>
          <w:p>
            <w:pPr>
              <w:ind w:left="280"/>
              <w:spacing w:after="0"/>
              <w:rPr>
                <w:sz w:val="20"/>
                <w:szCs w:val="20"/>
                <w:color w:val="auto"/>
              </w:rPr>
            </w:pPr>
            <w:r>
              <w:rPr>
                <w:rFonts w:ascii="Arial" w:cs="Arial" w:eastAsia="Arial" w:hAnsi="Arial"/>
                <w:sz w:val="14"/>
                <w:szCs w:val="14"/>
                <w:color w:val="auto"/>
              </w:rPr>
              <w:t>expected to be outstanding.</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10 years</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10 years</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November 2016 and May 2017, we issued restricted shares of 52,388 and 31,340, respectively, with grant date fair values of $0.9 million and $0.5 million, respectively. The shares vest over four years, subject to continued employment, and the compensation expense is recognized ratably over the vesting periods. The fair value of these awards was based on the fair value of the operating subsidiary on each grant date,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2016, equity compensation expense of $4.4 million, related to 1.25 million restricted shares issued in 2014, that was previously recognized was reversed in operating expenses in the Consolidated Statements of Operations as the achievement of all performance conditions was deemed not probable. These shares expired in 2017.</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2016, an employee holding 42,000 restricted shares terminated his employment, at which time 50% of the award had vested. In lieu of delivering the vested shares, we paid $0.2 million in cash to the former employee in accordance with the amended terms of the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Common Units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April 2018, we issued 670,000 common units that had a grant date fair value of $0.7 million and vest over three years.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April 2017, we issued 520,000 common units that had a grant date fair value of $0.9 million and vest over a range of 6 to 48 months.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2017, we issued 505,050 common units that had a grant date fair value of $0.5 million and vest over three years.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above awards are subject to continued employment and compensation expense is recognized ratably over the vesting periods. The fair value was based on the fair value of the operating subsidiary on the grant date, which is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12.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10"/>
        </w:trPr>
        <w:tc>
          <w:tcPr>
            <w:tcW w:w="55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r>
      <w:tr>
        <w:trPr>
          <w:trHeight w:val="202"/>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4"/>
                <w:szCs w:val="14"/>
                <w:color w:val="auto"/>
              </w:rPr>
              <w:t>Federal</w:t>
            </w:r>
          </w:p>
        </w:tc>
        <w:tc>
          <w:tcPr>
            <w:tcW w:w="1240" w:type="dxa"/>
            <w:vAlign w:val="bottom"/>
          </w:tcPr>
          <w:p>
            <w:pPr>
              <w:jc w:val="right"/>
              <w:ind w:right="10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22"/>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State and local</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10"/>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256"/>
        </w:trPr>
        <w:tc>
          <w:tcPr>
            <w:tcW w:w="5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4"/>
                <w:szCs w:val="14"/>
                <w:color w:val="auto"/>
              </w:rPr>
              <w:t>Federal</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22"/>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State and local</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10"/>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56"/>
        </w:trPr>
        <w:tc>
          <w:tcPr>
            <w:tcW w:w="55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3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provision for income taxes</w:t>
            </w: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provision for income taxes and the U.S. federal statutory rate of 21% is as follows:</w:t>
      </w:r>
    </w:p>
    <w:p>
      <w:pPr>
        <w:spacing w:after="0" w:line="152"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26035</wp:posOffset>
            </wp:positionV>
            <wp:extent cx="37649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7"/>
                <w:szCs w:val="17"/>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tax at statutory rate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Income not subject to tax at statutory rate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121.9 %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98.2 %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State and local taxes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Branch profit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Change in tax rates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 %</w:t>
            </w:r>
          </w:p>
        </w:tc>
        <w:tc>
          <w:tcPr>
            <w:tcW w:w="190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 %</w:t>
            </w:r>
          </w:p>
        </w:tc>
      </w:tr>
      <w:tr>
        <w:trPr>
          <w:trHeight w:val="22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(153.3)%</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(43.6)%</w:t>
            </w:r>
          </w:p>
        </w:tc>
      </w:tr>
      <w:tr>
        <w:trPr>
          <w:trHeight w:val="23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7"/>
                <w:szCs w:val="17"/>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r>
      <w:tr>
        <w:trPr>
          <w:trHeight w:val="202"/>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0"/>
        </w:trPr>
        <w:tc>
          <w:tcPr>
            <w:tcW w:w="7540" w:type="dxa"/>
            <w:vAlign w:val="bottom"/>
          </w:tcPr>
          <w:p>
            <w:pPr>
              <w:ind w:left="220"/>
              <w:spacing w:after="0"/>
              <w:rPr>
                <w:sz w:val="20"/>
                <w:szCs w:val="20"/>
                <w:color w:val="auto"/>
              </w:rPr>
            </w:pPr>
            <w:r>
              <w:rPr>
                <w:rFonts w:ascii="Arial" w:cs="Arial" w:eastAsia="Arial" w:hAnsi="Arial"/>
                <w:sz w:val="14"/>
                <w:szCs w:val="14"/>
                <w:color w:val="auto"/>
              </w:rPr>
              <w:t>Net operating loss carryforwards</w:t>
            </w:r>
          </w:p>
        </w:tc>
        <w:tc>
          <w:tcPr>
            <w:tcW w:w="1200" w:type="dxa"/>
            <w:vAlign w:val="bottom"/>
          </w:tcPr>
          <w:p>
            <w:pPr>
              <w:jc w:val="right"/>
              <w:ind w:right="10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64,034</w:t>
            </w:r>
          </w:p>
        </w:tc>
        <w:tc>
          <w:tcPr>
            <w:tcW w:w="12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46,564</w:t>
            </w: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r>
      <w:tr>
        <w:trPr>
          <w:trHeight w:val="210"/>
        </w:trPr>
        <w:tc>
          <w:tcPr>
            <w:tcW w:w="75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9,727</w:t>
            </w:r>
          </w:p>
        </w:tc>
      </w:tr>
      <w:tr>
        <w:trPr>
          <w:trHeight w:val="210"/>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deferred tax assets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85,888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58,177</w:t>
            </w:r>
          </w:p>
        </w:tc>
      </w:tr>
      <w:tr>
        <w:trPr>
          <w:trHeight w:val="210"/>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valuation allowance</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(68,294)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(45,624)</w:t>
            </w: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deferred tax assets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12,553</w:t>
            </w:r>
          </w:p>
        </w:tc>
      </w:tr>
      <w:tr>
        <w:trPr>
          <w:trHeight w:val="210"/>
        </w:trPr>
        <w:tc>
          <w:tcPr>
            <w:tcW w:w="75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assets and goodwill</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(19,117)</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(13,104)</w:t>
            </w:r>
          </w:p>
        </w:tc>
      </w:tr>
      <w:tr>
        <w:trPr>
          <w:trHeight w:val="216"/>
        </w:trPr>
        <w:tc>
          <w:tcPr>
            <w:tcW w:w="754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(1,523)</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r>
      <w:tr>
        <w:trPr>
          <w:trHeight w:val="21"/>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Current and deferred tax assets and liabilities are reported net in other assets or other liabilities in the Consolidated Balance Sheet.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2018 and December 31, 2017 of $68.3 million and $45.6 million, respectively, related to certain deductible temporary differences and net operating loss carryforwards.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7"/>
                <w:szCs w:val="17"/>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220" w:type="dxa"/>
            <w:vAlign w:val="bottom"/>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rPr>
              <w:t>42,270</w:t>
            </w:r>
          </w:p>
        </w:tc>
      </w:tr>
      <w:tr>
        <w:trPr>
          <w:trHeight w:val="210"/>
        </w:trPr>
        <w:tc>
          <w:tcPr>
            <w:tcW w:w="7540" w:type="dxa"/>
            <w:vAlign w:val="bottom"/>
          </w:tcPr>
          <w:p>
            <w:pPr>
              <w:ind w:left="20"/>
              <w:spacing w:after="0"/>
              <w:rPr>
                <w:sz w:val="20"/>
                <w:szCs w:val="20"/>
                <w:color w:val="auto"/>
              </w:rPr>
            </w:pPr>
            <w:r>
              <w:rPr>
                <w:rFonts w:ascii="Arial" w:cs="Arial" w:eastAsia="Arial" w:hAnsi="Arial"/>
                <w:sz w:val="14"/>
                <w:szCs w:val="14"/>
                <w:color w:val="auto"/>
              </w:rPr>
              <w:t>Change due to current year losses and releases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22,670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jc w:val="center"/>
              <w:ind w:left="648"/>
              <w:spacing w:after="0"/>
              <w:rPr>
                <w:sz w:val="20"/>
                <w:szCs w:val="20"/>
                <w:color w:val="auto"/>
              </w:rPr>
            </w:pPr>
            <w:r>
              <w:rPr>
                <w:rFonts w:ascii="Arial" w:cs="Arial" w:eastAsia="Arial" w:hAnsi="Arial"/>
                <w:sz w:val="14"/>
                <w:szCs w:val="14"/>
                <w:color w:val="auto"/>
              </w:rPr>
              <w:t>27,549</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due to change in tax rates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28"/>
              <w:spacing w:after="0"/>
              <w:rPr>
                <w:sz w:val="20"/>
                <w:szCs w:val="20"/>
                <w:color w:val="auto"/>
              </w:rPr>
            </w:pPr>
            <w:r>
              <w:rPr>
                <w:rFonts w:ascii="Arial" w:cs="Arial" w:eastAsia="Arial" w:hAnsi="Arial"/>
                <w:sz w:val="14"/>
                <w:szCs w:val="14"/>
                <w:color w:val="auto"/>
              </w:rPr>
              <w:t>(24,195)</w:t>
            </w:r>
          </w:p>
        </w:tc>
      </w:tr>
      <w:tr>
        <w:trPr>
          <w:trHeight w:val="216"/>
        </w:trPr>
        <w:tc>
          <w:tcPr>
            <w:tcW w:w="754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220" w:type="dxa"/>
            <w:vAlign w:val="bottom"/>
            <w:tcBorders>
              <w:top w:val="single" w:sz="8" w:color="auto"/>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68,294</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center"/>
              <w:ind w:left="648"/>
              <w:spacing w:after="0"/>
              <w:rPr>
                <w:sz w:val="20"/>
                <w:szCs w:val="20"/>
                <w:color w:val="auto"/>
              </w:rPr>
            </w:pPr>
            <w:r>
              <w:rPr>
                <w:rFonts w:ascii="Arial" w:cs="Arial" w:eastAsia="Arial" w:hAnsi="Arial"/>
                <w:sz w:val="14"/>
                <w:szCs w:val="14"/>
                <w:color w:val="auto"/>
              </w:rPr>
              <w:t>45,624</w:t>
            </w:r>
          </w:p>
        </w:tc>
      </w:tr>
      <w:tr>
        <w:trPr>
          <w:trHeight w:val="21"/>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2018, certain of our corporate subsidiaries had U.S. federal net operating loss carryforwards of approximately $240.9 million that are available to offset future taxable income. If not utilized, $180.8 million of these carryforwards will begin to expire in the year 2034, with $60.1 million of these carryforwards having no expiration date. As of December 31, 2018, we also had net operating loss carryforwards for Canadian federal and provincial income taxes of $5.2 million, which will begin to expire in the year 2034, $82.8 million of net operating loss carryforwards for Irish income tax purposes, which can be carried forward indefinitely against future business income, and $0.9 million of net operating loss carryforwards for Malaysian income tax purposes, which will begin to expire in the year 2025.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stock ownership.</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TCJA significantly revises the U.S. corporate income tax regime by, among other things, lowering corporate income tax rates. We have accounted for the effects of the TCJA for the year ended December 31, 2017 which relates to the re-measurement of deferred tax assets and liabilities due to the reduction in the corporate income tax rate. Due to the significant portion of our income that is not subject to entity level tax and the presence of a significant valuation allowance, the effects of the TCJA have had a minimal impact on the income tax provision for the year ended December 31, 2017.</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and for the period ended December 31, 2018,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2015. We do not believe that it is reasonably possible that the total amount of unrecognized tax benefits will significantly change within 12 months of the reporting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13. MANAGEMENT AGREEMENT AND AFFILIATE TRANSACTIONS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In May 2015, in connection with our IPO, we entered into the Management Agreement which replaced our then-existing management agreement as a private fund. Additionally, we have entered into certain incentive allocation arrangements with Master GP, which owns 0.05% of the Partnership and is the general partner of the Partnership.</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2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subsidiaries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15,319</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16,742</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4"/>
                <w:szCs w:val="14"/>
                <w:color w:val="auto"/>
              </w:rPr>
              <w:t>General and administrative expenses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9,910</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8,064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7,301</w:t>
            </w: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6,295</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4,783</w:t>
            </w:r>
          </w:p>
        </w:tc>
      </w:tr>
      <w:tr>
        <w:trPr>
          <w:trHeight w:val="216"/>
        </w:trPr>
        <w:tc>
          <w:tcPr>
            <w:tcW w:w="660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16,563</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14,359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12,084</w:t>
            </w:r>
          </w:p>
        </w:tc>
      </w:tr>
      <w:tr>
        <w:trPr>
          <w:trHeight w:val="21"/>
        </w:trPr>
        <w:tc>
          <w:tcPr>
            <w:tcW w:w="6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Upon the successful completion of a post-IPO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7"/>
                <w:szCs w:val="17"/>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1,263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r>
      <w:tr>
        <w:trPr>
          <w:trHeight w:val="204"/>
        </w:trPr>
        <w:tc>
          <w:tcPr>
            <w:tcW w:w="742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34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3,965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2,073</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and 2017, no amounts were recorded as a receivable from the Manager.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Affiliate Transactions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2018 and 2017,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2018 and 2017 was $51.1 million and $66.2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13,436</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7,647</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we entered into a Fee and Support Agreement with an affiliate of our Manager. The Fee and Support Agreement provides that the affiliate of the Manager is compensated for its guarantee of a portion of the obligations under the Standby Bond Purchase Agreement. This affiliate of the Manager received fees of $1.7 million, which will be amortized as interest expense to the earlier of the redemption date or February 13,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second quarter of 2018, we purchased all shares held by the non-controlling interest holder in our Aviation Leasing segment for a purchase price of $3.7 million.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14. SEGMENT INFORMATION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six reportable segments which operate in the Equipment Leasing and Infrastructure businesses across several market sectors. Our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operating leases. Shipping Containers consists of an investment in an unconsolidated entity engaged in the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a 1,630 acre deep-water port located along the Delaware River with an underground storage cavern and multiple industrial development opportunities, and Long Ridge, a 1,660 acre multi-modal port located along the Ohio River with rail, dock and multiple industrial development opportunities.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Net Income.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our pro-rata share of the Adjusted Net Income from unconsolidated entities (collectively “Adjusted Net Income”), and (c) to exclude the impact of the non-controlling share of Adjusted Net Income.</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Aviation</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244,270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8,719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253,039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17,444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126,839</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244,270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70,985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38,410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379,878</w:t>
            </w:r>
          </w:p>
        </w:tc>
        <w:tc>
          <w:tcPr>
            <w:tcW w:w="0" w:type="dxa"/>
            <w:vAlign w:val="bottom"/>
          </w:tcPr>
          <w:p>
            <w:pPr>
              <w:spacing w:after="0"/>
              <w:rPr>
                <w:sz w:val="1"/>
                <w:szCs w:val="1"/>
                <w:color w:val="auto"/>
              </w:rPr>
            </w:pPr>
          </w:p>
        </w:tc>
      </w:tr>
      <w:tr>
        <w:trPr>
          <w:trHeight w:val="256"/>
        </w:trPr>
        <w:tc>
          <w:tcPr>
            <w:tcW w:w="2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94,622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167,514</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17,126</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6,968</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4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15,726</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136,354</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15,513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36,996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57,854</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111,883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129,880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35,313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401,542</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7,332</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135,757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(14,332)</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1,372</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133,477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(15,704)</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rPr>
                <w:sz w:val="20"/>
                <w:szCs w:val="20"/>
                <w:color w:val="auto"/>
              </w:rPr>
            </w:pPr>
            <w:r>
              <w:rPr>
                <w:rFonts w:ascii="Arial" w:cs="Arial" w:eastAsia="Arial" w:hAnsi="Arial"/>
                <w:sz w:val="14"/>
                <w:szCs w:val="14"/>
                <w:color w:val="auto"/>
              </w:rPr>
              <w:t>Less: Net (loss) income attributable to</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4"/>
                <w:szCs w:val="14"/>
                <w:color w:val="auto"/>
              </w:rPr>
              <w:t>non-controlling interests in</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(21,801)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(21,586)</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133,501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(15,131)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(33,676)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3,793</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(6,557)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(76,501)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00"/>
          </w:cols>
          <w:pgMar w:left="240" w:top="121" w:right="25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Energy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135,428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10,128</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(1,030)</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adjustments to Adjusted Net Income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Add: Cash payments for income taxes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721</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Pro-rata share of Adjusted Net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4"/>
                <w:szCs w:val="14"/>
                <w:color w:val="auto"/>
              </w:rPr>
              <w:t>Income from investments in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1,196</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5,523</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(6,968)</w:t>
            </w: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(901)</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0" w:type="dxa"/>
            <w:vAlign w:val="bottom"/>
          </w:tcPr>
          <w:p>
            <w:pPr>
              <w:spacing w:after="0"/>
              <w:rPr>
                <w:sz w:val="1"/>
                <w:szCs w:val="1"/>
                <w:color w:val="auto"/>
              </w:rPr>
            </w:pPr>
          </w:p>
        </w:tc>
      </w:tr>
      <w:tr>
        <w:trPr>
          <w:trHeight w:val="177"/>
        </w:trPr>
        <w:tc>
          <w:tcPr>
            <w:tcW w:w="25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shareholders</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5"/>
                <w:szCs w:val="15"/>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9"/>
                <w:szCs w:val="9"/>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Terminal</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Terminals</w:t>
            </w: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10,053</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10,053</w:t>
            </w:r>
          </w:p>
        </w:tc>
        <w:tc>
          <w:tcPr>
            <w:tcW w:w="0" w:type="dxa"/>
            <w:vAlign w:val="bottom"/>
          </w:tcPr>
          <w:p>
            <w:pPr>
              <w:spacing w:after="0"/>
              <w:rPr>
                <w:sz w:val="1"/>
                <w:szCs w:val="1"/>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78,374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85,689</w:t>
            </w: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121,546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121,546</w:t>
            </w:r>
          </w:p>
        </w:tc>
        <w:tc>
          <w:tcPr>
            <w:tcW w:w="0" w:type="dxa"/>
            <w:vAlign w:val="bottom"/>
          </w:tcPr>
          <w:p>
            <w:pPr>
              <w:spacing w:after="0"/>
              <w:rPr>
                <w:sz w:val="1"/>
                <w:szCs w:val="1"/>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158,994</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3,596</w:t>
            </w: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244,270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70,985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17,444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b w:val="1"/>
                <w:bCs w:val="1"/>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379,878</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00"/>
          </w:cols>
          <w:pgMar w:left="240" w:top="121" w:right="2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156,793</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13,107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156,793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256"/>
        </w:trPr>
        <w:tc>
          <w:tcPr>
            <w:tcW w:w="2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92,385</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14,570</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88,110</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38,827</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68,483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256,930</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assets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17,985</w:t>
            </w:r>
          </w:p>
        </w:tc>
        <w:tc>
          <w:tcPr>
            <w:tcW w:w="0" w:type="dxa"/>
            <w:vAlign w:val="bottom"/>
          </w:tcPr>
          <w:p>
            <w:pPr>
              <w:spacing w:after="0"/>
              <w:rPr>
                <w:sz w:val="1"/>
                <w:szCs w:val="1"/>
                <w:color w:val="auto"/>
              </w:rPr>
            </w:pPr>
          </w:p>
        </w:tc>
      </w:tr>
      <w:tr>
        <w:trPr>
          <w:trHeight w:val="204"/>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94,519</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(48,710)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(21,286)</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20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92,553</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(48,752)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(23,240)</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91,856</w:t>
            </w:r>
          </w:p>
        </w:tc>
        <w:tc>
          <w:tcPr>
            <w:tcW w:w="3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(25,761)</w:t>
            </w:r>
          </w:p>
        </w:tc>
        <w:tc>
          <w:tcPr>
            <w:tcW w:w="120" w:type="dxa"/>
            <w:vAlign w:val="bottom"/>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(6,556)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(59,095)</w:t>
            </w:r>
          </w:p>
        </w:tc>
        <w:tc>
          <w:tcPr>
            <w:tcW w:w="12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00"/>
          </w:cols>
          <w:pgMar w:left="240" w:top="121" w:right="2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5"/>
                <w:szCs w:val="1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Energy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10,401</w:t>
            </w:r>
          </w:p>
        </w:tc>
        <w:tc>
          <w:tcPr>
            <w:tcW w:w="0" w:type="dxa"/>
            <w:vAlign w:val="bottom"/>
          </w:tcPr>
          <w:p>
            <w:pPr>
              <w:spacing w:after="0"/>
              <w:rPr>
                <w:sz w:val="1"/>
                <w:szCs w:val="1"/>
                <w:color w:val="auto"/>
              </w:rPr>
            </w:pPr>
          </w:p>
        </w:tc>
      </w:tr>
      <w:tr>
        <w:trPr>
          <w:trHeight w:val="174"/>
        </w:trPr>
        <w:tc>
          <w:tcPr>
            <w:tcW w:w="252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Arial" w:cs="Arial" w:eastAsia="Arial" w:hAnsi="Arial"/>
                <w:sz w:val="14"/>
                <w:szCs w:val="14"/>
                <w:color w:val="auto"/>
              </w:rPr>
              <w:t>adjustments to Adjusted Net Income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Arial" w:cs="Arial" w:eastAsia="Arial" w:hAnsi="Arial"/>
                <w:sz w:val="14"/>
                <w:szCs w:val="14"/>
                <w:color w:val="auto"/>
              </w:rPr>
              <w:t>Add: Cash payments for income taxes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4"/>
                <w:szCs w:val="14"/>
                <w:color w:val="auto"/>
              </w:rPr>
              <w:t>Less: Pro-rata share of Adjusted Net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rPr>
                <w:sz w:val="20"/>
                <w:szCs w:val="20"/>
                <w:color w:val="auto"/>
              </w:rPr>
            </w:pPr>
            <w:r>
              <w:rPr>
                <w:rFonts w:ascii="Arial" w:cs="Arial" w:eastAsia="Arial" w:hAnsi="Arial"/>
                <w:sz w:val="14"/>
                <w:szCs w:val="14"/>
                <w:color w:val="auto"/>
              </w:rPr>
              <w:t>Income from investments in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94"/>
        </w:trPr>
        <w:tc>
          <w:tcPr>
            <w:tcW w:w="25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(7,306)</w:t>
            </w:r>
          </w:p>
        </w:tc>
        <w:tc>
          <w:tcPr>
            <w:tcW w:w="0" w:type="dxa"/>
            <w:vAlign w:val="bottom"/>
          </w:tcPr>
          <w:p>
            <w:pPr>
              <w:spacing w:after="0"/>
              <w:rPr>
                <w:sz w:val="1"/>
                <w:szCs w:val="1"/>
                <w:color w:val="auto"/>
              </w:rPr>
            </w:pPr>
          </w:p>
        </w:tc>
      </w:tr>
      <w:tr>
        <w:trPr>
          <w:trHeight w:val="20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7"/>
        </w:trPr>
        <w:tc>
          <w:tcPr>
            <w:tcW w:w="25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shareholders</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9"/>
                <w:szCs w:val="9"/>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Terminals</w:t>
            </w: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9,993</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9,993</w:t>
            </w:r>
          </w:p>
        </w:tc>
        <w:tc>
          <w:tcPr>
            <w:tcW w:w="0" w:type="dxa"/>
            <w:vAlign w:val="bottom"/>
          </w:tcPr>
          <w:p>
            <w:pPr>
              <w:spacing w:after="0"/>
              <w:rPr>
                <w:sz w:val="1"/>
                <w:szCs w:val="1"/>
                <w:color w:val="auto"/>
              </w:rPr>
            </w:pPr>
          </w:p>
        </w:tc>
      </w:tr>
      <w:tr>
        <w:trPr>
          <w:trHeight w:val="222"/>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51,868</w:t>
            </w:r>
          </w:p>
        </w:tc>
        <w:tc>
          <w:tcPr>
            <w:tcW w:w="0" w:type="dxa"/>
            <w:vAlign w:val="bottom"/>
          </w:tcPr>
          <w:p>
            <w:pPr>
              <w:spacing w:after="0"/>
              <w:rPr>
                <w:sz w:val="1"/>
                <w:szCs w:val="1"/>
                <w:color w:val="auto"/>
              </w:rPr>
            </w:pPr>
          </w:p>
        </w:tc>
      </w:tr>
      <w:tr>
        <w:trPr>
          <w:trHeight w:val="210"/>
        </w:trPr>
        <w:tc>
          <w:tcPr>
            <w:tcW w:w="1940" w:type="dxa"/>
            <w:vAlign w:val="bottom"/>
          </w:tcPr>
          <w:p>
            <w:pPr>
              <w:ind w:left="20"/>
              <w:spacing w:after="0"/>
              <w:rPr>
                <w:sz w:val="20"/>
                <w:szCs w:val="20"/>
                <w:color w:val="auto"/>
              </w:rPr>
            </w:pPr>
            <w:r>
              <w:rPr>
                <w:rFonts w:ascii="Arial" w:cs="Arial" w:eastAsia="Arial" w:hAnsi="Arial"/>
                <w:sz w:val="14"/>
                <w:szCs w:val="14"/>
                <w:color w:val="auto"/>
              </w:rPr>
              <w:t>Europe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84,023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89,620</w:t>
            </w:r>
          </w:p>
        </w:tc>
        <w:tc>
          <w:tcPr>
            <w:tcW w:w="0" w:type="dxa"/>
            <w:vAlign w:val="bottom"/>
          </w:tcPr>
          <w:p>
            <w:pPr>
              <w:spacing w:after="0"/>
              <w:rPr>
                <w:sz w:val="1"/>
                <w:szCs w:val="1"/>
                <w:color w:val="auto"/>
              </w:rPr>
            </w:pPr>
          </w:p>
        </w:tc>
      </w:tr>
      <w:tr>
        <w:trPr>
          <w:trHeight w:val="222"/>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65,473</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156,793</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00"/>
          </w:cols>
          <w:pgMar w:left="240" w:top="121" w:right="2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95,408</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1,213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101,949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46,771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95,408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148,720</w:t>
            </w:r>
          </w:p>
        </w:tc>
        <w:tc>
          <w:tcPr>
            <w:tcW w:w="0" w:type="dxa"/>
            <w:vAlign w:val="bottom"/>
          </w:tcPr>
          <w:p>
            <w:pPr>
              <w:spacing w:after="0"/>
              <w:rPr>
                <w:sz w:val="1"/>
                <w:szCs w:val="1"/>
                <w:color w:val="auto"/>
              </w:rPr>
            </w:pPr>
          </w:p>
        </w:tc>
      </w:tr>
      <w:tr>
        <w:trPr>
          <w:trHeight w:val="256"/>
        </w:trPr>
        <w:tc>
          <w:tcPr>
            <w:tcW w:w="2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66,169</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12,314</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16,742</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60,210</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18,957</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41,058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180,708</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(8,342)</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(40,330)</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rPr>
                <w:sz w:val="20"/>
                <w:szCs w:val="20"/>
                <w:color w:val="auto"/>
              </w:rPr>
            </w:pPr>
            <w:r>
              <w:rPr>
                <w:rFonts w:ascii="Arial" w:cs="Arial" w:eastAsia="Arial" w:hAnsi="Arial"/>
                <w:sz w:val="14"/>
                <w:szCs w:val="14"/>
                <w:color w:val="auto"/>
              </w:rPr>
              <w:t>Less: Net income (loss) attributable to</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4"/>
                <w:szCs w:val="14"/>
                <w:color w:val="auto"/>
              </w:rPr>
              <w:t>non-controlling interests in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(20,534)</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59,004</w:t>
            </w:r>
          </w:p>
        </w:tc>
        <w:tc>
          <w:tcPr>
            <w:tcW w:w="3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(20,017)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(34,895)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00"/>
          </w:cols>
          <w:pgMar w:left="240" w:top="121" w:right="2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Energy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adjustments to Adjusted Net Income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Add: Cash payments for income taxes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Pro-rata share of Adjusted Net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4"/>
                <w:szCs w:val="14"/>
                <w:color w:val="auto"/>
              </w:rPr>
              <w:t>Income from investments in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Aviation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Shipping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12,344</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12,344</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47,354</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30,756</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56,893</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148,720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00"/>
          </w:cols>
          <w:pgMar w:left="240" w:top="121" w:right="25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Balance Sheet and location of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Containers</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Terminal</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Terminals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1,367,074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192,729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670,682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277,160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2,638,778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234,862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932,676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1,237,347</w:t>
            </w:r>
          </w:p>
        </w:tc>
        <w:tc>
          <w:tcPr>
            <w:tcW w:w="0" w:type="dxa"/>
            <w:vAlign w:val="bottom"/>
          </w:tcPr>
          <w:p>
            <w:pPr>
              <w:spacing w:after="0"/>
              <w:rPr>
                <w:sz w:val="1"/>
                <w:szCs w:val="1"/>
                <w:color w:val="auto"/>
              </w:rPr>
            </w:pPr>
          </w:p>
        </w:tc>
      </w:tr>
      <w:tr>
        <w:trPr>
          <w:trHeight w:val="270"/>
        </w:trPr>
        <w:tc>
          <w:tcPr>
            <w:tcW w:w="24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234,449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288,256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37,207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16,615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957,338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1,584,996</w:t>
            </w:r>
          </w:p>
        </w:tc>
        <w:tc>
          <w:tcPr>
            <w:tcW w:w="0" w:type="dxa"/>
            <w:vAlign w:val="bottom"/>
          </w:tcPr>
          <w:p>
            <w:pPr>
              <w:spacing w:after="0"/>
              <w:rPr>
                <w:sz w:val="1"/>
                <w:szCs w:val="1"/>
                <w:color w:val="auto"/>
              </w:rPr>
            </w:pPr>
          </w:p>
        </w:tc>
      </w:tr>
      <w:tr>
        <w:trPr>
          <w:trHeight w:val="256"/>
        </w:trPr>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52,058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56,383</w:t>
            </w: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1,132,625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141,604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382,426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27,079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260,545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(892,851)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1,053,782</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1,367,074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192,729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670,682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64,286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277,160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2,638,778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w:t>
            </w: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47,353</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47,353</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383,648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418,315</w:t>
            </w: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592,670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121,950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714,620</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177,962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926,270</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34,505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34,505</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1,236,138</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156,617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433,404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51,157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263,747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2,141,063</w:t>
            </w:r>
          </w:p>
        </w:tc>
        <w:tc>
          <w:tcPr>
            <w:tcW w:w="0" w:type="dxa"/>
            <w:vAlign w:val="bottom"/>
          </w:tcPr>
          <w:p>
            <w:pPr>
              <w:spacing w:after="0"/>
              <w:rPr>
                <w:sz w:val="1"/>
                <w:szCs w:val="1"/>
                <w:color w:val="auto"/>
              </w:rPr>
            </w:pPr>
          </w:p>
        </w:tc>
      </w:tr>
      <w:tr>
        <w:trPr>
          <w:trHeight w:val="195"/>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Shipping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Jefferson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Railroad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Ports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Containers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Terminal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Terminals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952,543</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195,101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579,329</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51,989</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123,693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145,882</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56,853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210,159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36,560</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806,661</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138,248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369,170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15,429</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109,464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952,543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195,101</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579,329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123,693</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48,722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Infrastructure</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Shipping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Jefferson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Railroad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Ports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Containers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Terminals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Africa</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36,648</w:t>
            </w:r>
          </w:p>
        </w:tc>
        <w:tc>
          <w:tcPr>
            <w:tcW w:w="20" w:type="dxa"/>
            <w:vAlign w:val="bottom"/>
          </w:tcPr>
          <w:p>
            <w:pPr>
              <w:spacing w:after="0"/>
              <w:rPr>
                <w:sz w:val="18"/>
                <w:szCs w:val="18"/>
                <w:color w:val="auto"/>
              </w:rPr>
            </w:pPr>
          </w:p>
        </w:tc>
        <w:tc>
          <w:tcPr>
            <w:tcW w:w="26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36,648</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373,224</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4"/>
                <w:szCs w:val="14"/>
                <w:color w:val="auto"/>
              </w:rPr>
              <w:t>Europe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527,166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527,166</w:t>
            </w: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371,687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627,041</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w:t>
            </w:r>
          </w:p>
        </w:tc>
        <w:tc>
          <w:tcPr>
            <w:tcW w:w="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870,491</w:t>
            </w:r>
          </w:p>
        </w:tc>
        <w:tc>
          <w:tcPr>
            <w:tcW w:w="20" w:type="dxa"/>
            <w:vAlign w:val="bottom"/>
            <w:shd w:val="clear" w:color="auto" w:fill="CCEEFF"/>
          </w:tcPr>
          <w:p>
            <w:pPr>
              <w:spacing w:after="0"/>
              <w:rPr>
                <w:sz w:val="15"/>
                <w:szCs w:val="15"/>
                <w:color w:val="auto"/>
              </w:rPr>
            </w:pPr>
          </w:p>
        </w:tc>
        <w:tc>
          <w:tcPr>
            <w:tcW w:w="26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163,072</w:t>
            </w:r>
          </w:p>
        </w:tc>
        <w:tc>
          <w:tcPr>
            <w:tcW w:w="8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371,687</w:t>
            </w:r>
          </w:p>
        </w:tc>
        <w:tc>
          <w:tcPr>
            <w:tcW w:w="40" w:type="dxa"/>
            <w:vAlign w:val="bottom"/>
            <w:shd w:val="clear" w:color="auto" w:fill="CCEEFF"/>
          </w:tcPr>
          <w:p>
            <w:pPr>
              <w:spacing w:after="0"/>
              <w:rPr>
                <w:sz w:val="15"/>
                <w:szCs w:val="15"/>
                <w:color w:val="auto"/>
              </w:rPr>
            </w:pPr>
          </w:p>
        </w:tc>
        <w:tc>
          <w:tcPr>
            <w:tcW w:w="24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40,512</w:t>
            </w:r>
          </w:p>
        </w:tc>
        <w:tc>
          <w:tcPr>
            <w:tcW w:w="6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118,317</w:t>
            </w:r>
          </w:p>
        </w:tc>
        <w:tc>
          <w:tcPr>
            <w:tcW w:w="6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1,564,079</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and leasing equipment, net</w:t>
            </w:r>
          </w:p>
        </w:tc>
        <w:tc>
          <w:tcPr>
            <w:tcW w:w="20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4"/>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3"/>
            <w:vMerge w:val="continue"/>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15. EARNINGS PER SHARE AND EQUITY</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earnings (loss) per share (“EPS”) is calculated by dividing net income (loss) attributable to shareholders by the weighted average number of shares of common stock outstanding, plus any participating securities. Diluted EPS is calculated by dividing net income (loss) attributable to shareholders by the weighted average number of shares of common stock outstanding, plus potentially dilutive securities. Potentially dilutive securities are calculated using the treasury stock method.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
        </w:trPr>
        <w:tc>
          <w:tcPr>
            <w:tcW w:w="5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(20,064)</w:t>
            </w:r>
          </w:p>
        </w:tc>
      </w:tr>
      <w:tr>
        <w:trPr>
          <w:trHeight w:val="210"/>
        </w:trPr>
        <w:tc>
          <w:tcPr>
            <w:tcW w:w="554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83,654,068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75,766,811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75,738,698</w:t>
            </w:r>
          </w:p>
        </w:tc>
      </w:tr>
      <w:tr>
        <w:trPr>
          <w:trHeight w:val="222"/>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83,664,833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75,766,811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75,738,698</w:t>
            </w:r>
          </w:p>
        </w:tc>
      </w:tr>
      <w:tr>
        <w:trPr>
          <w:trHeight w:val="270"/>
        </w:trPr>
        <w:tc>
          <w:tcPr>
            <w:tcW w:w="5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204"/>
        </w:trPr>
        <w:tc>
          <w:tcPr>
            <w:tcW w:w="55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420" w:type="dxa"/>
            <w:vAlign w:val="bottom"/>
          </w:tcPr>
          <w:p>
            <w:pPr>
              <w:jc w:val="right"/>
              <w:ind w:right="268"/>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(0.26)</w:t>
            </w:r>
          </w:p>
        </w:tc>
      </w:tr>
    </w:tbl>
    <w:p>
      <w:pPr>
        <w:spacing w:after="0" w:line="200" w:lineRule="exact"/>
        <w:rPr>
          <w:sz w:val="20"/>
          <w:szCs w:val="20"/>
          <w:color w:val="auto"/>
        </w:rPr>
      </w:pPr>
    </w:p>
    <w:p>
      <w:pPr>
        <w:spacing w:after="0" w:line="2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the years ended December 31, 2018, 2017 and 2016, 57,069, 438 and 8,082 shares have been excluded from the calculation of Diluted EPS, respectively, because the impact would be anti-dilutive.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121"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January 2018, we issued 7,000,000 common shares, par value $0.01 per share, at a price of $18.35 per share. We received net proceeds of $128.5 million after deducting underwriting discounts and commissions and offering expenses.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December 2018, we issued 1,263,423 common shares, par value $0.01 per share, at a price of $15.83 per share. We received net proceeds of $19.7 million after deducting estimated offering expenses.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See Note 11 for information related to options granted to the Manager in connection with both the January 2018 and December 2018 offerings.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16. COMMITMENTS AND CONTINGENCIES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segment, lessees have asserted that they are entitled to certain reimbursable expenses or adjustments per the terms of the related charter agreement. Although we believe that we have strong defenses against these claims, the range of potential damages is $0.0 million to $3.3 million. No amount has been recorded for this matter in our consolidated financial statements as of December 31, 2018, and we will continue to vigorously defend against these claims. Our maximum exposure under other arrangements is unknown as no additional claims have been made. We believe the risk of loss in connection with such arrangements is remote.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service conditions, not to exceed $15.0 million. We will account for such amounts when and if such service conditions are achieved.</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 million. We will account for such amounts when and if such conditions are achieved.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Several of our subsidiaries are lessees under various operating and capital leases. Total rent expense for operating leases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2016</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expense</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minimum future rental payments under operating and capital leases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9,360</w:t>
            </w:r>
          </w:p>
        </w:tc>
      </w:tr>
      <w:tr>
        <w:trPr>
          <w:trHeight w:val="210"/>
        </w:trPr>
        <w:tc>
          <w:tcPr>
            <w:tcW w:w="9520" w:type="dxa"/>
            <w:vAlign w:val="bottom"/>
          </w:tcPr>
          <w:p>
            <w:pPr>
              <w:ind w:left="20"/>
              <w:spacing w:after="0"/>
              <w:rPr>
                <w:sz w:val="20"/>
                <w:szCs w:val="20"/>
                <w:color w:val="auto"/>
              </w:rPr>
            </w:pPr>
            <w:r>
              <w:rPr>
                <w:rFonts w:ascii="Arial" w:cs="Arial" w:eastAsia="Arial" w:hAnsi="Arial"/>
                <w:sz w:val="14"/>
                <w:szCs w:val="14"/>
                <w:color w:val="auto"/>
              </w:rPr>
              <w:t>2020</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5,590</w:t>
            </w:r>
          </w:p>
        </w:tc>
      </w:tr>
      <w:tr>
        <w:trPr>
          <w:trHeight w:val="222"/>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w:t>
            </w:r>
          </w:p>
        </w:tc>
      </w:tr>
      <w:tr>
        <w:trPr>
          <w:trHeight w:val="210"/>
        </w:trPr>
        <w:tc>
          <w:tcPr>
            <w:tcW w:w="9520" w:type="dxa"/>
            <w:vAlign w:val="bottom"/>
          </w:tcPr>
          <w:p>
            <w:pPr>
              <w:ind w:left="20"/>
              <w:spacing w:after="0"/>
              <w:rPr>
                <w:sz w:val="20"/>
                <w:szCs w:val="20"/>
                <w:color w:val="auto"/>
              </w:rPr>
            </w:pPr>
            <w:r>
              <w:rPr>
                <w:rFonts w:ascii="Arial" w:cs="Arial" w:eastAsia="Arial" w:hAnsi="Arial"/>
                <w:sz w:val="14"/>
                <w:szCs w:val="14"/>
                <w:color w:val="auto"/>
              </w:rPr>
              <w:t>2022</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3,431</w:t>
            </w:r>
          </w:p>
        </w:tc>
      </w:tr>
      <w:tr>
        <w:trPr>
          <w:trHeight w:val="222"/>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r>
      <w:tr>
        <w:trPr>
          <w:trHeight w:val="21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95,202</w:t>
            </w:r>
          </w:p>
        </w:tc>
      </w:tr>
      <w:tr>
        <w:trPr>
          <w:trHeight w:val="241"/>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120,429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17. QUARTERLY FINANCIAL INFORMATION (UNAUDITED)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unaudited summary information for our quarterly operations.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68,844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71,979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101,155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379,878</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78,128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83,870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100,549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138,995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401,542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7,332</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(Loss) income before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(8,838)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(5,915)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(14,332)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551</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1,372</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(loss)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(9,333)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(6,449)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(15,704)</w:t>
            </w:r>
          </w:p>
        </w:tc>
        <w:tc>
          <w:tcPr>
            <w:tcW w:w="0" w:type="dxa"/>
            <w:vAlign w:val="bottom"/>
          </w:tcPr>
          <w:p>
            <w:pPr>
              <w:spacing w:after="0"/>
              <w:rPr>
                <w:sz w:val="1"/>
                <w:szCs w:val="1"/>
                <w:color w:val="auto"/>
              </w:rPr>
            </w:pPr>
          </w:p>
        </w:tc>
      </w:tr>
      <w:tr>
        <w:trPr>
          <w:trHeight w:val="20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interests in consolidated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(7,288)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(21,586)</w:t>
            </w: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4,578</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1,037</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Basic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0.07</w:t>
            </w:r>
          </w:p>
        </w:tc>
        <w:tc>
          <w:tcPr>
            <w:tcW w:w="0" w:type="dxa"/>
            <w:vAlign w:val="bottom"/>
          </w:tcPr>
          <w:p>
            <w:pPr>
              <w:spacing w:after="0"/>
              <w:rPr>
                <w:sz w:val="1"/>
                <w:szCs w:val="1"/>
                <w:color w:val="auto"/>
              </w:rPr>
            </w:pPr>
          </w:p>
        </w:tc>
      </w:tr>
      <w:tr>
        <w:trPr>
          <w:trHeight w:val="210"/>
        </w:trPr>
        <w:tc>
          <w:tcPr>
            <w:tcW w:w="4080" w:type="dxa"/>
            <w:vAlign w:val="bottom"/>
          </w:tcPr>
          <w:p>
            <w:pPr>
              <w:ind w:left="420"/>
              <w:spacing w:after="0"/>
              <w:rPr>
                <w:sz w:val="20"/>
                <w:szCs w:val="20"/>
                <w:color w:val="auto"/>
              </w:rPr>
            </w:pPr>
            <w:r>
              <w:rPr>
                <w:rFonts w:ascii="Arial" w:cs="Arial" w:eastAsia="Arial" w:hAnsi="Arial"/>
                <w:sz w:val="14"/>
                <w:szCs w:val="14"/>
                <w:color w:val="auto"/>
              </w:rPr>
              <w:t>Diluted</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20"/>
              <w:spacing w:after="0"/>
              <w:rPr>
                <w:sz w:val="20"/>
                <w:szCs w:val="20"/>
                <w:color w:val="auto"/>
              </w:rPr>
            </w:pPr>
            <w:r>
              <w:rPr>
                <w:rFonts w:ascii="Arial" w:cs="Arial" w:eastAsia="Arial" w:hAnsi="Arial"/>
                <w:sz w:val="14"/>
                <w:szCs w:val="14"/>
                <w:color w:val="auto"/>
              </w:rPr>
              <w:t>Basic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81,534,454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83,160,037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84,708,071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85,065,125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83,654,068</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Diluted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81,534,454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83,160,047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84,709,656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85,068,966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83,664,833</w:t>
            </w:r>
          </w:p>
        </w:tc>
        <w:tc>
          <w:tcPr>
            <w:tcW w:w="0" w:type="dxa"/>
            <w:vAlign w:val="bottom"/>
          </w:tcPr>
          <w:p>
            <w:pPr>
              <w:spacing w:after="0"/>
              <w:rPr>
                <w:sz w:val="1"/>
                <w:szCs w:val="1"/>
                <w:color w:val="auto"/>
              </w:rPr>
            </w:pPr>
          </w:p>
        </w:tc>
      </w:tr>
      <w:tr>
        <w:trPr>
          <w:trHeight w:val="831"/>
        </w:trPr>
        <w:tc>
          <w:tcPr>
            <w:tcW w:w="4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60,362</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217,659</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52,264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58,315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66,328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256,930</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5,204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17,985</w:t>
            </w: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(5,345)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(21,286)</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(5,809)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(23,240)</w:t>
            </w:r>
          </w:p>
        </w:tc>
        <w:tc>
          <w:tcPr>
            <w:tcW w:w="0" w:type="dxa"/>
            <w:vAlign w:val="bottom"/>
          </w:tcPr>
          <w:p>
            <w:pPr>
              <w:spacing w:after="0"/>
              <w:rPr>
                <w:sz w:val="1"/>
                <w:szCs w:val="1"/>
                <w:color w:val="auto"/>
              </w:rPr>
            </w:pPr>
          </w:p>
        </w:tc>
      </w:tr>
      <w:tr>
        <w:trPr>
          <w:trHeight w:val="20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interests in consolidated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(4,349)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(1,460)</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2,998</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3,010</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(Loss) earnings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Basic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(0.02)</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080" w:type="dxa"/>
            <w:vAlign w:val="bottom"/>
          </w:tcPr>
          <w:p>
            <w:pPr>
              <w:ind w:left="420"/>
              <w:spacing w:after="0"/>
              <w:rPr>
                <w:sz w:val="20"/>
                <w:szCs w:val="20"/>
                <w:color w:val="auto"/>
              </w:rPr>
            </w:pPr>
            <w:r>
              <w:rPr>
                <w:rFonts w:ascii="Arial" w:cs="Arial" w:eastAsia="Arial" w:hAnsi="Arial"/>
                <w:sz w:val="14"/>
                <w:szCs w:val="14"/>
                <w:color w:val="auto"/>
              </w:rPr>
              <w:t>Diluted</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0.04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20"/>
              <w:spacing w:after="0"/>
              <w:rPr>
                <w:sz w:val="20"/>
                <w:szCs w:val="20"/>
                <w:color w:val="auto"/>
              </w:rPr>
            </w:pPr>
            <w:r>
              <w:rPr>
                <w:rFonts w:ascii="Arial" w:cs="Arial" w:eastAsia="Arial" w:hAnsi="Arial"/>
                <w:sz w:val="14"/>
                <w:szCs w:val="14"/>
                <w:color w:val="auto"/>
              </w:rPr>
              <w:t>Basic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75,762,283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75,762,674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75,770,529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75,771,738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75,766,811</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Diluted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75,762,283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75,762,674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75,770,665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75,772,867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75,766,811</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w:t>
      </w:r>
    </w:p>
    <w:p>
      <w:pPr>
        <w:spacing w:after="0" w:line="244" w:lineRule="exact"/>
        <w:rPr>
          <w:sz w:val="20"/>
          <w:szCs w:val="20"/>
          <w:color w:val="auto"/>
        </w:rPr>
      </w:pPr>
    </w:p>
    <w:p>
      <w:pPr>
        <w:jc w:val="both"/>
        <w:ind w:left="180" w:hanging="172"/>
        <w:spacing w:after="0" w:line="229" w:lineRule="auto"/>
        <w:tabs>
          <w:tab w:leader="none" w:pos="158" w:val="left"/>
        </w:tabs>
        <w:numPr>
          <w:ilvl w:val="0"/>
          <w:numId w:val="77"/>
        </w:numPr>
        <w:rPr>
          <w:rFonts w:ascii="Arial" w:cs="Arial" w:eastAsia="Arial" w:hAnsi="Arial"/>
          <w:sz w:val="18"/>
          <w:szCs w:val="18"/>
          <w:b w:val="1"/>
          <w:bCs w:val="1"/>
          <w:color w:val="auto"/>
          <w:vertAlign w:val="superscript"/>
        </w:rPr>
      </w:pPr>
      <w:r>
        <w:rPr>
          <w:rFonts w:ascii="Arial" w:cs="Arial" w:eastAsia="Arial" w:hAnsi="Arial"/>
          <w:sz w:val="14"/>
          <w:szCs w:val="14"/>
          <w:color w:val="auto"/>
        </w:rPr>
        <w:t>Results of operations for the three months ended December 31, 2017 include a $5.9 million out of period adjustment to interest expense, which relates to interest previously capitalized that should have been expensed ratably during the first nine months of 2017. The impact of the out of period adjustment for the three months ended December 31, 2017, was a decrease of $3.6 million to net (loss) income attributed to shareholders. We do not believe this out of period adjustment is material to our financial position, or results of operations for any prior periods.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b w:val="1"/>
          <w:bCs w:val="1"/>
          <w:color w:val="00497F"/>
        </w:rPr>
        <w:t>FORTRESS TRANSPORTATION AND INFRASTRUCTURE INVESTORS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(Dollars in tables in thousands, unless otherwise noted)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18. 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January 2019, we issued 16,275 common shares to certain directors as compensation.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2019 we issued an additional $150 million of 2022 Notes that bear interest at a rate of 6.75% per annum at an offering price of 98.5% of the principal amount plus accrued interest from September 15, 2018.</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February 8, 2019, we entered into an amendment to the Revolving Credit Facility. The amendment, among other things, (i) increases the aggregate revolving commitments under the Revolving Credit Facility by $125 million to $250 million (ii) extends the maturity date of the revolving loans and commitments under the Revolving Credit Facility to January 31, 2022 and (iii) makes certain modifications to the financial covenants under the Revolving Credit Facility.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2019, certain Holders of Class B Units (see Note 13) converted 447,407 Class B Units in exchange for 331,348 common shares.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27, 2019, our Board of Directors declared a cash dividend on our common shares and eligible participating securities of $0.33 per share for the quarter ended December 31, 2018, payable on March 27, 2019 to the holders of record on March 15,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Construction of Power Plant at Long Ridge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Construction Agreements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February 15, 2019, Long Ridge Energy Generation LLC ("LREG"), a subsidiary of the Company, entered into an engineering, procurement and construction agreement with Kiewit Power Constructors Co. to construct a 485 megawatt natural gas fired, combined cycle power plant at Long Ridge Energy Terminal. Additionally, LREG entered into an agreement for the purchase and sale of certain power generation equipment and related services with General Electric Company. The aggregate value of both of these agreements is approximately $430 million.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February 15, 2019, LREG and two other subsidiaries (collectively, "Co-Borrowers") entered into certain credit agreements establishing (i) a $445 million construction loan and term loan, (ii) a $154 million letter of credit facility and (iii) a $143 million construction loan and term loan, all of which will be used for the purposes of funding the development, construction and completion of the power plant. The borrowings under these agreements are secured by the assets of the Co-Borrowers, are not guaranteed by the Company and are non-recourse to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Fixed Price Power Agreements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construction of the power plant, LREG entered into fixed price power agreements for 457 megawatts of electric power. The agreements become effective on February 1, 2022, with 207 megawatts having a term of ten years and 250 megawatts having a term of seven years. Under the terms of the agreements, LREG receives a weighted average fixed price of $27.30 per megawatt hour and pays a variable price equal to the ELECTRICITY-PJM-AEP/DAYTON HUB-DAY AHEAD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20"/>
          </w:cols>
          <w:pgMar w:left="240" w:top="12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Report of Independent Auditors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Management of Intermodal Finance I Ltd.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 xml:space="preserve">We have audited the accompanying consolidated financial statements of </w:t>
      </w:r>
      <w:r>
        <w:rPr>
          <w:rFonts w:ascii="Arial" w:cs="Arial" w:eastAsia="Arial" w:hAnsi="Arial"/>
          <w:sz w:val="16"/>
          <w:szCs w:val="16"/>
          <w:color w:val="000000"/>
        </w:rPr>
        <w:t>Intermodal Finance I Ltd.</w:t>
      </w:r>
      <w:r>
        <w:rPr>
          <w:rFonts w:ascii="Arial" w:cs="Arial" w:eastAsia="Arial" w:hAnsi="Arial"/>
          <w:sz w:val="16"/>
          <w:szCs w:val="16"/>
          <w:color w:val="333333"/>
        </w:rPr>
        <w:t xml:space="preserve"> , which comprise the consolidated balance sheets as of December 31, 2017 and 2016, and the related consolidated statements of operations, comprehensive loss, changes in members’ (deficit) equity and cash flows for the years then ended, and the related notes to the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the Financial Statements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Auditor’s Responsibility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33333"/>
        </w:rPr>
        <w:t>We believe that the audit evidence we have obtained is sufficient and appropriate to provide a basis for our audit opinion.</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In our opinion, the financial statements referred to above present fairly, in all material respects, the consolidated financial position of Intermodal Finance I Ltd. at December 31, 2017 and 2016, and the consolidated results of its operations and its cash flows for the years then ended in conformity with U.S. generally accepted accounting principles.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Supplementary Information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Our audits were conducted for the purpose of forming an opinion on the consolidated financial statements as a whole. The accompanying Other Financial Information is presented for purposes of additional analysis and is not a required part of the financial statements. Such information is the responsibility of management and was derived from and relates directly to the underlying accounting and other records used to prepare the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financial statements or to the financial statements themselves, and other additional procedures in accordance with auditing standards generally accepted in the United States. In our opinion, the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932" w:right="2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color w:val="00497F"/>
        </w:rPr>
        <w:t>INTERMODAL FINANCE I LTD.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2"/>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9"/>
                <w:szCs w:val="19"/>
                <w:color w:val="auto"/>
              </w:rPr>
            </w:pPr>
          </w:p>
        </w:tc>
        <w:tc>
          <w:tcPr>
            <w:tcW w:w="172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 2017</w:t>
            </w:r>
          </w:p>
        </w:tc>
      </w:tr>
      <w:tr>
        <w:trPr>
          <w:trHeight w:val="202"/>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1,648</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Leasing assets, net of accumulated depreciation of $2,187 and $4,085, respectively</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6,037</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Finance Leases, net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7,115</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Liabilities and Deficit</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Management fees payable</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 payable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Accrued interest payable to affiliates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 loan payable, net</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r>
      <w:tr>
        <w:trPr>
          <w:trHeight w:val="210"/>
        </w:trPr>
        <w:tc>
          <w:tcPr>
            <w:tcW w:w="7440" w:type="dxa"/>
            <w:vAlign w:val="bottom"/>
          </w:tcPr>
          <w:p>
            <w:pPr>
              <w:ind w:left="120"/>
              <w:spacing w:after="0"/>
              <w:rPr>
                <w:sz w:val="20"/>
                <w:szCs w:val="20"/>
                <w:color w:val="auto"/>
              </w:rPr>
            </w:pPr>
            <w:r>
              <w:rPr>
                <w:rFonts w:ascii="Arial" w:cs="Arial" w:eastAsia="Arial" w:hAnsi="Arial"/>
                <w:sz w:val="14"/>
                <w:szCs w:val="14"/>
                <w:color w:val="auto"/>
              </w:rPr>
              <w:t>Loans payable to affiliates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14,364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18,080</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210"/>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14,671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26,298</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Members’ deficit</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(9,602)</w:t>
            </w:r>
          </w:p>
        </w:tc>
      </w:tr>
      <w:tr>
        <w:trPr>
          <w:trHeight w:val="216"/>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members’ deficit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16,696</w:t>
            </w:r>
          </w:p>
        </w:tc>
      </w:tr>
      <w:tr>
        <w:trPr>
          <w:trHeight w:val="21"/>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00"/>
          </w:cols>
          <w:pgMar w:left="240" w:top="932"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00497F"/>
        </w:rPr>
        <w:t>INTERMODAL FINANCE I LTD.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Year Ended December 31,</w:t>
            </w:r>
          </w:p>
        </w:tc>
      </w:tr>
      <w:tr>
        <w:trPr>
          <w:trHeight w:val="162"/>
        </w:trPr>
        <w:tc>
          <w:tcPr>
            <w:tcW w:w="6000" w:type="dxa"/>
            <w:vAlign w:val="bottom"/>
          </w:tcPr>
          <w:p>
            <w:pPr>
              <w:spacing w:after="0"/>
              <w:rPr>
                <w:sz w:val="14"/>
                <w:szCs w:val="14"/>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r>
      <w:tr>
        <w:trPr>
          <w:trHeight w:val="197"/>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2"/>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leasing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r>
      <w:tr>
        <w:trPr>
          <w:trHeight w:val="210"/>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Finance revenue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9,716</w:t>
            </w:r>
          </w:p>
        </w:tc>
      </w:tr>
      <w:tr>
        <w:trPr>
          <w:trHeight w:val="202"/>
        </w:trPr>
        <w:tc>
          <w:tcPr>
            <w:tcW w:w="6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6000" w:type="dxa"/>
            <w:vAlign w:val="bottom"/>
          </w:tcPr>
          <w:p>
            <w:pPr>
              <w:ind w:left="120"/>
              <w:spacing w:after="0"/>
              <w:rPr>
                <w:sz w:val="20"/>
                <w:szCs w:val="20"/>
                <w:color w:val="auto"/>
              </w:rPr>
            </w:pPr>
            <w:r>
              <w:rPr>
                <w:rFonts w:ascii="Arial" w:cs="Arial" w:eastAsia="Arial" w:hAnsi="Arial"/>
                <w:sz w:val="14"/>
                <w:szCs w:val="14"/>
                <w:color w:val="auto"/>
              </w:rPr>
              <w:t>Direct operating expenses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1,490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1,780</w:t>
            </w:r>
          </w:p>
        </w:tc>
      </w:tr>
      <w:tr>
        <w:trPr>
          <w:trHeight w:val="222"/>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fee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r>
      <w:tr>
        <w:trPr>
          <w:trHeight w:val="210"/>
        </w:trPr>
        <w:tc>
          <w:tcPr>
            <w:tcW w:w="60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5,815</w:t>
            </w:r>
          </w:p>
        </w:tc>
      </w:tr>
      <w:tr>
        <w:trPr>
          <w:trHeight w:val="222"/>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r>
      <w:tr>
        <w:trPr>
          <w:trHeight w:val="210"/>
        </w:trPr>
        <w:tc>
          <w:tcPr>
            <w:tcW w:w="6000" w:type="dxa"/>
            <w:vAlign w:val="bottom"/>
          </w:tcPr>
          <w:p>
            <w:pPr>
              <w:ind w:left="120"/>
              <w:spacing w:after="0"/>
              <w:rPr>
                <w:sz w:val="20"/>
                <w:szCs w:val="20"/>
                <w:color w:val="auto"/>
              </w:rPr>
            </w:pPr>
            <w:r>
              <w:rPr>
                <w:rFonts w:ascii="Arial" w:cs="Arial" w:eastAsia="Arial" w:hAnsi="Arial"/>
                <w:sz w:val="14"/>
                <w:szCs w:val="14"/>
                <w:color w:val="auto"/>
              </w:rPr>
              <w:t>Interest expense-affiliates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22"/>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expense</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w:t>
            </w:r>
          </w:p>
        </w:tc>
      </w:tr>
      <w:tr>
        <w:trPr>
          <w:trHeight w:val="210"/>
        </w:trPr>
        <w:tc>
          <w:tcPr>
            <w:tcW w:w="6000" w:type="dxa"/>
            <w:vAlign w:val="bottom"/>
          </w:tcPr>
          <w:p>
            <w:pPr>
              <w:ind w:left="120"/>
              <w:spacing w:after="0"/>
              <w:rPr>
                <w:sz w:val="20"/>
                <w:szCs w:val="20"/>
                <w:color w:val="auto"/>
              </w:rPr>
            </w:pPr>
            <w:r>
              <w:rPr>
                <w:rFonts w:ascii="Arial" w:cs="Arial" w:eastAsia="Arial" w:hAnsi="Arial"/>
                <w:sz w:val="14"/>
                <w:szCs w:val="14"/>
                <w:color w:val="auto"/>
              </w:rPr>
              <w:t>General and administrative expense</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3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3,061</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7,386</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17,769</w:t>
            </w:r>
          </w:p>
        </w:tc>
      </w:tr>
      <w:tr>
        <w:trPr>
          <w:trHeight w:val="202"/>
        </w:trPr>
        <w:tc>
          <w:tcPr>
            <w:tcW w:w="6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Other income (loss)</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r>
      <w:tr>
        <w:trPr>
          <w:trHeight w:val="210"/>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Gain (loss) on disposal of equipment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(4,028)</w:t>
            </w:r>
          </w:p>
        </w:tc>
      </w:tr>
      <w:tr>
        <w:trPr>
          <w:trHeight w:val="202"/>
        </w:trPr>
        <w:tc>
          <w:tcPr>
            <w:tcW w:w="60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00"/>
          </w:cols>
          <w:pgMar w:left="240" w:top="932" w:right="25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color w:val="00497F"/>
        </w:rPr>
        <w:t>INTERMODAL FINANCE I LTD.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COMPREHENSIVE INCOME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Year Ended December 31,</w:t>
            </w:r>
          </w:p>
        </w:tc>
      </w:tr>
      <w:tr>
        <w:trPr>
          <w:trHeight w:val="162"/>
        </w:trPr>
        <w:tc>
          <w:tcPr>
            <w:tcW w:w="5960" w:type="dxa"/>
            <w:vAlign w:val="bottom"/>
          </w:tcPr>
          <w:p>
            <w:pPr>
              <w:spacing w:after="0"/>
              <w:rPr>
                <w:sz w:val="14"/>
                <w:szCs w:val="14"/>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r>
      <w:tr>
        <w:trPr>
          <w:trHeight w:val="210"/>
        </w:trPr>
        <w:tc>
          <w:tcPr>
            <w:tcW w:w="596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3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932" w:right="259" w:bottom="10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00"/>
          </w:cols>
          <w:pgMar w:left="240" w:top="932" w:right="259" w:bottom="1004"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color w:val="00497F"/>
        </w:rPr>
        <w:t>INTERMODAL FINANCE I LTD.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CONSOLIDATED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00497F"/>
        </w:rPr>
        <w:t>(dollar amounts in thousands)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r>
      <w:tr>
        <w:trPr>
          <w:trHeight w:val="162"/>
        </w:trPr>
        <w:tc>
          <w:tcPr>
            <w:tcW w:w="6180" w:type="dxa"/>
            <w:vAlign w:val="bottom"/>
          </w:tcPr>
          <w:p>
            <w:pPr>
              <w:spacing w:after="0"/>
              <w:rPr>
                <w:sz w:val="14"/>
                <w:szCs w:val="14"/>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6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operating activities: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(12,081)</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Depreciation and amortization of deferred financing costs</w:t>
            </w:r>
          </w:p>
        </w:tc>
        <w:tc>
          <w:tcPr>
            <w:tcW w:w="32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6,093</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disposal of equipment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5,225</w:t>
            </w: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Impairment of equipment held for lease</w:t>
            </w:r>
          </w:p>
        </w:tc>
        <w:tc>
          <w:tcPr>
            <w:tcW w:w="3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6,016</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Change in:</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210"/>
        </w:trPr>
        <w:tc>
          <w:tcPr>
            <w:tcW w:w="618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2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10"/>
        </w:trPr>
        <w:tc>
          <w:tcPr>
            <w:tcW w:w="6180" w:type="dxa"/>
            <w:vAlign w:val="bottom"/>
          </w:tcPr>
          <w:p>
            <w:pPr>
              <w:ind w:left="220"/>
              <w:spacing w:after="0"/>
              <w:rPr>
                <w:sz w:val="20"/>
                <w:szCs w:val="20"/>
                <w:color w:val="auto"/>
              </w:rPr>
            </w:pPr>
            <w:r>
              <w:rPr>
                <w:rFonts w:ascii="Arial" w:cs="Arial" w:eastAsia="Arial" w:hAnsi="Arial"/>
                <w:sz w:val="14"/>
                <w:szCs w:val="14"/>
                <w:color w:val="auto"/>
              </w:rPr>
              <w:t>Accrued interest payable</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(674)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22"/>
        </w:trPr>
        <w:tc>
          <w:tcPr>
            <w:tcW w:w="6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Management fees payable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5,721</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Principal collections on direct finance leases</w:t>
            </w:r>
          </w:p>
        </w:tc>
        <w:tc>
          <w:tcPr>
            <w:tcW w:w="32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5,636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16,886</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disposal of equipment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11,051</w:t>
            </w:r>
          </w:p>
        </w:tc>
      </w:tr>
      <w:tr>
        <w:trPr>
          <w:trHeight w:val="210"/>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Restricted cash</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28,933</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used in financing activities: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Principal repayments on term loan</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(7,549)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(32,360)</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Principal repayments on loans payable to affiliates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Principal repayments on syndication liabilities</w:t>
            </w:r>
          </w:p>
        </w:tc>
        <w:tc>
          <w:tcPr>
            <w:tcW w:w="3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(1,994)</w:t>
            </w:r>
          </w:p>
        </w:tc>
      </w:tr>
      <w:tr>
        <w:trPr>
          <w:trHeight w:val="222"/>
        </w:trPr>
        <w:tc>
          <w:tcPr>
            <w:tcW w:w="6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financing fee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180" w:type="dxa"/>
            <w:vAlign w:val="bottom"/>
          </w:tcPr>
          <w:p>
            <w:pPr>
              <w:ind w:left="100"/>
              <w:spacing w:after="0"/>
              <w:rPr>
                <w:sz w:val="20"/>
                <w:szCs w:val="20"/>
                <w:color w:val="auto"/>
              </w:rPr>
            </w:pPr>
            <w:r>
              <w:rPr>
                <w:rFonts w:ascii="Arial" w:cs="Arial" w:eastAsia="Arial" w:hAnsi="Arial"/>
                <w:sz w:val="14"/>
                <w:szCs w:val="14"/>
                <w:color w:val="auto"/>
              </w:rPr>
              <w:t>Capital distributions</w:t>
            </w:r>
          </w:p>
        </w:tc>
        <w:tc>
          <w:tcPr>
            <w:tcW w:w="3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(11,280)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(35,201)</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r>
      <w:tr>
        <w:trPr>
          <w:trHeight w:val="21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r>
      <w:tr>
        <w:trPr>
          <w:trHeight w:val="24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4"/>
        </w:trPr>
        <w:tc>
          <w:tcPr>
            <w:tcW w:w="61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1,138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932"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00497F"/>
        </w:rPr>
        <w:t>INTERMODAL FINANCE I LTD.</w:t>
      </w:r>
    </w:p>
    <w:p>
      <w:pPr>
        <w:spacing w:after="0" w:line="127" w:lineRule="exact"/>
        <w:rPr>
          <w:sz w:val="20"/>
          <w:szCs w:val="20"/>
          <w:color w:val="auto"/>
        </w:rPr>
      </w:pPr>
    </w:p>
    <w:p>
      <w:pPr>
        <w:ind w:right="5300"/>
        <w:spacing w:after="0" w:line="286" w:lineRule="auto"/>
        <w:rPr>
          <w:sz w:val="20"/>
          <w:szCs w:val="20"/>
          <w:color w:val="auto"/>
        </w:rPr>
      </w:pPr>
      <w:r>
        <w:rPr>
          <w:rFonts w:ascii="Arial" w:cs="Arial" w:eastAsia="Arial" w:hAnsi="Arial"/>
          <w:sz w:val="16"/>
          <w:szCs w:val="16"/>
          <w:b w:val="1"/>
          <w:bCs w:val="1"/>
          <w:color w:val="00497F"/>
        </w:rPr>
        <w:t xml:space="preserve">CONSOLIDATED STATEMENTS OF CHANGES IN MEMBERS’ (DEFICIT) EQUITY </w:t>
      </w:r>
      <w:r>
        <w:rPr>
          <w:rFonts w:ascii="Arial" w:cs="Arial" w:eastAsia="Arial" w:hAnsi="Arial"/>
          <w:sz w:val="16"/>
          <w:szCs w:val="16"/>
          <w:color w:val="00497F"/>
        </w:rPr>
        <w:t>(dollar amounts in thousands)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WWTAI</w:t>
            </w: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Deutsche</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160" w:type="dxa"/>
            <w:vAlign w:val="bottom"/>
          </w:tcPr>
          <w:p>
            <w:pPr>
              <w:spacing w:after="0"/>
              <w:rPr>
                <w:sz w:val="17"/>
                <w:szCs w:val="17"/>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Container HoldCo Ltd</w:t>
            </w:r>
          </w:p>
        </w:tc>
        <w:tc>
          <w:tcPr>
            <w:tcW w:w="300" w:type="dxa"/>
            <w:vAlign w:val="bottom"/>
          </w:tcPr>
          <w:p>
            <w:pPr>
              <w:spacing w:after="0"/>
              <w:rPr>
                <w:sz w:val="17"/>
                <w:szCs w:val="17"/>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Bank AG</w:t>
            </w:r>
          </w:p>
        </w:tc>
        <w:tc>
          <w:tcPr>
            <w:tcW w:w="380" w:type="dxa"/>
            <w:vAlign w:val="bottom"/>
          </w:tcPr>
          <w:p>
            <w:pPr>
              <w:spacing w:after="0"/>
              <w:rPr>
                <w:sz w:val="17"/>
                <w:szCs w:val="17"/>
                <w:color w:val="auto"/>
              </w:rPr>
            </w:pPr>
          </w:p>
        </w:tc>
        <w:tc>
          <w:tcPr>
            <w:tcW w:w="128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21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Members’ Deficit at December 31, 2016</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(9,232)</w:t>
            </w:r>
          </w:p>
        </w:tc>
      </w:tr>
      <w:tr>
        <w:trPr>
          <w:trHeight w:val="210"/>
        </w:trPr>
        <w:tc>
          <w:tcPr>
            <w:tcW w:w="616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6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 for the period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210"/>
        </w:trPr>
        <w:tc>
          <w:tcPr>
            <w:tcW w:w="616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204"/>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Members’ Deficit at December 31, 2017</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(9,602)</w:t>
            </w:r>
          </w:p>
        </w:tc>
      </w:tr>
      <w:tr>
        <w:trPr>
          <w:trHeight w:val="202"/>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0"/>
        </w:trPr>
        <w:tc>
          <w:tcPr>
            <w:tcW w:w="6160" w:type="dxa"/>
            <w:vAlign w:val="bottom"/>
          </w:tcPr>
          <w:p>
            <w:pPr>
              <w:ind w:left="100"/>
              <w:spacing w:after="0"/>
              <w:rPr>
                <w:sz w:val="20"/>
                <w:szCs w:val="20"/>
                <w:color w:val="auto"/>
              </w:rPr>
            </w:pPr>
            <w:r>
              <w:rPr>
                <w:rFonts w:ascii="Arial" w:cs="Arial" w:eastAsia="Arial" w:hAnsi="Arial"/>
                <w:sz w:val="14"/>
                <w:szCs w:val="14"/>
                <w:color w:val="auto"/>
              </w:rPr>
              <w:t>Net income for the period</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comprehensive income</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w:t>
            </w:r>
          </w:p>
        </w:tc>
      </w:tr>
      <w:tr>
        <w:trPr>
          <w:trHeight w:val="241"/>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Members’ Deficit at December 31, 2018 (Unaudited)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(5,208)</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40" w:top="93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00"/>
          </w:cols>
          <w:pgMar w:left="240" w:top="932" w:right="25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1. ORGANIZATION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Intermodal Finance I Ltd. (“Intermodal Finance”) is a Cayman Islands limited liability company which was formed on August 21, 2012 for the object and purpose of, directly or indirectly, investing in portfolios of shipping containers subject to operating leases or direct financing leases, and engaging in all activities incidental hereto.</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members of Intermodal Finance are WWTAI Container HoldCo Ltd., with a 51% interest, and Deutsche Bank AG, Cayman Islands Branch, with a 49% interest. Intermodal Finance shall continue in existence until such time as its members determine upon its winding up and dissolution. Intermodal Finance commenced operations on September 5, 2012.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Basis of Accounting</w:t>
      </w:r>
      <w:r>
        <w:rPr>
          <w:rFonts w:ascii="Arial" w:cs="Arial" w:eastAsia="Arial" w:hAnsi="Arial"/>
          <w:sz w:val="16"/>
          <w:szCs w:val="16"/>
          <w:color w:val="auto"/>
        </w:rPr>
        <w:t>—The accompanying consolidated financial statements are prepared in accordance with U.S. generally accepted accounting principles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(“GAAP”) and include the accounts of Intermodal Finance and its subsidiaries. Intermodal Finance consolidates those entities which it has an investment of 50% or more and in which it has control over significant operating decisions, as well as variable interest entities in which Intermodal Finance is the primary beneficiary. All significant intercompany transactions and balances have been eliminated.</w:t>
      </w:r>
    </w:p>
    <w:p>
      <w:pPr>
        <w:spacing w:after="0" w:line="9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Intermodal Finance holds a variable interest in WWTAI Container 1 Ltd (“Container 1”), an entity which holds an investment in four direct finance leases, and has determined that it is the primary beneficiary of Container 1. Accordingly, Intermodal Finance consolidates Container 1 (collectively, the “Company”).</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may encounter two significant types of economic risk: credit risk and market risk.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risk is the risk of default on leases, loans, securities or derivatives, as applicable, which results from the inability or unwillingness of a lessee, borrower, or derivative counterparty to make required or expected payments. Market risk reflects changes in the value of leasing assets (including residual value estimates), loans, securities or derivatives, as applicable, due to changes in interest rates or other market factors, including the value of the collateral underlying loans and the valuation of equity and debt securities. The Company conducts operations outside of the United States; such international operations are subject to risks, such as unexpected changes in regulatory requirements, heightened risk of political and economic instability, potentially adverse tax consequences and the burden of complying with foreign laws.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—The Company considers all highly liquid short-term investments with a maturity of 90 days or less when purchased to be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equivalents. Substantially all of the Company’s amounts on deposit with major financial institutions exceed insured limits.</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—Restricted cash consists of cash held in segregated accounts pursuant to the requirements of the Company’s Term Loan agreement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w:t>
      </w:r>
    </w:p>
    <w:p>
      <w:pPr>
        <w:spacing w:after="0" w:line="2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Deferred Costs and Amortization</w:t>
      </w:r>
      <w:r>
        <w:rPr>
          <w:rFonts w:ascii="Arial" w:cs="Arial" w:eastAsia="Arial" w:hAnsi="Arial"/>
          <w:sz w:val="16"/>
          <w:szCs w:val="16"/>
          <w:color w:val="auto"/>
        </w:rPr>
        <w:t>—Deferred financing costs incurred in connection with the Term Loan are amortized over the seven year term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underlying loan. Amortization expense for the years ended December 31, 2018, 2017 and 2016 was approximately $473 (unaudited), $278 and $278, respectively.</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Deferred costs also include a commission paid to a third party in connection with the acquisition and leaseback of a portfolio of shipping containers. This commission is being amortized using the straight line method over the term of the underlying lease. Amortization expense for the years ended December 31, 2018, 2017 and 2016 was approximately $0 (unaudited), $0 and $63, respectively.</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Direct Finance Leases</w:t>
      </w:r>
      <w:r>
        <w:rPr>
          <w:rFonts w:ascii="Arial" w:cs="Arial" w:eastAsia="Arial" w:hAnsi="Arial"/>
          <w:sz w:val="16"/>
          <w:szCs w:val="16"/>
          <w:color w:val="auto"/>
        </w:rPr>
        <w:t>—Direct finance leases are recorded at the aggregated future minimum lease payments, including any bargain or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compelled purchase options granted to the customer, less unearned income.</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Leasing Equipment</w:t>
      </w:r>
      <w:r>
        <w:rPr>
          <w:rFonts w:ascii="Arial" w:cs="Arial" w:eastAsia="Arial" w:hAnsi="Arial"/>
          <w:sz w:val="16"/>
          <w:szCs w:val="16"/>
          <w:color w:val="auto"/>
        </w:rPr>
        <w:t>—Shipping containers held for lease are stated at initial cost and are depreciated on a straight-line basis to an estimated residual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a 15 year useful life from date of manufacture. The shipping containers owned by the Company are being depreciated over remaining useful lives of 6 months. Depreciation expense for the years ended December 31, 2018, 2017 and 2016 was approximately $53 (unaudited), $1,485 and $5,752, respectively.</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recognizes repair and maintenance costs that do not extend the lives of the assets as incurred and includes them as a component of direct operating expenses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20"/>
          </w:cols>
          <w:pgMar w:left="240" w:top="1364" w:right="239" w:bottom="1440" w:gutter="0" w:footer="0" w:header="0"/>
        </w:sectPr>
      </w:pPr>
    </w:p>
    <w:bookmarkStart w:id="135" w:name="page136"/>
    <w:bookmarkEnd w:id="135"/>
    <w:p>
      <w:pPr>
        <w:jc w:val="both"/>
        <w:spacing w:after="0" w:line="248" w:lineRule="auto"/>
        <w:rPr>
          <w:sz w:val="20"/>
          <w:szCs w:val="20"/>
          <w:color w:val="auto"/>
        </w:rPr>
      </w:pPr>
      <w:r>
        <w:rPr>
          <w:rFonts w:ascii="Arial" w:cs="Arial" w:eastAsia="Arial" w:hAnsi="Arial"/>
          <w:sz w:val="16"/>
          <w:szCs w:val="16"/>
          <w:color w:val="auto"/>
        </w:rPr>
        <w:t>The Company performs a recoverability assessment of shipping container portfolios at least annually. In addition, a recoverability assessment is performed whenever events or changes in circumstances, or indicators, indicate that the carrying amount or net book value of an asset may not be recoverable. Indicators may include, but are not limited to, a decline in demand for the types of equipment owned by the Company, or other indicators of obsolescence. When performing a recoverability assessment, the Company measures whether the estimated future undiscounted net cash flows expected to be generated by the equipment exceed its net book value. The undiscounted cash flows consist of cash flows from currently contracted leases, future projected lease rates, transition costs, estimated down time and estimated residual or scrap values for the equipment. In the event that the equipment does not meet the recoverability test, the carrying value of the equipment will be adjusted to fair value resulting in an impairment charge.</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of the Company develops the assumptions used in the recoverability analysis based on its knowledge of active lease contracts, current and future expectations of the global demand for a particular container type and historical experience in the container leasing market,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container type and other factors. In the event that the portfolio does not meet the recoverability test, the carrying value will be adjusted to fair value based on a discounted cash flow analysis, resulting in an impairment charge.</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31, 2016 Intermodal Finance I, Ltd. recorded an impairment charge of $6,016, which resulted from certain operating leases not being renewed and containers being returned at a faster pace than expected. Additionally, due to challenging market conditions for shipping containers, a limited number of the returned containers were sold at values lower than previously estimated. There was no impairment recorded for the years ended December 31, 2018 (unaudited) or 2017.</w:t>
      </w:r>
    </w:p>
    <w:p>
      <w:pPr>
        <w:spacing w:after="0" w:line="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leases shipping containers pursuant to operating leases. Operating leases with fixed rentals and step rentals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on a straight-line basis over the term of the initial lease, assuming no renewals.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determines the provision for doubtful accounts based on its assessment of the collectability of its receivables on a customer-by-customer basis and places a likelihood of default percentage on each delinquent account individually. Changes in economic conditions may require a re-assessment of the risk and could result in increases or decreases in the allowance for doubtful accounts. At December 31, 2018 (unaudited), 2017 and 2016, there were no provisions for doubtful accounts on the Company’s accounts receivable.</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also holds a portfolio of direct finance lease receivables. In most instances, the leases include a bargain purchase option to purchase the leased equipment at the end of the lease term. Net investment in direct finance leases represents the receivables due from lessees, net of unearned income. The lease payments are segregated into principal and interest components similar to a loan. Unearned income is recognized on an effective interest method over the life of the lease term and is recorded as finance revenue in the consolidated statement of operations. The principal component of the lease payment is reflected as a reduction to the net investment in direct finance leases.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 Recognition</w:t>
      </w:r>
      <w:r>
        <w:rPr>
          <w:rFonts w:ascii="Arial" w:cs="Arial" w:eastAsia="Arial" w:hAnsi="Arial"/>
          <w:sz w:val="16"/>
          <w:szCs w:val="16"/>
          <w:color w:val="auto"/>
        </w:rPr>
        <w:t>—The Company recognizes expenses as incurred on an accrual basis.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Comprehensive Income (Loss)</w:t>
      </w:r>
      <w:r>
        <w:rPr>
          <w:rFonts w:ascii="Arial" w:cs="Arial" w:eastAsia="Arial" w:hAnsi="Arial"/>
          <w:sz w:val="16"/>
          <w:szCs w:val="16"/>
          <w:color w:val="auto"/>
        </w:rPr>
        <w:t>—Comprehensive income (loss) consists of net income and other gains and losses, net of tax, if any, affecting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that, under GAAP, are excluded from net income. Such amounts include the changes in the fair value of derivative instruments, reclassification into the earnings of amounts previously deferred relating to the derivative instruments and foreign currency translation gains and losses. For the years ended December 31, 2018 (unaudited), 2017 and 2016, there were no differences between the Company’s comprehensive income and the net income as presented in the consolidated statement of operations.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Foreign Currency</w:t>
      </w:r>
      <w:r>
        <w:rPr>
          <w:rFonts w:ascii="Arial" w:cs="Arial" w:eastAsia="Arial" w:hAnsi="Arial"/>
          <w:sz w:val="16"/>
          <w:szCs w:val="16"/>
          <w:color w:val="auto"/>
        </w:rPr>
        <w:t>—The Company’s functional and reporting currency is the U.S. dollar. Purchases and sales of assets and income and expense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denominated in foreign currencies are translated into U.S. dollar amounts on the respective dates of such transactions. Differences between these recorded amounts and the U.S. dollar equivalent actually received or paid are reported as net realized foreign currency gains or losses.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Federal Income Taxes</w:t>
      </w:r>
      <w:r>
        <w:rPr>
          <w:rFonts w:ascii="Arial" w:cs="Arial" w:eastAsia="Arial" w:hAnsi="Arial"/>
          <w:sz w:val="16"/>
          <w:szCs w:val="16"/>
          <w:color w:val="auto"/>
        </w:rPr>
        <w:t>—No income taxes have been provided for in these consolidated financial statements as each investor in the Company is individually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reporting income or loss based upon its respective share of the Company’s income and expenses as reported for income tax purposes.</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There are no uncertain tax positions that would require recognition in the consolidated financial statements. The Company files income tax returns in the U.S. federal jurisdiction and various state jurisdictions. The income tax returns filed by the Company are subject to examination by the U.S. Federal and state tax authorities.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Distributions and Allocations to Members</w:t>
      </w:r>
      <w:r>
        <w:rPr>
          <w:rFonts w:ascii="Arial" w:cs="Arial" w:eastAsia="Arial" w:hAnsi="Arial"/>
          <w:sz w:val="16"/>
          <w:szCs w:val="16"/>
          <w:color w:val="auto"/>
        </w:rPr>
        <w:t>—Distributions to members are recorded when paid or, in the case of an in-kind distribution, when distributed.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20"/>
          </w:cols>
          <w:pgMar w:left="240" w:top="1384" w:right="239" w:bottom="1440" w:gutter="0" w:footer="0" w:header="0"/>
        </w:sectPr>
      </w:pPr>
    </w:p>
    <w:bookmarkStart w:id="136" w:name="page137"/>
    <w:bookmarkEnd w:id="136"/>
    <w:p>
      <w:pPr>
        <w:jc w:val="both"/>
        <w:spacing w:after="0" w:line="256"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direct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and operating leases. The Company attempts to limit its credit risk by performing ongoing credit evaluations. The Company’s three largest customers represented approximately 20%, 14% (direct finance lease customers) and 66% (operating lease customer) of revenues for the year ended December 31, 2018 (unaudited); 23%, 8% (direct finance lease customers) and 68% (operating lease customer) of revenues for the year ended December 31, 2017; and 17%, 3% (direct finance lease customers) and 77% (operating lease customer) of revenues for the year ended December 31, 2016.</w:t>
      </w:r>
    </w:p>
    <w:p>
      <w:pPr>
        <w:spacing w:after="0" w:line="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Based on the in-place operating lease contract, the maximum amount of loss the Company would incur if the operating lease customer failed completely to perform according to the terms of the lease was immaterial at December 31, 2018 (unaudited) and approximately $176 and $2,545 at December 31, 2017 and 2016, respectively. As it relates to the Company’s direct finance lease portfolio, one customer accounted for all of the outstanding principal at December 31, 2018 (unaudited) and the three largest customers accounted for approximately 58%, 39% and 25% of the outstanding principal at December 31, 2017. If any of these customers were to default, the Company would seek to recover the equipment securing the lease, with a view towards either selling or re-leasing the equipment. To date, the Company has not experienced any losses related to direct finance leases and does not expect future uncollectible amounts related to the principal balances receivable.</w:t>
      </w:r>
    </w:p>
    <w:p>
      <w:pPr>
        <w:spacing w:after="0" w:line="1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Deterioration in credit quality of several of the Company’s major customers could have an adverse effect on its consolidated financial position and operating results. Management does not believe significant risk exists in connection with the Company’s concentrations of credit as of December 31, 2018 (unaudited).</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—In January 2016, the FASB issued ASU 2016-01,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Instruments-Overall (Subtopic 825-10):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Measurement of Financial Assets and Financial Liabilities </w:t>
      </w:r>
      <w:r>
        <w:rPr>
          <w:rFonts w:ascii="Arial" w:cs="Arial" w:eastAsia="Arial" w:hAnsi="Arial"/>
          <w:sz w:val="16"/>
          <w:szCs w:val="16"/>
          <w:color w:val="auto"/>
        </w:rPr>
        <w:t>("ASU 2016-01"). ASU 2016-01 requires (i) equity investments, except those accounted for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of accounting or 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—The FASB has recently issued or discussed a number of proposed standards on such topics as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to defer the effective date of ASU 2014-09 by one year, making it effective for annual reporting periods beginning after December 15, 2018 while also providing for early adoption but not before the original effective date. The Company’s evaluation of the impact of the new guidance on its consolidated financial statements is ongoing. As the Company’s primary source of revenues is from its leasing contracts, subject to ASU 2016-02, Leases, management has concluded that the adoption of this ASU will not result in a material impact on its consolidated financial statements.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w:t>
      </w:r>
      <w:r>
        <w:rPr>
          <w:rFonts w:ascii="Arial" w:cs="Arial" w:eastAsia="Arial" w:hAnsi="Arial"/>
          <w:sz w:val="16"/>
          <w:szCs w:val="16"/>
          <w:color w:val="auto"/>
        </w:rPr>
        <w:t>“ASU 2016-02”</w:t>
      </w:r>
      <w:r>
        <w:rPr>
          <w:rFonts w:ascii="Arial" w:cs="Arial" w:eastAsia="Arial" w:hAnsi="Arial"/>
          <w:sz w:val="16"/>
          <w:szCs w:val="16"/>
          <w:i w:val="1"/>
          <w:iCs w:val="1"/>
          <w:color w:val="auto"/>
        </w:rPr>
        <w:t>)</w:t>
      </w:r>
      <w:r>
        <w:rPr>
          <w:rFonts w:ascii="Arial" w:cs="Arial" w:eastAsia="Arial" w:hAnsi="Arial"/>
          <w:sz w:val="16"/>
          <w:szCs w:val="16"/>
          <w:color w:val="auto"/>
        </w:rPr>
        <w:t>.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20"/>
          </w:cols>
          <w:pgMar w:left="240" w:top="1364" w:right="2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3. SHIPPING CONTAINER PORTFOLIOS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Company’s net investment in direct financing leases are comprised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2"/>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9"/>
                <w:szCs w:val="19"/>
                <w:color w:val="auto"/>
              </w:rPr>
            </w:pPr>
          </w:p>
        </w:tc>
        <w:tc>
          <w:tcPr>
            <w:tcW w:w="166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2017</w:t>
            </w: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Minimum lease payments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7,529</w:t>
            </w: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Unearned income</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investment in direct finance leases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7,115</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December 31, 2018, future minimum lease payments to be received under direct finance leases were $1,527 (unaudited), all of which will be received during the year ended December 31, 2019.</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Operating Lease Portfolio</w:t>
      </w:r>
      <w:r>
        <w:rPr>
          <w:rFonts w:ascii="Arial" w:cs="Arial" w:eastAsia="Arial" w:hAnsi="Arial"/>
          <w:sz w:val="16"/>
          <w:szCs w:val="16"/>
          <w:color w:val="auto"/>
        </w:rPr>
        <w:t>-As of December 31, 2018 (unaudited) and 2017 all operating leases had expired, and the assets continue to earn per diems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point at which they are returned.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Payable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September 5, 2012, the Company entered in to a Term Loan Agreement (the “Term Loan”) with Deutsche Bank AG, Cayman Islands Branch (the “Lender”) for an initial aggregate amount of $125,000 in connection with the acquisition of a portfolio of shipping containers subject to direct finance leases. On December 17, 2012 the Term Loan was amended to provide for an additional borrowing of $53,000 which was used in connection with the acquisition of a portfolio of shipping containers subject to operating leases. Borrowings under the Term Loan bear interest at either (i) LIBOR plus 3% or (ii) a Base Rate (equal to the higher of the Prime Rate or the Federal Funds Rate, plus 0.50%) plus a spread of 0.25%. In addition, an administrative agent fee calculated at a rate of 0.50% per annum is also payable. In April 2013, the administrative agent fee rate was reduced to 0.25%. Interest expense on the Term Loan for years ended December 31, 2018, 2017 and 2016 was $88 (unaudited), $736 and $1,643, respectively, exclusive of administrative agent fees of $5 (unaudited), $50 and $128, respectively. The Company repaid the Term Loan in full during 2018.</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Term Loan Payable to Affiliates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September 5, 2012, the Company entered in to a Class B Term Loan Agreement (the "Class B Loan”) with its members, pursuant to which it borrowed an initial aggregate amount of $25,000 in connection with the acquisition of a portfolio of shipping containers subject to direct finance leases. On December 17, 2012 the Class B Loan was amended to provide for an additional borrowing of approximately $15,100 which was used in connection with the acquisition of a portfolio of shipping containers subject to operating leases. Borrowings under the Class B Loan are unsecured and bear interest at a rate of 2%. Interest expense on the Class B Loan for the years ended December 31, 2018, 2017 and 2016 was approximately $376 (unaudited), $362 and $368, respectively. During the years ended December 31, 2018 and 2017, repayments under the Class B Loan totaled $3,716 (unaudited) and $0,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SYNDICATION LIABILITIES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acquisition of the DFL’s in September 2012, the Company assumed syndication liabilities to third parties relating to four of the acquired DFL contracts. At acquisition, the syndication liabilities had remaining terms equal to the remaining terms of the associated DFL contracts, which ranged from 28 months to 42 months. The acquisition date fair value ascribed to these obligations was approximately $19,500. Interest on the syndication liabilities is recognized using the effective interest method at rates which range from 2.30% to 4.44%. Interest expense recognized on the syndication liabilities amounted to approximately $164 and $305 during the years ended December 31, 2017 and 2016. The obligations pursuant to these arrangements are non-recourse to the Company and the sole source of payment for these obligations is the cash flows generated from the underlying DFL contracts. During the year ended December 31, 2017, the syndication liabilities were paid off.</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MANAGEMENT AGREEMENT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engaged Container Leasing International LLC (the “Manager”) to manage and administer its DFL portfolio pursuant to a management agreement having an initial term of 10 years and providing for three additional extension terms of one-year each. Pursuant to the management agreement, the Manager receives (i) a base monthly fee equal to 1.5% of payments received on the DFL contracts and is entitled to receive additional fees, as applicable, equal to (a) 5% of the sum of net sales proceeds and casualty proceeds for containers which have been sold or lost and (b) a recovery fee of 25 dollars for each container recovered by the Manager following the occurrence of a lessee default under a DFL contract and (ii) a base monthly fee equal to (a) 4% of the Net Operating Income, as defined, of the containers subject to operating leases and an additional fee of 5% of the net sales proceeds from the sale or disposal of containers subject to operating leases.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1364" w:right="2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t>7. FAIR VALUE OF FINANCIAL INSTRUMENTS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assessing the fair value of financial instruments, the Company applies the provisions included in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ASC 820 provides that fair value is a market-based measurement, not an entity-specific measurement. It further clarifies that fair value is an exit price, representing the price that would be received to sell an asset or paid to transfer a liability in the principal or most advantageous market in an orderly transaction between market participants on the measurement date. ASC 820 requires the use of valuation techniques to measure fair value that maximize the use of observable inputs and minimize use of unobservable inputs. These inputs are prioritized as follows:</w:t>
      </w:r>
    </w:p>
    <w:p>
      <w:pPr>
        <w:spacing w:after="0" w:line="92" w:lineRule="exact"/>
        <w:rPr>
          <w:sz w:val="20"/>
          <w:szCs w:val="20"/>
          <w:color w:val="auto"/>
        </w:rPr>
      </w:pPr>
    </w:p>
    <w:p>
      <w:pPr>
        <w:ind w:left="640" w:hanging="308"/>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13" w:lineRule="exact"/>
        <w:rPr>
          <w:rFonts w:ascii="Arial" w:cs="Arial" w:eastAsia="Arial" w:hAnsi="Arial"/>
          <w:sz w:val="16"/>
          <w:szCs w:val="16"/>
          <w:color w:val="auto"/>
        </w:rPr>
      </w:pPr>
    </w:p>
    <w:p>
      <w:pPr>
        <w:jc w:val="both"/>
        <w:ind w:left="340" w:hanging="8"/>
        <w:spacing w:after="0" w:line="253" w:lineRule="auto"/>
        <w:tabs>
          <w:tab w:leader="none" w:pos="6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for the asset or liability, either directly or indirectly. Level 2 inputs include quoted prices for similar assets or liabilities in active markets and inputs other than quoted prices that are observable for the asset or liability, such as interest rates and yield curves that are observable at commonly quoted intervals.</w:t>
      </w:r>
    </w:p>
    <w:p>
      <w:pPr>
        <w:spacing w:after="0" w:line="93" w:lineRule="exact"/>
        <w:rPr>
          <w:rFonts w:ascii="Arial" w:cs="Arial" w:eastAsia="Arial" w:hAnsi="Arial"/>
          <w:sz w:val="16"/>
          <w:szCs w:val="16"/>
          <w:color w:val="auto"/>
        </w:rPr>
      </w:pPr>
    </w:p>
    <w:p>
      <w:pPr>
        <w:ind w:left="340" w:hanging="8"/>
        <w:spacing w:after="0" w:line="260" w:lineRule="auto"/>
        <w:tabs>
          <w:tab w:leader="none" w:pos="6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internal development of assumptions about how market participants price the asset or liability.</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financial instruments consist principally of cash and cash equivalents, restricted cash, accounts receivable, accounts payable and accrued liabilities, term loan payable and syndication liabilities. The fair value of cash and cash equivalents, restricted cash, accounts receivable and accounts payable and accrued liabilities approximates their carrying values because of their short term nature.</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the term loan payable is based on inputs classified as Level 2 in the fair value hierarchy and approximates its carrying value because such loan bears interest at a floating market rate for similar types of loans.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SUBSEQUENT EVENTS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has evaluated whether any material events have occurred subsequent to the balance sheet date through February 28, 2019, the date the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40" w:top="1364" w:right="2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FINANCIAL INFORMATION</w:t>
      </w:r>
    </w:p>
    <w:p>
      <w:pPr>
        <w:sectPr>
          <w:pgSz w:w="11900" w:h="16838" w:orient="portrait"/>
          <w:cols w:equalWidth="0" w:num="1">
            <w:col w:w="9019"/>
          </w:cols>
          <w:pgMar w:left="1440" w:top="1440" w:right="1440" w:bottom="7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9019"/>
          </w:cols>
          <w:pgMar w:left="1440" w:top="1440" w:right="1440" w:bottom="734" w:gutter="0" w:footer="0" w:header="0"/>
          <w:type w:val="continuous"/>
        </w:sectPr>
      </w:pPr>
    </w:p>
    <w:bookmarkStart w:id="140" w:name="page141"/>
    <w:bookmarkEnd w:id="140"/>
    <w:p>
      <w:pPr>
        <w:ind w:left="4720"/>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Consolidating Balance Sheet (Unaudited)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Intermodal</w:t>
            </w:r>
          </w:p>
        </w:tc>
        <w:tc>
          <w:tcPr>
            <w:tcW w:w="20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WWTAI</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Finance I Ltd</w:t>
            </w:r>
          </w:p>
        </w:tc>
        <w:tc>
          <w:tcPr>
            <w:tcW w:w="200" w:type="dxa"/>
            <w:vAlign w:val="bottom"/>
          </w:tcPr>
          <w:p>
            <w:pPr>
              <w:spacing w:after="0"/>
              <w:rPr>
                <w:sz w:val="7"/>
                <w:szCs w:val="7"/>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Container I Ltd</w:t>
            </w:r>
          </w:p>
        </w:tc>
        <w:tc>
          <w:tcPr>
            <w:tcW w:w="1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87"/>
        </w:trPr>
        <w:tc>
          <w:tcPr>
            <w:tcW w:w="52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Leasing equipment, net of accumulated depreciation of $2,187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3,483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3,483</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 direct finance leases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1,479</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from affiliates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5,304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Management fees payable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Accrued interest payable to affiliates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payable to affiliates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14,364</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to affiliate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14,671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14,671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Members’ 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color w:val="auto"/>
              </w:rPr>
              <w:t>Total liabilities and members’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5,304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360"/>
          </w:cols>
          <w:pgMar w:left="280" w:top="932" w:right="25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Consolidating Balance Sheet</w:t>
      </w:r>
    </w:p>
    <w:p>
      <w:pPr>
        <w:spacing w:after="0" w:line="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Intermodal</w:t>
            </w:r>
          </w:p>
        </w:tc>
        <w:tc>
          <w:tcPr>
            <w:tcW w:w="180" w:type="dxa"/>
            <w:vAlign w:val="bottom"/>
          </w:tcPr>
          <w:p>
            <w:pPr>
              <w:spacing w:after="0"/>
              <w:rPr>
                <w:sz w:val="14"/>
                <w:szCs w:val="14"/>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7"/>
                <w:szCs w:val="7"/>
                <w:color w:val="auto"/>
              </w:rPr>
            </w:pPr>
          </w:p>
        </w:tc>
        <w:tc>
          <w:tcPr>
            <w:tcW w:w="12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Intermodal</w:t>
            </w:r>
          </w:p>
        </w:tc>
        <w:tc>
          <w:tcPr>
            <w:tcW w:w="0" w:type="dxa"/>
            <w:vAlign w:val="bottom"/>
          </w:tcPr>
          <w:p>
            <w:pPr>
              <w:spacing w:after="0"/>
              <w:rPr>
                <w:sz w:val="1"/>
                <w:szCs w:val="1"/>
                <w:color w:val="auto"/>
              </w:rPr>
            </w:pPr>
          </w:p>
        </w:tc>
      </w:tr>
      <w:tr>
        <w:trPr>
          <w:trHeight w:val="81"/>
        </w:trPr>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Finance I Ltd</w:t>
            </w:r>
          </w:p>
        </w:tc>
        <w:tc>
          <w:tcPr>
            <w:tcW w:w="180" w:type="dxa"/>
            <w:vAlign w:val="bottom"/>
          </w:tcPr>
          <w:p>
            <w:pPr>
              <w:spacing w:after="0"/>
              <w:rPr>
                <w:sz w:val="7"/>
                <w:szCs w:val="7"/>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Container I Ltd</w:t>
            </w:r>
          </w:p>
        </w:tc>
        <w:tc>
          <w:tcPr>
            <w:tcW w:w="16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Finance I Ltd</w:t>
            </w:r>
          </w:p>
        </w:tc>
        <w:tc>
          <w:tcPr>
            <w:tcW w:w="0" w:type="dxa"/>
            <w:vAlign w:val="bottom"/>
          </w:tcPr>
          <w:p>
            <w:pPr>
              <w:spacing w:after="0"/>
              <w:rPr>
                <w:sz w:val="1"/>
                <w:szCs w:val="1"/>
                <w:color w:val="auto"/>
              </w:rPr>
            </w:pPr>
          </w:p>
        </w:tc>
      </w:tr>
      <w:tr>
        <w:trPr>
          <w:trHeight w:val="87"/>
        </w:trPr>
        <w:tc>
          <w:tcPr>
            <w:tcW w:w="51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Leasing equipment, net of accumulated depreciation of $7,305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investment in direct finance leases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from affiliates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9"/>
              </w:rPr>
              <w:t>(5,465)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16,497</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5,664</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w w:val="99"/>
              </w:rPr>
              <w:t>(5,465)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16,696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Management fees payable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Accrued interest payable to affiliates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 loan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Loans payable to affiliates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18,080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4"/>
                <w:szCs w:val="14"/>
                <w:color w:val="auto"/>
              </w:rPr>
              <w:t>Due to affiliate</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720"/>
              <w:spacing w:after="0"/>
              <w:rPr>
                <w:sz w:val="20"/>
                <w:szCs w:val="20"/>
                <w:color w:val="auto"/>
              </w:rPr>
            </w:pPr>
            <w:r>
              <w:rPr>
                <w:rFonts w:ascii="Arial" w:cs="Arial" w:eastAsia="Arial" w:hAnsi="Arial"/>
                <w:sz w:val="14"/>
                <w:szCs w:val="14"/>
                <w:color w:val="auto"/>
                <w:w w:val="99"/>
              </w:rPr>
              <w:t>(5,465)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w w:val="99"/>
              </w:rPr>
              <w:t>(5,465)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26,298</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4"/>
                <w:szCs w:val="14"/>
                <w:color w:val="auto"/>
              </w:rPr>
              <w:t>Members’ equity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(9,602)</w:t>
            </w:r>
          </w:p>
        </w:tc>
        <w:tc>
          <w:tcPr>
            <w:tcW w:w="0" w:type="dxa"/>
            <w:vAlign w:val="bottom"/>
          </w:tcPr>
          <w:p>
            <w:pPr>
              <w:spacing w:after="0"/>
              <w:rPr>
                <w:sz w:val="1"/>
                <w:szCs w:val="1"/>
                <w:color w:val="auto"/>
              </w:rPr>
            </w:pPr>
          </w:p>
        </w:tc>
      </w:tr>
      <w:tr>
        <w:trPr>
          <w:trHeight w:val="24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members’ equity</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w w:val="99"/>
              </w:rPr>
              <w:t>(5,465)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380"/>
          </w:cols>
          <w:pgMar w:left="240" w:top="932" w:right="27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Consolidating Statement of Operations (Unaudited)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Intermodal</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Consolidated</w:t>
            </w:r>
          </w:p>
        </w:tc>
      </w:tr>
      <w:tr>
        <w:trPr>
          <w:trHeight w:val="162"/>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w:t>
            </w: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Intermodal</w:t>
            </w: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Finance I Ltd</w:t>
            </w:r>
          </w:p>
        </w:tc>
      </w:tr>
      <w:tr>
        <w:trPr>
          <w:trHeight w:val="197"/>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leasing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807</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Finance revenue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419</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Participation income-affiliate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1,226</w:t>
            </w:r>
          </w:p>
        </w:tc>
      </w:tr>
      <w:tr>
        <w:trPr>
          <w:trHeight w:val="276"/>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operating expenses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1,490</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Management fee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400</w:t>
            </w: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561</w:t>
            </w: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expense-affiliates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Participation expense-affiliate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3,061</w:t>
            </w:r>
          </w:p>
        </w:tc>
      </w:tr>
      <w:tr>
        <w:trPr>
          <w:trHeight w:val="222"/>
        </w:trPr>
        <w:tc>
          <w:tcPr>
            <w:tcW w:w="6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r>
      <w:tr>
        <w:trPr>
          <w:trHeight w:val="21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Gain on disposal of equipment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1,817</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2,070</w:t>
            </w:r>
          </w:p>
        </w:tc>
      </w:tr>
      <w:tr>
        <w:trPr>
          <w:trHeight w:val="216"/>
        </w:trPr>
        <w:tc>
          <w:tcPr>
            <w:tcW w:w="6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00"/>
          </w:cols>
          <w:pgMar w:left="240" w:top="932" w:right="259"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Intermodal</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WWTAI</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Consolidated</w:t>
            </w:r>
          </w:p>
        </w:tc>
      </w:t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Container</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rPr>
              <w:t>Intermodal</w:t>
            </w:r>
          </w:p>
        </w:tc>
      </w:tr>
      <w:tr>
        <w:trPr>
          <w:trHeight w:val="196"/>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 Ltd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rPr>
              <w:t>Finance I Ltd</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leasing 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Finance revenue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1,058</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Participation income-affiliate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3,349</w:t>
            </w:r>
          </w:p>
        </w:tc>
      </w:tr>
      <w:tr>
        <w:trPr>
          <w:trHeight w:val="222"/>
        </w:trPr>
        <w:tc>
          <w:tcPr>
            <w:tcW w:w="5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operating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Management fee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1,177</w:t>
            </w: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expense-affiliates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Participation expense-affiliate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7,218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7,386</w:t>
            </w:r>
          </w:p>
        </w:tc>
      </w:tr>
      <w:tr>
        <w:trPr>
          <w:trHeight w:val="222"/>
        </w:trPr>
        <w:tc>
          <w:tcPr>
            <w:tcW w:w="5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on disposal of equipment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3,667</w:t>
            </w:r>
          </w:p>
        </w:tc>
      </w:tr>
      <w:tr>
        <w:trPr>
          <w:trHeight w:val="216"/>
        </w:trPr>
        <w:tc>
          <w:tcPr>
            <w:tcW w:w="5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380"/>
          </w:cols>
          <w:pgMar w:left="240" w:top="932" w:right="27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6"/>
          <w:szCs w:val="16"/>
          <w:b w:val="1"/>
          <w:bCs w:val="1"/>
          <w:color w:val="auto"/>
        </w:rPr>
        <w:t>Intermodal Finance I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 amounts in thousands)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Year Ended December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Intermodal</w:t>
            </w: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WWTAI</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rPr>
              <w:t>Consolidated</w:t>
            </w:r>
          </w:p>
        </w:tc>
      </w:tr>
      <w:tr>
        <w:trPr>
          <w:trHeight w:val="162"/>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Finance</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Intermodal</w:t>
            </w:r>
          </w:p>
        </w:tc>
      </w:tr>
      <w:tr>
        <w:trPr>
          <w:trHeight w:val="196"/>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 Ltd</w:t>
            </w:r>
          </w:p>
        </w:tc>
        <w:tc>
          <w:tcPr>
            <w:tcW w:w="1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 Ltd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rPr>
              <w:t>Finance I Ltd</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leasing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Finance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2,210</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Participation income-affiliate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9"/>
              </w:rPr>
              <w:t>(1,109)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w w:val="99"/>
              </w:rPr>
              <w:t>(1,109)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9,716</w:t>
            </w:r>
          </w:p>
        </w:tc>
      </w:tr>
      <w:tr>
        <w:trPr>
          <w:trHeight w:val="222"/>
        </w:trPr>
        <w:tc>
          <w:tcPr>
            <w:tcW w:w="6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operating expenses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Management fee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1,225</w:t>
            </w: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5,815</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expense-affiliates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expense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Participation expense-affiliate</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4"/>
                <w:szCs w:val="14"/>
                <w:color w:val="auto"/>
                <w:w w:val="99"/>
              </w:rPr>
              <w:t>(1,109)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 expense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17,270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w w:val="99"/>
              </w:rPr>
              <w:t>(1,109)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17,769</w:t>
            </w:r>
          </w:p>
        </w:tc>
      </w:tr>
      <w:tr>
        <w:trPr>
          <w:trHeight w:val="222"/>
        </w:trPr>
        <w:tc>
          <w:tcPr>
            <w:tcW w:w="6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OTHER LOSS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w:t>
            </w:r>
          </w:p>
        </w:tc>
      </w:tr>
      <w:tr>
        <w:trPr>
          <w:trHeight w:val="21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on disposal of equipment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loss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r>
      <w:tr>
        <w:trPr>
          <w:trHeight w:val="216"/>
        </w:trPr>
        <w:tc>
          <w:tcPr>
            <w:tcW w:w="6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932" w:right="2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2018.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2018, our internal control over financial reporting was effective.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effectiveness of the Company’s internal control over financial reporting as of December 31, 2018 has been audited by Ernst &amp; Young LLP, an independent registered public accounting firm, as stated in their report included herein.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Remediation of Material Weakness in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material weakness is a deficiency, or a combination of deficiencies, in internal control over reporting, such that there is a reasonable possibility that a material misstatement of our annual or interim financial statements will not be prevented or deleted on a timely basis. As previously disclosed at December 31, 2017, our management concluded that there was a material weakness in our internal controls over financing reporting as we did not maintain effective internal control in the design and operating effectiveness of certain financial reporting related controls over preparation and review of financial information within our Jefferson Operating Segment (“Jefferson”). Specifically, we determined that we had control deficiencies related to our review over capitalization of interest, lack of segregation of duties within accounts payable and disbursements and the lack of documentation to demonstrate the consistent and timely performance of management review controls at sufficient levels of precision in the preparation of the segment financial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2018, we took the following steps to remediate this material weakness:</w:t>
      </w:r>
    </w:p>
    <w:p>
      <w:pPr>
        <w:spacing w:after="0" w:line="113" w:lineRule="exact"/>
        <w:rPr>
          <w:sz w:val="20"/>
          <w:szCs w:val="20"/>
          <w:color w:val="auto"/>
        </w:rPr>
      </w:pPr>
    </w:p>
    <w:p>
      <w:pPr>
        <w:ind w:left="660" w:right="20" w:hanging="328"/>
        <w:spacing w:after="0" w:line="260" w:lineRule="auto"/>
        <w:tabs>
          <w:tab w:leader="none" w:pos="6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Redesigned and enhanced processes and procedures to include multiple levels of review at sufficient levels of precision for non-standard or significant transactions, including the review of capitalized interest;</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Implemented system enhancements, including access rights and approval workflows, to ensure appropriate segregation of duties;</w:t>
      </w:r>
    </w:p>
    <w:p>
      <w:pPr>
        <w:spacing w:after="0" w:line="11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Hired additional personnel at Jefferson with robust accounting and internal control expertise to ensure timely performance of management review controls at sufficient levels of precision and related documentation; and</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Enhanced corporate-level monitoring controls over Jefferson’s financial reporting process with additional review related to both the execution and design of control processes. Additionally, corporate assumed certain responsibilities related to Jefferson accounting systems, including ensuring that access related controls, segregation of duties and change management controls were effectively operating.</w:t>
      </w:r>
    </w:p>
    <w:p>
      <w:pPr>
        <w:spacing w:after="0" w:line="9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the year ended December 31, 2018, we observed the operation of each of the control changes as part of our remediation efforts, to evaluate whether their effectiveness over a period of time was sufficient for management to conclude that the reported material weakness has been remediated.</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has concluded that the identified material weakness in internal control over financial reporting discussed above was fully remediated as of December 31, 2018.</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fourth quarter of 2018, we identified and remediated a material weakness in the design and operating effectiveness of certain controls within the Aviation Leasing segment. The controls were not effective due to (i) insufficient design and operating effectiveness of transaction level controls related to the modeling of engine maintenance outflows and return condition arrangements provided for within the aircraft leases and (ii) lack of a sufficient level of precision in the management level review of the aviation maintenance model required to mitigate the potential for a material misstatement.</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remediate the material weakness, we (i) reviewed all historical transactions that could be affected by the control deficiencies and implemented additional transactional level control improvements to ensure proper application on all new transactions and (ii) implemented a monitoring control to conduct a management level review at a sufficient level of precision to mitigate potential material misstatements in maintenance revenue recognition. As of December 31, 2018, we concluded that the material weakness was sufficiently remediated.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20"/>
          </w:cols>
          <w:pgMar w:left="240" w:top="1040" w:right="2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than the remediation discussed above, there was no other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20"/>
          </w:cols>
          <w:pgMar w:left="240" w:top="1040" w:right="239" w:bottom="1440" w:gutter="0" w:footer="0" w:header="0"/>
        </w:sectPr>
      </w:pPr>
    </w:p>
    <w:bookmarkStart w:id="147" w:name="page148"/>
    <w:bookmarkEnd w:id="147"/>
    <w:p>
      <w:pPr>
        <w:ind w:right="3460" w:firstLine="3469"/>
        <w:spacing w:after="0" w:line="39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Fortress Transportation and Infrastructure Investors LLC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Fortress Transportation and Infrastructure Investors LLC internal control over financial reporting as of December 31, 2018, based on criteria established in Internal Control—Integrated Framework issued by the Committee of Sponsoring Organizations of the Treadway Commission (2013 framework) (the COSO criteria). In our opinion, Fortress Transportation and Infrastructure Investors LLC (the Company) maintained, in all material respects, effective internal control over financial reporting as of December 31, 2018, based on the COSO criteria.</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(loss), changes in equity and cash flows for each of the three years in the period ended December 31, 2018, and the related notes and our report dated February 28,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20"/>
          </w:cols>
          <w:pgMar w:left="240" w:top="1040" w:right="2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00497F"/>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Incorporated by reference to our definitive proxy statement for the 2019 annual meeting of shareholders to be filed with the Securities and Exchange Commission pursuant to Regulation 14A Exchange Act, within 120 days after the fiscal year ended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Incorporated by reference to our definitive proxy statement for the 2019 annual meeting of shareholders to be filed with the Securities and Exchange Commission pursuant to Regulation 14A Exchange Act, within 120 days after the fiscal year ended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Incorporated by reference to our definitive proxy statement for the 2019 annual meeting of shareholders to be filed with the Securities and Exchange Commission pursuant to Regulation 14A Exchange Act, within 120 days after the fiscal year ended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Incorporated by reference to our definitive proxy statement for the 2019 annual meeting of shareholders to be filed with the Securities and Exchange Commission pursuant to Regulation 14A Exchange Act, within 120 days after the fiscal year ended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14. Principal Accountant Fees and Services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Incorporated by reference to our definitive proxy statement for the 2019 annual meeting of shareholders to be filed with the Securities and Exchange Commission pursuant to Regulation 14A Exchange Act, within 120 days after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20"/>
          </w:cols>
          <w:pgMar w:left="240" w:top="1040" w:right="23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6"/>
          <w:szCs w:val="16"/>
          <w:b w:val="1"/>
          <w:bCs w:val="1"/>
          <w:color w:val="00497F"/>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15. Exhibits</w:t>
      </w:r>
    </w:p>
    <w:p>
      <w:pPr>
        <w:spacing w:after="0" w:line="307" w:lineRule="exact"/>
        <w:rPr>
          <w:sz w:val="20"/>
          <w:szCs w:val="20"/>
          <w:color w:val="auto"/>
        </w:rPr>
      </w:pPr>
    </w:p>
    <w:p>
      <w:pPr>
        <w:ind w:left="30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718629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248920"/>
                    </a:xfrm>
                    <a:prstGeom prst="rect">
                      <a:avLst/>
                    </a:prstGeom>
                    <a:noFill/>
                  </pic:spPr>
                </pic:pic>
              </a:graphicData>
            </a:graphic>
          </wp:anchor>
        </w:drawing>
      </w:r>
    </w:p>
    <w:p>
      <w:pPr>
        <w:spacing w:after="0" w:line="53" w:lineRule="exact"/>
        <w:rPr>
          <w:sz w:val="20"/>
          <w:szCs w:val="20"/>
          <w:color w:val="auto"/>
        </w:rPr>
      </w:pPr>
    </w:p>
    <w:p>
      <w:pPr>
        <w:jc w:val="both"/>
        <w:ind w:left="1540" w:hanging="343"/>
        <w:spacing w:after="0" w:line="258" w:lineRule="auto"/>
        <w:tabs>
          <w:tab w:leader="none" w:pos="1520" w:val="left"/>
        </w:tabs>
        <w:rPr>
          <w:rFonts w:ascii="Arial" w:cs="Arial" w:eastAsia="Arial" w:hAnsi="Arial"/>
          <w:sz w:val="14"/>
          <w:szCs w:val="14"/>
          <w:color w:val="0000FF"/>
        </w:rPr>
      </w:pPr>
      <w:hyperlink r:id="rId25">
        <w:r>
          <w:rPr>
            <w:rFonts w:ascii="Arial" w:cs="Arial" w:eastAsia="Arial" w:hAnsi="Arial"/>
            <w:sz w:val="14"/>
            <w:szCs w:val="14"/>
            <w:u w:val="single" w:color="auto"/>
            <w:color w:val="0000FF"/>
          </w:rPr>
          <w:t>3.1</w:t>
        </w:r>
      </w:hyperlink>
      <w:r>
        <w:rPr>
          <w:rFonts w:ascii="Arial" w:cs="Arial" w:eastAsia="Arial" w:hAnsi="Arial"/>
          <w:sz w:val="14"/>
          <w:szCs w:val="14"/>
          <w:color w:val="0000FF"/>
        </w:rPr>
        <w:tab/>
        <w:t>Certificate of Formation (incorporated by reference to Exhibit 3.1 of Amendment No. 4 to the Company's Registration Statement on Form S-1, filed on April 30, 2015).</w:t>
      </w:r>
    </w:p>
    <w:p>
      <w:pPr>
        <w:spacing w:after="0" w:line="32" w:lineRule="exact"/>
        <w:rPr>
          <w:sz w:val="20"/>
          <w:szCs w:val="20"/>
          <w:color w:val="auto"/>
        </w:rPr>
      </w:pPr>
    </w:p>
    <w:p>
      <w:pPr>
        <w:jc w:val="both"/>
        <w:ind w:left="1540" w:right="20" w:hanging="343"/>
        <w:spacing w:after="0" w:line="258" w:lineRule="auto"/>
        <w:tabs>
          <w:tab w:leader="none" w:pos="1520" w:val="left"/>
        </w:tabs>
        <w:rPr>
          <w:rFonts w:ascii="Arial" w:cs="Arial" w:eastAsia="Arial" w:hAnsi="Arial"/>
          <w:sz w:val="14"/>
          <w:szCs w:val="14"/>
          <w:color w:val="0000FF"/>
        </w:rPr>
      </w:pPr>
      <w:hyperlink r:id="rId26">
        <w:r>
          <w:rPr>
            <w:rFonts w:ascii="Arial" w:cs="Arial" w:eastAsia="Arial" w:hAnsi="Arial"/>
            <w:sz w:val="14"/>
            <w:szCs w:val="14"/>
            <w:u w:val="single" w:color="auto"/>
            <w:color w:val="0000FF"/>
          </w:rPr>
          <w:t>3.2</w:t>
        </w:r>
      </w:hyperlink>
      <w:r>
        <w:rPr>
          <w:rFonts w:ascii="Arial" w:cs="Arial" w:eastAsia="Arial" w:hAnsi="Arial"/>
          <w:sz w:val="14"/>
          <w:szCs w:val="14"/>
          <w:color w:val="0000FF"/>
        </w:rPr>
        <w:tab/>
        <w:t>Amended and Restated Limited Liability Company Agreement of Fortress Transportation and Infrastructure Investors LLC (incorporated by reference to Exhibit 3.2 of the Company's Current Report on Form 8-K, filed on 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18629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spacing w:after="0" w:line="12" w:lineRule="exact"/>
        <w:rPr>
          <w:sz w:val="20"/>
          <w:szCs w:val="20"/>
          <w:color w:val="auto"/>
        </w:rPr>
      </w:pPr>
    </w:p>
    <w:p>
      <w:pPr>
        <w:jc w:val="both"/>
        <w:ind w:left="1540" w:right="20" w:hanging="343"/>
        <w:spacing w:after="0" w:line="258" w:lineRule="auto"/>
        <w:tabs>
          <w:tab w:leader="none" w:pos="1520" w:val="left"/>
        </w:tabs>
        <w:rPr>
          <w:rFonts w:ascii="Arial" w:cs="Arial" w:eastAsia="Arial" w:hAnsi="Arial"/>
          <w:sz w:val="14"/>
          <w:szCs w:val="14"/>
          <w:color w:val="0000FF"/>
        </w:rPr>
      </w:pPr>
      <w:hyperlink r:id="rId28">
        <w:r>
          <w:rPr>
            <w:rFonts w:ascii="Arial" w:cs="Arial" w:eastAsia="Arial" w:hAnsi="Arial"/>
            <w:sz w:val="14"/>
            <w:szCs w:val="14"/>
            <w:u w:val="single" w:color="auto"/>
            <w:color w:val="0000FF"/>
          </w:rPr>
          <w:t>3.3</w:t>
        </w:r>
      </w:hyperlink>
      <w:r>
        <w:rPr>
          <w:rFonts w:ascii="Arial" w:cs="Arial" w:eastAsia="Arial" w:hAnsi="Arial"/>
          <w:sz w:val="14"/>
          <w:szCs w:val="14"/>
          <w:color w:val="0000FF"/>
        </w:rPr>
        <w:tab/>
        <w:t>First Amendment to Amended and Restated Limited Liability Company Agreement of Fortress Transportation and Infrastructure Investors LLC (incorporated by reference to Exhibit 3.3 of the Company's Annual Report on Form 10-K, filed on March 10, 2016).</w:t>
      </w:r>
    </w:p>
    <w:p>
      <w:pPr>
        <w:spacing w:after="0" w:line="6"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29">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March 15, 2017, between Fortress Transportation and Infrastructure Investors LLC and U.S. Bank National</w:t>
      </w:r>
    </w:p>
    <w:p>
      <w:pPr>
        <w:ind w:left="1540"/>
        <w:spacing w:after="0" w:line="229" w:lineRule="auto"/>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 Current Report on Form 8-K, filed on 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1862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86295" cy="137160"/>
                    </a:xfrm>
                    <a:prstGeom prst="rect">
                      <a:avLst/>
                    </a:prstGeom>
                    <a:noFill/>
                  </pic:spPr>
                </pic:pic>
              </a:graphicData>
            </a:graphic>
          </wp:anchor>
        </w:drawing>
      </w:r>
    </w:p>
    <w:p>
      <w:pPr>
        <w:ind w:left="1180"/>
        <w:spacing w:after="0"/>
        <w:tabs>
          <w:tab w:leader="none" w:pos="1520" w:val="left"/>
        </w:tabs>
        <w:rPr>
          <w:rFonts w:ascii="Arial" w:cs="Arial" w:eastAsia="Arial" w:hAnsi="Arial"/>
          <w:sz w:val="14"/>
          <w:szCs w:val="14"/>
          <w:color w:val="0000FF"/>
        </w:rPr>
      </w:pPr>
      <w:hyperlink r:id="rId31">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6.75% senior unsecured notes due 2022 (included in Exhibit 4.1).</w:t>
      </w:r>
    </w:p>
    <w:p>
      <w:pPr>
        <w:spacing w:after="0" w:line="55" w:lineRule="exact"/>
        <w:rPr>
          <w:sz w:val="20"/>
          <w:szCs w:val="20"/>
          <w:color w:val="auto"/>
        </w:rPr>
      </w:pPr>
    </w:p>
    <w:p>
      <w:pPr>
        <w:jc w:val="both"/>
        <w:ind w:left="1540" w:right="20" w:hanging="343"/>
        <w:spacing w:after="0" w:line="219" w:lineRule="auto"/>
        <w:tabs>
          <w:tab w:leader="none" w:pos="1520" w:val="left"/>
        </w:tabs>
        <w:rPr>
          <w:rFonts w:ascii="Arial" w:cs="Arial" w:eastAsia="Arial" w:hAnsi="Arial"/>
          <w:sz w:val="14"/>
          <w:szCs w:val="14"/>
          <w:color w:val="0000FF"/>
        </w:rPr>
      </w:pPr>
      <w:hyperlink r:id="rId32">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June 8, 2017, between Fortress Transportation and Infrastructure Investors LLC and U.S. Bank National Association, as trustee, relating to the Company’s 6.75% senior unsecured notes due 2022 (incorporated by reference to Exhibit 4.3 of the Company’s Annual Report on Form 10-K, filed on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18629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86295" cy="342900"/>
                    </a:xfrm>
                    <a:prstGeom prst="rect">
                      <a:avLst/>
                    </a:prstGeom>
                    <a:noFill/>
                  </pic:spPr>
                </pic:pic>
              </a:graphicData>
            </a:graphic>
          </wp:anchor>
        </w:drawing>
      </w:r>
    </w:p>
    <w:p>
      <w:pPr>
        <w:jc w:val="both"/>
        <w:ind w:left="1540" w:hanging="343"/>
        <w:spacing w:after="0" w:line="250" w:lineRule="auto"/>
        <w:tabs>
          <w:tab w:leader="none" w:pos="1520" w:val="left"/>
        </w:tabs>
        <w:rPr>
          <w:rFonts w:ascii="Arial" w:cs="Arial" w:eastAsia="Arial" w:hAnsi="Arial"/>
          <w:sz w:val="14"/>
          <w:szCs w:val="14"/>
          <w:color w:val="0000FF"/>
        </w:rPr>
      </w:pPr>
      <w:hyperlink r:id="rId34">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August 23, 2017, between Fortress Transportation and Infrastructure Investors LLC and U.S. Bank National Association, as trustee, relating to the Company’s 6.75% senior unsecured notes due 2022 (incorporated by reference to Exhibit 4.1 of the Company’s Current Report on Form 8-K, filed on August 23, 2017).</w:t>
      </w:r>
    </w:p>
    <w:p>
      <w:pPr>
        <w:spacing w:after="0" w:line="37"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35">
        <w:r>
          <w:rPr>
            <w:rFonts w:ascii="Arial" w:cs="Arial" w:eastAsia="Arial" w:hAnsi="Arial"/>
            <w:sz w:val="14"/>
            <w:szCs w:val="14"/>
            <w:u w:val="single" w:color="auto"/>
            <w:color w:val="0000FF"/>
          </w:rPr>
          <w:t>4.5</w:t>
        </w:r>
      </w:hyperlink>
      <w:r>
        <w:rPr>
          <w:rFonts w:ascii="Arial" w:cs="Arial" w:eastAsia="Arial" w:hAnsi="Arial"/>
          <w:sz w:val="14"/>
          <w:szCs w:val="14"/>
          <w:color w:val="0000FF"/>
        </w:rPr>
        <w:tab/>
        <w:t>Third Supplemental Indenture, dated December 20, 2017, between Fortress Transportation and Infrastructure LLC (incorporated by reference to Exhibit</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4.1 of the Company’s Current Report on Form 8-K filed on December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18629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86295" cy="342900"/>
                    </a:xfrm>
                    <a:prstGeom prst="rect">
                      <a:avLst/>
                    </a:prstGeom>
                    <a:noFill/>
                  </pic:spPr>
                </pic:pic>
              </a:graphicData>
            </a:graphic>
          </wp:anchor>
        </w:drawing>
      </w:r>
    </w:p>
    <w:p>
      <w:pPr>
        <w:spacing w:after="0" w:line="22" w:lineRule="exact"/>
        <w:rPr>
          <w:sz w:val="20"/>
          <w:szCs w:val="20"/>
          <w:color w:val="auto"/>
        </w:rPr>
      </w:pPr>
    </w:p>
    <w:p>
      <w:pPr>
        <w:jc w:val="both"/>
        <w:ind w:left="1540" w:hanging="343"/>
        <w:spacing w:after="0" w:line="250" w:lineRule="auto"/>
        <w:tabs>
          <w:tab w:leader="none" w:pos="1520" w:val="left"/>
        </w:tabs>
        <w:rPr>
          <w:rFonts w:ascii="Arial" w:cs="Arial" w:eastAsia="Arial" w:hAnsi="Arial"/>
          <w:sz w:val="14"/>
          <w:szCs w:val="14"/>
          <w:color w:val="0000FF"/>
        </w:rPr>
      </w:pPr>
      <w:hyperlink r:id="rId37">
        <w:r>
          <w:rPr>
            <w:rFonts w:ascii="Arial" w:cs="Arial" w:eastAsia="Arial" w:hAnsi="Arial"/>
            <w:sz w:val="14"/>
            <w:szCs w:val="14"/>
            <w:u w:val="single" w:color="auto"/>
            <w:color w:val="0000FF"/>
          </w:rPr>
          <w:t>4.6</w:t>
        </w:r>
      </w:hyperlink>
      <w:r>
        <w:rPr>
          <w:rFonts w:ascii="Arial" w:cs="Arial" w:eastAsia="Arial" w:hAnsi="Arial"/>
          <w:sz w:val="14"/>
          <w:szCs w:val="14"/>
          <w:color w:val="0000FF"/>
        </w:rPr>
        <w:tab/>
        <w:t>Fourth Supplemental Indenture, dated May 31, 2018, between Fortress Transportation and Infrastructure Investors LLC and U.S. Bank National Association, as trustee, relating to the Company’s 6.75% senior unsecured notes due 2022 (incorporated by reference to Exhibit 4.1 of the Company’s Current Report on Form 8-K, filed May 31, 2018).</w:t>
      </w:r>
    </w:p>
    <w:p>
      <w:pPr>
        <w:spacing w:after="0" w:line="37" w:lineRule="exact"/>
        <w:rPr>
          <w:sz w:val="20"/>
          <w:szCs w:val="20"/>
          <w:color w:val="auto"/>
        </w:rPr>
      </w:pPr>
    </w:p>
    <w:p>
      <w:pPr>
        <w:jc w:val="both"/>
        <w:ind w:left="1540" w:hanging="343"/>
        <w:spacing w:after="0" w:line="250" w:lineRule="auto"/>
        <w:tabs>
          <w:tab w:leader="none" w:pos="1520" w:val="left"/>
        </w:tabs>
        <w:rPr>
          <w:rFonts w:ascii="Arial" w:cs="Arial" w:eastAsia="Arial" w:hAnsi="Arial"/>
          <w:sz w:val="14"/>
          <w:szCs w:val="14"/>
          <w:color w:val="0000FF"/>
        </w:rPr>
      </w:pPr>
      <w:hyperlink r:id="rId38">
        <w:r>
          <w:rPr>
            <w:rFonts w:ascii="Arial" w:cs="Arial" w:eastAsia="Arial" w:hAnsi="Arial"/>
            <w:sz w:val="14"/>
            <w:szCs w:val="14"/>
            <w:u w:val="single" w:color="auto"/>
            <w:color w:val="0000FF"/>
          </w:rPr>
          <w:t>4.7</w:t>
        </w:r>
      </w:hyperlink>
      <w:r>
        <w:rPr>
          <w:rFonts w:ascii="Arial" w:cs="Arial" w:eastAsia="Arial" w:hAnsi="Arial"/>
          <w:sz w:val="14"/>
          <w:szCs w:val="14"/>
          <w:color w:val="0000FF"/>
        </w:rPr>
        <w:tab/>
        <w:t>Fifth Supplemental Indenture, dated February 8, 2019, between Fortress Transportation and Infrastructure Investors LLC and U.S. Bank National Association, as trustee, relating to the Company’s 6.75% senior unsecured notes due 2022 (incorporated by reference to Exhibit 4.1 of the Company’s Current Report on Form 8-K, filed 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718629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86295" cy="342900"/>
                    </a:xfrm>
                    <a:prstGeom prst="rect">
                      <a:avLst/>
                    </a:prstGeom>
                    <a:noFill/>
                  </pic:spPr>
                </pic:pic>
              </a:graphicData>
            </a:graphic>
          </wp:anchor>
        </w:drawing>
      </w:r>
    </w:p>
    <w:p>
      <w:pPr>
        <w:spacing w:after="0" w:line="17" w:lineRule="exact"/>
        <w:rPr>
          <w:sz w:val="20"/>
          <w:szCs w:val="20"/>
          <w:color w:val="auto"/>
        </w:rPr>
      </w:pPr>
    </w:p>
    <w:p>
      <w:pPr>
        <w:jc w:val="both"/>
        <w:ind w:left="1540" w:right="20" w:hanging="343"/>
        <w:spacing w:after="0" w:line="250" w:lineRule="auto"/>
        <w:tabs>
          <w:tab w:leader="none" w:pos="1520" w:val="left"/>
        </w:tabs>
        <w:rPr>
          <w:rFonts w:ascii="Arial" w:cs="Arial" w:eastAsia="Arial" w:hAnsi="Arial"/>
          <w:sz w:val="14"/>
          <w:szCs w:val="14"/>
          <w:color w:val="0000FF"/>
        </w:rPr>
      </w:pPr>
      <w:hyperlink r:id="rId40">
        <w:r>
          <w:rPr>
            <w:rFonts w:ascii="Arial" w:cs="Arial" w:eastAsia="Arial" w:hAnsi="Arial"/>
            <w:sz w:val="14"/>
            <w:szCs w:val="14"/>
            <w:u w:val="single" w:color="auto"/>
            <w:color w:val="0000FF"/>
          </w:rPr>
          <w:t>4.8</w:t>
        </w:r>
      </w:hyperlink>
      <w:r>
        <w:rPr>
          <w:rFonts w:ascii="Arial" w:cs="Arial" w:eastAsia="Arial" w:hAnsi="Arial"/>
          <w:sz w:val="14"/>
          <w:szCs w:val="14"/>
          <w:color w:val="0000FF"/>
        </w:rPr>
        <w:tab/>
        <w:t>Indenture, dated September 18, 2018, between Fortress Transportation and Infrastructure Investors LLC and U.S. Bank National Association, as trustee, relating to the Company’s 6.50% senior unsecured notes due 2025 (incorporated by reference to Exhibit 4.1 of the Company’s Current Report on Form 8-K, filed on September 18, 2018).</w:t>
      </w:r>
    </w:p>
    <w:p>
      <w:pPr>
        <w:spacing w:after="0" w:line="37" w:lineRule="exact"/>
        <w:rPr>
          <w:sz w:val="20"/>
          <w:szCs w:val="20"/>
          <w:color w:val="auto"/>
        </w:rPr>
      </w:pPr>
    </w:p>
    <w:p>
      <w:pPr>
        <w:ind w:left="1180"/>
        <w:spacing w:after="0"/>
        <w:tabs>
          <w:tab w:leader="none" w:pos="1520" w:val="left"/>
        </w:tabs>
        <w:rPr>
          <w:rFonts w:ascii="Arial" w:cs="Arial" w:eastAsia="Arial" w:hAnsi="Arial"/>
          <w:sz w:val="14"/>
          <w:szCs w:val="14"/>
          <w:color w:val="0000FF"/>
        </w:rPr>
      </w:pPr>
      <w:hyperlink r:id="rId40">
        <w:r>
          <w:rPr>
            <w:rFonts w:ascii="Arial" w:cs="Arial" w:eastAsia="Arial" w:hAnsi="Arial"/>
            <w:sz w:val="14"/>
            <w:szCs w:val="14"/>
            <w:u w:val="single" w:color="auto"/>
            <w:color w:val="0000FF"/>
          </w:rPr>
          <w:t>4.9</w:t>
        </w:r>
      </w:hyperlink>
      <w:r>
        <w:rPr>
          <w:rFonts w:ascii="Arial" w:cs="Arial" w:eastAsia="Arial" w:hAnsi="Arial"/>
          <w:sz w:val="14"/>
          <w:szCs w:val="14"/>
          <w:color w:val="0000FF"/>
        </w:rPr>
        <w:tab/>
        <w:t>Form of global note representing the Company’s 6.50% senior unsecured notes due 2025 (included in 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718629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spacing w:after="0" w:line="35" w:lineRule="exact"/>
        <w:rPr>
          <w:sz w:val="20"/>
          <w:szCs w:val="20"/>
          <w:color w:val="auto"/>
        </w:rPr>
      </w:pPr>
    </w:p>
    <w:p>
      <w:pPr>
        <w:ind w:left="1540" w:right="20" w:hanging="423"/>
        <w:spacing w:after="0" w:line="258" w:lineRule="auto"/>
        <w:tabs>
          <w:tab w:leader="none" w:pos="1520" w:val="left"/>
        </w:tabs>
        <w:rPr>
          <w:rFonts w:ascii="Arial" w:cs="Arial" w:eastAsia="Arial" w:hAnsi="Arial"/>
          <w:sz w:val="14"/>
          <w:szCs w:val="14"/>
          <w:color w:val="0000FF"/>
        </w:rPr>
      </w:pPr>
      <w:hyperlink r:id="rId42">
        <w:r>
          <w:rPr>
            <w:rFonts w:ascii="Arial" w:cs="Arial" w:eastAsia="Arial" w:hAnsi="Arial"/>
            <w:sz w:val="14"/>
            <w:szCs w:val="14"/>
            <w:u w:val="single" w:color="auto"/>
            <w:color w:val="0000FF"/>
          </w:rPr>
          <w:t>10.1</w:t>
        </w:r>
      </w:hyperlink>
      <w:r>
        <w:rPr>
          <w:rFonts w:ascii="Arial" w:cs="Arial" w:eastAsia="Arial" w:hAnsi="Arial"/>
          <w:sz w:val="14"/>
          <w:szCs w:val="14"/>
          <w:color w:val="0000FF"/>
        </w:rPr>
        <w:tab/>
        <w:t>Fourth Amended and Restated Partnership Agreement of Fortress Worldwide Transportation and Infrastructure General Partnership (incorporated by reference to Exhibit 10.1 of the Company's Current Report on Form 8-K, filed on May 21, 2015).</w:t>
      </w:r>
    </w:p>
    <w:p>
      <w:pPr>
        <w:spacing w:after="0" w:line="32" w:lineRule="exact"/>
        <w:rPr>
          <w:sz w:val="20"/>
          <w:szCs w:val="20"/>
          <w:color w:val="auto"/>
        </w:rPr>
      </w:pPr>
    </w:p>
    <w:p>
      <w:pPr>
        <w:ind w:left="1540" w:right="20" w:hanging="1467"/>
        <w:spacing w:after="0" w:line="278" w:lineRule="auto"/>
        <w:tabs>
          <w:tab w:leader="none" w:pos="1116" w:val="left"/>
        </w:tabs>
        <w:numPr>
          <w:ilvl w:val="0"/>
          <w:numId w:val="80"/>
        </w:numPr>
        <w:rPr>
          <w:rFonts w:ascii="Arial" w:cs="Arial" w:eastAsia="Arial" w:hAnsi="Arial"/>
          <w:sz w:val="14"/>
          <w:szCs w:val="14"/>
          <w:color w:val="0000FF"/>
        </w:rPr>
      </w:pPr>
      <w:hyperlink r:id="rId43">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May 20, 2015, between Fortress Transportation and Infrastructure Investors LLC and FIG LLC</w:t>
      </w:r>
      <w:r>
        <w:rPr>
          <w:rFonts w:ascii="Arial" w:cs="Arial" w:eastAsia="Arial" w:hAnsi="Arial"/>
          <w:sz w:val="14"/>
          <w:szCs w:val="14"/>
          <w:color w:val="0000FF"/>
        </w:rPr>
        <w:t xml:space="preserve"> </w:t>
      </w:r>
      <w:r>
        <w:rPr>
          <w:rFonts w:ascii="Arial" w:cs="Arial" w:eastAsia="Arial" w:hAnsi="Arial"/>
          <w:sz w:val="14"/>
          <w:szCs w:val="14"/>
          <w:color w:val="000000"/>
        </w:rPr>
        <w:t>(incorporated by reference to Exhibit 10.2 of the Company's Current Report on Form 8-K, filed on May 21, 2015).</w:t>
      </w:r>
    </w:p>
    <w:p>
      <w:pPr>
        <w:spacing w:after="0" w:line="5" w:lineRule="exact"/>
        <w:rPr>
          <w:rFonts w:ascii="Arial" w:cs="Arial" w:eastAsia="Arial" w:hAnsi="Arial"/>
          <w:sz w:val="14"/>
          <w:szCs w:val="14"/>
          <w:color w:val="0000FF"/>
        </w:rPr>
      </w:pPr>
    </w:p>
    <w:p>
      <w:pPr>
        <w:ind w:left="1540" w:hanging="1467"/>
        <w:spacing w:after="0" w:line="260" w:lineRule="auto"/>
        <w:tabs>
          <w:tab w:leader="none" w:pos="1116" w:val="left"/>
        </w:tabs>
        <w:numPr>
          <w:ilvl w:val="0"/>
          <w:numId w:val="80"/>
        </w:numPr>
        <w:rPr>
          <w:rFonts w:ascii="Arial" w:cs="Arial" w:eastAsia="Arial" w:hAnsi="Arial"/>
          <w:sz w:val="14"/>
          <w:szCs w:val="14"/>
          <w:color w:val="0000FF"/>
        </w:rPr>
      </w:pPr>
      <w:hyperlink r:id="rId44">
        <w:r>
          <w:rPr>
            <w:rFonts w:ascii="Arial" w:cs="Arial" w:eastAsia="Arial" w:hAnsi="Arial"/>
            <w:sz w:val="14"/>
            <w:szCs w:val="14"/>
            <w:u w:val="single" w:color="auto"/>
            <w:color w:val="0000FF"/>
          </w:rPr>
          <w:t>10.3</w:t>
        </w:r>
        <w:r>
          <w:rPr>
            <w:rFonts w:ascii="Arial" w:cs="Arial" w:eastAsia="Arial" w:hAnsi="Arial"/>
            <w:sz w:val="14"/>
            <w:szCs w:val="14"/>
            <w:color w:val="0000FF"/>
          </w:rPr>
          <w:t xml:space="preserve"> </w:t>
        </w:r>
      </w:hyperlink>
      <w:r>
        <w:rPr>
          <w:rFonts w:ascii="Arial" w:cs="Arial" w:eastAsia="Arial" w:hAnsi="Arial"/>
          <w:sz w:val="14"/>
          <w:szCs w:val="14"/>
          <w:color w:val="000000"/>
        </w:rPr>
        <w:t>Registration</w:t>
      </w:r>
      <w:r>
        <w:rPr>
          <w:rFonts w:ascii="Arial" w:cs="Arial" w:eastAsia="Arial" w:hAnsi="Arial"/>
          <w:sz w:val="14"/>
          <w:szCs w:val="14"/>
          <w:color w:val="0000FF"/>
        </w:rPr>
        <w:t xml:space="preserve"> </w:t>
      </w:r>
      <w:r>
        <w:rPr>
          <w:rFonts w:ascii="Arial" w:cs="Arial" w:eastAsia="Arial" w:hAnsi="Arial"/>
          <w:sz w:val="14"/>
          <w:szCs w:val="14"/>
          <w:color w:val="000000"/>
        </w:rPr>
        <w:t>Rights Agreement, dated as of May 20, 2015, among Fortress Transportation and Infrastructure Investors LLC, FIG LLC and 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Master GP LLC (incorporated by reference to Exhibit 10.3 of the Company's Current Report on Form 8-K, filed on May 21, 2015).</w:t>
      </w:r>
    </w:p>
    <w:p>
      <w:pPr>
        <w:spacing w:after="0" w:line="16" w:lineRule="exact"/>
        <w:rPr>
          <w:rFonts w:ascii="Arial" w:cs="Arial" w:eastAsia="Arial" w:hAnsi="Arial"/>
          <w:sz w:val="14"/>
          <w:szCs w:val="14"/>
          <w:color w:val="0000FF"/>
        </w:rPr>
      </w:pPr>
    </w:p>
    <w:p>
      <w:pPr>
        <w:ind w:left="1540" w:right="20" w:hanging="1467"/>
        <w:spacing w:after="0" w:line="278" w:lineRule="auto"/>
        <w:tabs>
          <w:tab w:leader="none" w:pos="1116" w:val="left"/>
        </w:tabs>
        <w:numPr>
          <w:ilvl w:val="0"/>
          <w:numId w:val="80"/>
        </w:numPr>
        <w:rPr>
          <w:rFonts w:ascii="Arial" w:cs="Arial" w:eastAsia="Arial" w:hAnsi="Arial"/>
          <w:sz w:val="14"/>
          <w:szCs w:val="14"/>
          <w:color w:val="0000FF"/>
        </w:rPr>
      </w:pPr>
      <w:hyperlink r:id="rId45">
        <w:r>
          <w:rPr>
            <w:rFonts w:ascii="Arial" w:cs="Arial" w:eastAsia="Arial" w:hAnsi="Arial"/>
            <w:sz w:val="14"/>
            <w:szCs w:val="14"/>
            <w:u w:val="single" w:color="auto"/>
            <w:color w:val="0000FF"/>
          </w:rPr>
          <w:t>10.4</w:t>
        </w:r>
        <w:r>
          <w:rPr>
            <w:rFonts w:ascii="Arial" w:cs="Arial" w:eastAsia="Arial" w:hAnsi="Arial"/>
            <w:sz w:val="14"/>
            <w:szCs w:val="14"/>
            <w:color w:val="0000FF"/>
          </w:rPr>
          <w:t xml:space="preserve"> </w:t>
        </w:r>
      </w:hyperlink>
      <w:r>
        <w:rPr>
          <w:rFonts w:ascii="Arial" w:cs="Arial" w:eastAsia="Arial" w:hAnsi="Arial"/>
          <w:sz w:val="14"/>
          <w:szCs w:val="14"/>
          <w:color w:val="000000"/>
        </w:rPr>
        <w:t>Fortress</w:t>
      </w:r>
      <w:r>
        <w:rPr>
          <w:rFonts w:ascii="Arial" w:cs="Arial" w:eastAsia="Arial" w:hAnsi="Arial"/>
          <w:sz w:val="14"/>
          <w:szCs w:val="14"/>
          <w:color w:val="0000FF"/>
        </w:rPr>
        <w:t xml:space="preserve"> </w:t>
      </w:r>
      <w:r>
        <w:rPr>
          <w:rFonts w:ascii="Arial" w:cs="Arial" w:eastAsia="Arial" w:hAnsi="Arial"/>
          <w:sz w:val="14"/>
          <w:szCs w:val="14"/>
          <w:color w:val="000000"/>
        </w:rPr>
        <w:t>Transportation and Infrastructure Investors LLC Nonqualified Stock Option and Incentive Award Plan (incorporated by reference to Exhibit 10.4 of</w:t>
      </w:r>
      <w:r>
        <w:rPr>
          <w:rFonts w:ascii="Arial" w:cs="Arial" w:eastAsia="Arial" w:hAnsi="Arial"/>
          <w:sz w:val="14"/>
          <w:szCs w:val="14"/>
          <w:color w:val="0000FF"/>
        </w:rPr>
        <w:t xml:space="preserve"> </w:t>
      </w:r>
      <w:r>
        <w:rPr>
          <w:rFonts w:ascii="Arial" w:cs="Arial" w:eastAsia="Arial" w:hAnsi="Arial"/>
          <w:sz w:val="14"/>
          <w:szCs w:val="14"/>
          <w:color w:val="000000"/>
        </w:rPr>
        <w:t>the Company's Current Report on Form 8-K, filed on May 21,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-590550</wp:posOffset>
            </wp:positionV>
            <wp:extent cx="718629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86295" cy="34290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-7620</wp:posOffset>
            </wp:positionV>
            <wp:extent cx="718629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ind w:left="1100"/>
        <w:spacing w:after="0"/>
        <w:tabs>
          <w:tab w:leader="none" w:pos="1520" w:val="left"/>
        </w:tabs>
        <w:rPr>
          <w:rFonts w:ascii="Arial" w:cs="Arial" w:eastAsia="Arial" w:hAnsi="Arial"/>
          <w:sz w:val="14"/>
          <w:szCs w:val="14"/>
          <w:color w:val="0000FF"/>
        </w:rPr>
      </w:pPr>
      <w:hyperlink r:id="rId48">
        <w:r>
          <w:rPr>
            <w:rFonts w:ascii="Arial" w:cs="Arial" w:eastAsia="Arial" w:hAnsi="Arial"/>
            <w:sz w:val="14"/>
            <w:szCs w:val="14"/>
            <w:u w:val="single" w:color="auto"/>
            <w:color w:val="0000FF"/>
          </w:rPr>
          <w:t>10.5</w:t>
        </w:r>
      </w:hyperlink>
      <w:r>
        <w:rPr>
          <w:rFonts w:ascii="Arial" w:cs="Arial" w:eastAsia="Arial" w:hAnsi="Arial"/>
          <w:sz w:val="14"/>
          <w:szCs w:val="14"/>
          <w:color w:val="0000FF"/>
        </w:rPr>
        <w:tab/>
        <w:t>Form of director and officer indemnification agreement of Fortress Transportation and Infrastructure Investors LLC (incorporated by reference to Exhibit</w:t>
      </w:r>
    </w:p>
    <w:p>
      <w:pPr>
        <w:spacing w:after="0" w:line="15" w:lineRule="exact"/>
        <w:rPr>
          <w:rFonts w:ascii="Arial" w:cs="Arial" w:eastAsia="Arial" w:hAnsi="Arial"/>
          <w:sz w:val="14"/>
          <w:szCs w:val="14"/>
          <w:color w:val="auto"/>
        </w:rPr>
      </w:pPr>
    </w:p>
    <w:p>
      <w:pPr>
        <w:ind w:left="154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p>
      <w:pPr>
        <w:spacing w:after="0" w:line="42" w:lineRule="exact"/>
        <w:rPr>
          <w:rFonts w:ascii="Arial" w:cs="Arial" w:eastAsia="Arial" w:hAnsi="Arial"/>
          <w:sz w:val="14"/>
          <w:szCs w:val="14"/>
          <w:color w:val="auto"/>
        </w:rPr>
      </w:pPr>
    </w:p>
    <w:p>
      <w:pPr>
        <w:jc w:val="both"/>
        <w:ind w:left="1540" w:hanging="423"/>
        <w:spacing w:after="0" w:line="250" w:lineRule="auto"/>
        <w:tabs>
          <w:tab w:leader="none" w:pos="1520" w:val="left"/>
        </w:tabs>
        <w:rPr>
          <w:rFonts w:ascii="Arial" w:cs="Arial" w:eastAsia="Arial" w:hAnsi="Arial"/>
          <w:sz w:val="14"/>
          <w:szCs w:val="14"/>
          <w:color w:val="0000FF"/>
        </w:rPr>
      </w:pPr>
      <w:hyperlink r:id="rId49">
        <w:r>
          <w:rPr>
            <w:rFonts w:ascii="Arial" w:cs="Arial" w:eastAsia="Arial" w:hAnsi="Arial"/>
            <w:sz w:val="14"/>
            <w:szCs w:val="14"/>
            <w:u w:val="single" w:color="auto"/>
            <w:color w:val="0000FF"/>
          </w:rPr>
          <w:t>10.6</w:t>
        </w:r>
      </w:hyperlink>
      <w:r>
        <w:rPr>
          <w:rFonts w:ascii="Arial" w:cs="Arial" w:eastAsia="Arial" w:hAnsi="Arial"/>
          <w:sz w:val="14"/>
          <w:szCs w:val="14"/>
          <w:color w:val="0000FF"/>
        </w:rPr>
        <w:tab/>
        <w:t>Credit Agreement, dated as of August 27, 2014, among Morgan Stanley Senior Funding, Inc., as administrative agent, Jefferson Gulf Coast Energy Partners LLC and the other lenders party thereto (incorporated by reference to Exhibit 10.6 of Amendment No. 4 to the Company's Registration Statement on Form S-1, filed April 30, 2015).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718629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40" w:hanging="423"/>
        <w:spacing w:after="0" w:line="258" w:lineRule="auto"/>
        <w:tabs>
          <w:tab w:leader="none" w:pos="1520" w:val="left"/>
        </w:tabs>
        <w:rPr>
          <w:rFonts w:ascii="Arial" w:cs="Arial" w:eastAsia="Arial" w:hAnsi="Arial"/>
          <w:sz w:val="14"/>
          <w:szCs w:val="14"/>
          <w:color w:val="0000FF"/>
        </w:rPr>
      </w:pPr>
      <w:hyperlink r:id="rId51">
        <w:r>
          <w:rPr>
            <w:rFonts w:ascii="Arial" w:cs="Arial" w:eastAsia="Arial" w:hAnsi="Arial"/>
            <w:sz w:val="14"/>
            <w:szCs w:val="14"/>
            <w:u w:val="single" w:color="auto"/>
            <w:color w:val="0000FF"/>
          </w:rPr>
          <w:t>10.7</w:t>
        </w:r>
      </w:hyperlink>
      <w:r>
        <w:rPr>
          <w:rFonts w:ascii="Arial" w:cs="Arial" w:eastAsia="Arial" w:hAnsi="Arial"/>
          <w:sz w:val="14"/>
          <w:szCs w:val="14"/>
          <w:color w:val="0000FF"/>
        </w:rPr>
        <w:tab/>
        <w:t>Trust Indenture and Security Agreement between the District and The Bank of New York Mellon Trust Company, National Association, dated as of February 1, 2016 (incorporated by reference to Exhibit 10.7 of the Company's Annual Report on Form 10-K, filed on March 10, 2016).</w:t>
      </w:r>
    </w:p>
    <w:p>
      <w:pPr>
        <w:spacing w:after="0" w:line="32" w:lineRule="exact"/>
        <w:rPr>
          <w:rFonts w:ascii="Arial" w:cs="Arial" w:eastAsia="Arial" w:hAnsi="Arial"/>
          <w:sz w:val="14"/>
          <w:szCs w:val="14"/>
          <w:color w:val="auto"/>
        </w:rPr>
      </w:pPr>
    </w:p>
    <w:p>
      <w:pPr>
        <w:jc w:val="both"/>
        <w:ind w:left="1540" w:hanging="423"/>
        <w:spacing w:after="0" w:line="250" w:lineRule="auto"/>
        <w:tabs>
          <w:tab w:leader="none" w:pos="1520" w:val="left"/>
        </w:tabs>
        <w:rPr>
          <w:rFonts w:ascii="Arial" w:cs="Arial" w:eastAsia="Arial" w:hAnsi="Arial"/>
          <w:sz w:val="14"/>
          <w:szCs w:val="14"/>
          <w:color w:val="0000FF"/>
        </w:rPr>
      </w:pPr>
      <w:hyperlink r:id="rId52">
        <w:r>
          <w:rPr>
            <w:rFonts w:ascii="Arial" w:cs="Arial" w:eastAsia="Arial" w:hAnsi="Arial"/>
            <w:sz w:val="14"/>
            <w:szCs w:val="14"/>
            <w:u w:val="single" w:color="auto"/>
            <w:color w:val="0000FF"/>
          </w:rPr>
          <w:t>10.8</w:t>
        </w:r>
      </w:hyperlink>
      <w:r>
        <w:rPr>
          <w:rFonts w:ascii="Arial" w:cs="Arial" w:eastAsia="Arial" w:hAnsi="Arial"/>
          <w:sz w:val="14"/>
          <w:szCs w:val="14"/>
          <w:color w:val="0000FF"/>
        </w:rPr>
        <w:tab/>
        <w:t>Standby Bond Purchase Agreement among the Port of Beaumont Navigation District of Jefferson County, Texas, The Bank of New York Mellon Trust Company, National Association, Jefferson Railport Terminal II Holdings LLC and Jefferson Railport Terminal II LLC dated as of February 1, 2016 (incorporated by reference to Exhibit 10.8 of the Company's Annual Report on Form 10-K, filed on March 10,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7186295"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86295" cy="445770"/>
                    </a:xfrm>
                    <a:prstGeom prst="rect">
                      <a:avLst/>
                    </a:prstGeom>
                    <a:noFill/>
                  </pic:spPr>
                </pic:pic>
              </a:graphicData>
            </a:graphic>
          </wp:anchor>
        </w:drawing>
      </w:r>
    </w:p>
    <w:p>
      <w:pPr>
        <w:spacing w:after="0" w:line="17" w:lineRule="exact"/>
        <w:rPr>
          <w:rFonts w:ascii="Arial" w:cs="Arial" w:eastAsia="Arial" w:hAnsi="Arial"/>
          <w:sz w:val="14"/>
          <w:szCs w:val="14"/>
          <w:color w:val="auto"/>
        </w:rPr>
      </w:pPr>
    </w:p>
    <w:p>
      <w:pPr>
        <w:jc w:val="both"/>
        <w:ind w:left="1540" w:right="20" w:hanging="423"/>
        <w:spacing w:after="0" w:line="247" w:lineRule="auto"/>
        <w:tabs>
          <w:tab w:leader="none" w:pos="1520" w:val="left"/>
        </w:tabs>
        <w:rPr>
          <w:rFonts w:ascii="Arial" w:cs="Arial" w:eastAsia="Arial" w:hAnsi="Arial"/>
          <w:sz w:val="14"/>
          <w:szCs w:val="14"/>
          <w:color w:val="0000FF"/>
        </w:rPr>
      </w:pPr>
      <w:hyperlink r:id="rId54">
        <w:r>
          <w:rPr>
            <w:rFonts w:ascii="Arial" w:cs="Arial" w:eastAsia="Arial" w:hAnsi="Arial"/>
            <w:sz w:val="14"/>
            <w:szCs w:val="14"/>
            <w:u w:val="single" w:color="auto"/>
            <w:color w:val="0000FF"/>
          </w:rPr>
          <w:t>10.9</w:t>
        </w:r>
      </w:hyperlink>
      <w:r>
        <w:rPr>
          <w:rFonts w:ascii="Arial" w:cs="Arial" w:eastAsia="Arial" w:hAnsi="Arial"/>
          <w:sz w:val="14"/>
          <w:szCs w:val="14"/>
          <w:color w:val="0000FF"/>
        </w:rPr>
        <w:tab/>
        <w:t>Capital Call Agreement, by and among Fortress Transportation and Infrastructure Investors LLC, FTAI Energy Holdings LLC, FTAI Partner Holdings LLC, FTAI Midstream GP Holdings LLC, FTAI Midstream GP LLC, FTAI Midstream Holdings LLC, FTAI Energy Partners LLC and Jefferson Railport Terminal II Holdings LLC, dated as of February 1, 2016 (incorporated by reference to Exhibit 10.9 of the Company's Annual Report on Form 10-K, filed on March 10, 2016).</w:t>
      </w:r>
    </w:p>
    <w:p>
      <w:pPr>
        <w:spacing w:after="0" w:line="40" w:lineRule="exact"/>
        <w:rPr>
          <w:rFonts w:ascii="Arial" w:cs="Arial" w:eastAsia="Arial" w:hAnsi="Arial"/>
          <w:sz w:val="14"/>
          <w:szCs w:val="14"/>
          <w:color w:val="auto"/>
        </w:rPr>
      </w:pPr>
    </w:p>
    <w:p>
      <w:pPr>
        <w:ind w:left="1020"/>
        <w:spacing w:after="0"/>
        <w:tabs>
          <w:tab w:leader="none" w:pos="1520" w:val="left"/>
        </w:tabs>
        <w:rPr>
          <w:rFonts w:ascii="Arial" w:cs="Arial" w:eastAsia="Arial" w:hAnsi="Arial"/>
          <w:sz w:val="14"/>
          <w:szCs w:val="14"/>
          <w:color w:val="0000FF"/>
        </w:rPr>
      </w:pPr>
      <w:hyperlink r:id="rId55">
        <w:r>
          <w:rPr>
            <w:rFonts w:ascii="Arial" w:cs="Arial" w:eastAsia="Arial" w:hAnsi="Arial"/>
            <w:sz w:val="14"/>
            <w:szCs w:val="14"/>
            <w:u w:val="single" w:color="auto"/>
            <w:color w:val="0000FF"/>
          </w:rPr>
          <w:t>10.10</w:t>
        </w:r>
      </w:hyperlink>
      <w:r>
        <w:rPr>
          <w:rFonts w:ascii="Arial" w:cs="Arial" w:eastAsia="Arial" w:hAnsi="Arial"/>
          <w:sz w:val="14"/>
          <w:szCs w:val="14"/>
          <w:color w:val="0000FF"/>
        </w:rPr>
        <w:tab/>
        <w:t>Fee and Support Agreement, among FTAI Energy Holdings LLC, FEP Terminal Holdings LLC, FTAI Energy Partners LLC and Jefferson Railport Terminal</w:t>
      </w:r>
    </w:p>
    <w:p>
      <w:pPr>
        <w:spacing w:after="0" w:line="15" w:lineRule="exact"/>
        <w:rPr>
          <w:rFonts w:ascii="Arial" w:cs="Arial" w:eastAsia="Arial" w:hAnsi="Arial"/>
          <w:sz w:val="14"/>
          <w:szCs w:val="14"/>
          <w:color w:val="auto"/>
        </w:rPr>
      </w:pPr>
    </w:p>
    <w:p>
      <w:pPr>
        <w:ind w:left="1540" w:right="20" w:hanging="8"/>
        <w:spacing w:after="0" w:line="258" w:lineRule="auto"/>
        <w:tabs>
          <w:tab w:leader="none" w:pos="1669" w:val="left"/>
        </w:tabs>
        <w:numPr>
          <w:ilvl w:val="0"/>
          <w:numId w:val="81"/>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18629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86295" cy="342900"/>
                    </a:xfrm>
                    <a:prstGeom prst="rect">
                      <a:avLst/>
                    </a:prstGeom>
                    <a:noFill/>
                  </pic:spPr>
                </pic:pic>
              </a:graphicData>
            </a:graphic>
          </wp:anchor>
        </w:drawing>
      </w:r>
    </w:p>
    <w:p>
      <w:pPr>
        <w:jc w:val="both"/>
        <w:ind w:left="1540" w:hanging="503"/>
        <w:spacing w:after="0" w:line="250" w:lineRule="auto"/>
        <w:tabs>
          <w:tab w:leader="none" w:pos="1520" w:val="left"/>
        </w:tabs>
        <w:rPr>
          <w:rFonts w:ascii="Arial" w:cs="Arial" w:eastAsia="Arial" w:hAnsi="Arial"/>
          <w:sz w:val="14"/>
          <w:szCs w:val="14"/>
          <w:color w:val="0000FF"/>
        </w:rPr>
      </w:pPr>
      <w:hyperlink r:id="rId57">
        <w:r>
          <w:rPr>
            <w:rFonts w:ascii="Arial" w:cs="Arial" w:eastAsia="Arial" w:hAnsi="Arial"/>
            <w:sz w:val="14"/>
            <w:szCs w:val="14"/>
            <w:u w:val="single" w:color="auto"/>
            <w:color w:val="0000FF"/>
          </w:rPr>
          <w:t>10.11</w:t>
        </w:r>
      </w:hyperlink>
      <w:r>
        <w:rPr>
          <w:rFonts w:ascii="Arial" w:cs="Arial" w:eastAsia="Arial" w:hAnsi="Arial"/>
          <w:sz w:val="14"/>
          <w:szCs w:val="14"/>
          <w:color w:val="0000FF"/>
        </w:rPr>
        <w:tab/>
        <w:t>Lease and Development Agreement (Facilities Lease), dated as of February 1, 2016, by and between the Port of Beaumont Navigation District of Jefferson County, Texas and Jefferson Railport Terminal II LLC (incorporated by reference to Exhibit 10.11 of the Company's Annual Report on Form 10-K, filed on March 10, 2016).</w:t>
      </w:r>
    </w:p>
    <w:p>
      <w:pPr>
        <w:sectPr>
          <w:pgSz w:w="11900" w:h="16838" w:orient="portrait"/>
          <w:cols w:equalWidth="0" w:num="1">
            <w:col w:w="11360"/>
          </w:cols>
          <w:pgMar w:left="240" w:top="1256" w:right="299" w:bottom="1440" w:gutter="0" w:footer="0" w:header="0"/>
        </w:sect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0" w:lineRule="exact"/>
        <w:rPr>
          <w:rFonts w:ascii="Arial" w:cs="Arial" w:eastAsia="Arial" w:hAnsi="Arial"/>
          <w:sz w:val="14"/>
          <w:szCs w:val="14"/>
          <w:color w:val="auto"/>
        </w:rPr>
      </w:pPr>
    </w:p>
    <w:p>
      <w:pPr>
        <w:jc w:val="center"/>
        <w:ind w:right="-79"/>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360"/>
          </w:cols>
          <w:pgMar w:left="240" w:top="1256" w:right="299" w:bottom="1440" w:gutter="0" w:footer="0" w:header="0"/>
          <w:type w:val="continuous"/>
        </w:sectPr>
      </w:pPr>
    </w:p>
    <w:bookmarkStart w:id="150" w:name="page151"/>
    <w:bookmarkEnd w:id="150"/>
    <w:p>
      <w:pPr>
        <w:ind w:left="30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60" w:lineRule="exact"/>
        <w:rPr>
          <w:sz w:val="20"/>
          <w:szCs w:val="20"/>
          <w:color w:val="auto"/>
        </w:rPr>
      </w:pPr>
    </w:p>
    <w:p>
      <w:pPr>
        <w:jc w:val="both"/>
        <w:ind w:left="1540" w:right="40" w:hanging="503"/>
        <w:spacing w:after="0" w:line="258" w:lineRule="auto"/>
        <w:tabs>
          <w:tab w:leader="none" w:pos="1520" w:val="left"/>
        </w:tabs>
        <w:rPr>
          <w:rFonts w:ascii="Arial" w:cs="Arial" w:eastAsia="Arial" w:hAnsi="Arial"/>
          <w:sz w:val="14"/>
          <w:szCs w:val="14"/>
          <w:color w:val="0000FF"/>
        </w:rPr>
      </w:pPr>
      <w:hyperlink r:id="rId58">
        <w:r>
          <w:rPr>
            <w:rFonts w:ascii="Arial" w:cs="Arial" w:eastAsia="Arial" w:hAnsi="Arial"/>
            <w:sz w:val="14"/>
            <w:szCs w:val="14"/>
            <w:u w:val="single" w:color="auto"/>
            <w:color w:val="0000FF"/>
          </w:rPr>
          <w:t>10.12</w:t>
        </w:r>
      </w:hyperlink>
      <w:r>
        <w:rPr>
          <w:rFonts w:ascii="Arial" w:cs="Arial" w:eastAsia="Arial" w:hAnsi="Arial"/>
          <w:sz w:val="14"/>
          <w:szCs w:val="14"/>
          <w:color w:val="0000FF"/>
        </w:rPr>
        <w:tab/>
        <w:t>Deed of Trust of Jefferson Railport Terminal II LLC, dated as of February 1, 2016 (incorporated by reference to Exhibit 10.12 of the Company's Annual Report on Form 10-K, filed on March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718629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7186295" cy="445770"/>
                    </a:xfrm>
                    <a:prstGeom prst="rect">
                      <a:avLst/>
                    </a:prstGeom>
                    <a:noFill/>
                  </pic:spPr>
                </pic:pic>
              </a:graphicData>
            </a:graphic>
          </wp:anchor>
        </w:drawing>
      </w:r>
    </w:p>
    <w:p>
      <w:pPr>
        <w:spacing w:after="0" w:line="12" w:lineRule="exact"/>
        <w:rPr>
          <w:sz w:val="20"/>
          <w:szCs w:val="20"/>
          <w:color w:val="auto"/>
        </w:rPr>
      </w:pPr>
    </w:p>
    <w:p>
      <w:pPr>
        <w:jc w:val="both"/>
        <w:ind w:left="1540" w:right="20" w:hanging="503"/>
        <w:spacing w:after="0" w:line="247" w:lineRule="auto"/>
        <w:tabs>
          <w:tab w:leader="none" w:pos="1520" w:val="left"/>
        </w:tabs>
        <w:rPr>
          <w:rFonts w:ascii="Arial" w:cs="Arial" w:eastAsia="Arial" w:hAnsi="Arial"/>
          <w:sz w:val="14"/>
          <w:szCs w:val="14"/>
          <w:color w:val="0000FF"/>
        </w:rPr>
      </w:pPr>
      <w:hyperlink r:id="rId60">
        <w:r>
          <w:rPr>
            <w:rFonts w:ascii="Arial" w:cs="Arial" w:eastAsia="Arial" w:hAnsi="Arial"/>
            <w:sz w:val="14"/>
            <w:szCs w:val="14"/>
            <w:u w:val="single" w:color="auto"/>
            <w:color w:val="0000FF"/>
          </w:rPr>
          <w:t>10.13</w:t>
        </w:r>
      </w:hyperlink>
      <w:r>
        <w:rPr>
          <w:rFonts w:ascii="Arial" w:cs="Arial" w:eastAsia="Arial" w:hAnsi="Arial"/>
          <w:sz w:val="14"/>
          <w:szCs w:val="14"/>
          <w:color w:val="0000FF"/>
        </w:rPr>
        <w:tab/>
        <w:t>Credit Agreement, dated January 23, 2017, among Fortress Transportation and Infrastructure Investors LLC, as holdings, Fortress Worldwide Transportation and Infrastructure General Partnership, as IntermediateCo, WWTAI Finance Ltd., as Borrower, the Subsidiary Guarantors from time to time party thereto, the lenders from time to time party thereto and Morgan Stanley Senior Funding, Inc., as Administrative Agent (incorporated by reference to Exhibit 10.1 of the Company's Current Report on Form 8-K, filed on January 27, 2017).</w:t>
      </w:r>
    </w:p>
    <w:p>
      <w:pPr>
        <w:spacing w:after="0" w:line="40" w:lineRule="exact"/>
        <w:rPr>
          <w:sz w:val="20"/>
          <w:szCs w:val="20"/>
          <w:color w:val="auto"/>
        </w:rPr>
      </w:pPr>
    </w:p>
    <w:p>
      <w:pPr>
        <w:jc w:val="both"/>
        <w:ind w:left="1540" w:right="20" w:hanging="503"/>
        <w:spacing w:after="0" w:line="250" w:lineRule="auto"/>
        <w:tabs>
          <w:tab w:leader="none" w:pos="1520" w:val="left"/>
        </w:tabs>
        <w:rPr>
          <w:rFonts w:ascii="Arial" w:cs="Arial" w:eastAsia="Arial" w:hAnsi="Arial"/>
          <w:sz w:val="14"/>
          <w:szCs w:val="14"/>
          <w:color w:val="0000FF"/>
        </w:rPr>
      </w:pPr>
      <w:hyperlink r:id="rId61">
        <w:r>
          <w:rPr>
            <w:rFonts w:ascii="Arial" w:cs="Arial" w:eastAsia="Arial" w:hAnsi="Arial"/>
            <w:sz w:val="14"/>
            <w:szCs w:val="14"/>
            <w:u w:val="single" w:color="auto"/>
            <w:color w:val="0000FF"/>
          </w:rPr>
          <w:t>10.14</w:t>
        </w:r>
      </w:hyperlink>
      <w:r>
        <w:rPr>
          <w:rFonts w:ascii="Arial" w:cs="Arial" w:eastAsia="Arial" w:hAnsi="Arial"/>
          <w:sz w:val="14"/>
          <w:szCs w:val="14"/>
          <w:color w:val="0000FF"/>
        </w:rPr>
        <w:tab/>
        <w:t>Credit Agreement, dated June 16, 2017, among Fortress Transportation and Infrastructure Investors LLC, as Borrower, the lenders and issuing banks from time to time party thereto and JPMorgan Chase Bank, N.A., as Administrative Agent (incorporated by reference to Exhibit 10.1 of the Company’s Current Report on Form 8-K, filed on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12065</wp:posOffset>
            </wp:positionV>
            <wp:extent cx="718629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7186295" cy="445770"/>
                    </a:xfrm>
                    <a:prstGeom prst="rect">
                      <a:avLst/>
                    </a:prstGeom>
                    <a:noFill/>
                  </pic:spPr>
                </pic:pic>
              </a:graphicData>
            </a:graphic>
          </wp:anchor>
        </w:drawing>
      </w:r>
    </w:p>
    <w:p>
      <w:pPr>
        <w:spacing w:after="0" w:line="17" w:lineRule="exact"/>
        <w:rPr>
          <w:sz w:val="20"/>
          <w:szCs w:val="20"/>
          <w:color w:val="auto"/>
        </w:rPr>
      </w:pPr>
    </w:p>
    <w:p>
      <w:pPr>
        <w:ind w:left="1540" w:right="20" w:hanging="1467"/>
        <w:spacing w:after="0" w:line="255" w:lineRule="auto"/>
        <w:tabs>
          <w:tab w:leader="none" w:pos="1036" w:val="left"/>
        </w:tabs>
        <w:numPr>
          <w:ilvl w:val="0"/>
          <w:numId w:val="82"/>
        </w:numPr>
        <w:rPr>
          <w:rFonts w:ascii="Arial" w:cs="Arial" w:eastAsia="Arial" w:hAnsi="Arial"/>
          <w:sz w:val="14"/>
          <w:szCs w:val="14"/>
          <w:color w:val="0000FF"/>
        </w:rPr>
      </w:pPr>
      <w:hyperlink r:id="rId63">
        <w:r>
          <w:rPr>
            <w:rFonts w:ascii="Arial" w:cs="Arial" w:eastAsia="Arial" w:hAnsi="Arial"/>
            <w:sz w:val="14"/>
            <w:szCs w:val="14"/>
            <w:u w:val="single" w:color="auto"/>
            <w:color w:val="0000FF"/>
          </w:rPr>
          <w:t>10.15</w:t>
        </w:r>
        <w:r>
          <w:rPr>
            <w:rFonts w:ascii="Arial" w:cs="Arial" w:eastAsia="Arial" w:hAnsi="Arial"/>
            <w:sz w:val="14"/>
            <w:szCs w:val="14"/>
            <w:color w:val="0000FF"/>
          </w:rPr>
          <w:t xml:space="preserve"> </w:t>
        </w:r>
      </w:hyperlink>
      <w:r>
        <w:rPr>
          <w:rFonts w:ascii="Arial" w:cs="Arial" w:eastAsia="Arial" w:hAnsi="Arial"/>
          <w:sz w:val="14"/>
          <w:szCs w:val="14"/>
          <w:color w:val="000000"/>
        </w:rPr>
        <w:t>Credit</w:t>
      </w:r>
      <w:r>
        <w:rPr>
          <w:rFonts w:ascii="Arial" w:cs="Arial" w:eastAsia="Arial" w:hAnsi="Arial"/>
          <w:sz w:val="14"/>
          <w:szCs w:val="14"/>
          <w:color w:val="0000FF"/>
        </w:rPr>
        <w:t xml:space="preserve"> </w:t>
      </w:r>
      <w:r>
        <w:rPr>
          <w:rFonts w:ascii="Arial" w:cs="Arial" w:eastAsia="Arial" w:hAnsi="Arial"/>
          <w:sz w:val="14"/>
          <w:szCs w:val="14"/>
          <w:color w:val="000000"/>
        </w:rPr>
        <w:t>Agreement Amendment No. 1, dated as of August 2, 2018, among Fortress Transportation and Infrastructure Investors LLC, as borrower, Fortress</w:t>
      </w:r>
      <w:r>
        <w:rPr>
          <w:rFonts w:ascii="Arial" w:cs="Arial" w:eastAsia="Arial" w:hAnsi="Arial"/>
          <w:sz w:val="14"/>
          <w:szCs w:val="14"/>
          <w:color w:val="0000FF"/>
        </w:rPr>
        <w:t xml:space="preserve"> </w:t>
      </w:r>
      <w:r>
        <w:rPr>
          <w:rFonts w:ascii="Arial" w:cs="Arial" w:eastAsia="Arial" w:hAnsi="Arial"/>
          <w:sz w:val="14"/>
          <w:szCs w:val="14"/>
          <w:color w:val="000000"/>
        </w:rPr>
        <w:t>Worldwide Transportation and Infrastructure General Partnership, the lenders and issuing banks from time to time party thereto and JPMorgan Chase Bank, N.A., as administrative agent (incorporated by reference to Exhibit 10.15 of the Company’s Quarterly Report on Form 10-Q, filed on August 3, 2018).</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1400" w:type="dxa"/>
            <w:vAlign w:val="bottom"/>
            <w:gridSpan w:val="4"/>
          </w:tcPr>
          <w:p>
            <w:pPr>
              <w:jc w:val="right"/>
              <w:ind w:right="80"/>
              <w:spacing w:after="0"/>
              <w:rPr>
                <w:rFonts w:ascii="Arial" w:cs="Arial" w:eastAsia="Arial" w:hAnsi="Arial"/>
                <w:sz w:val="14"/>
                <w:szCs w:val="14"/>
                <w:color w:val="0000FF"/>
              </w:rPr>
            </w:pPr>
            <w:hyperlink r:id="rId64">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p>
        </w:tc>
        <w:tc>
          <w:tcPr>
            <w:tcW w:w="9920" w:type="dxa"/>
            <w:vAlign w:val="bottom"/>
          </w:tcPr>
          <w:p>
            <w:pPr>
              <w:ind w:left="80"/>
              <w:spacing w:after="0"/>
              <w:rPr>
                <w:sz w:val="20"/>
                <w:szCs w:val="20"/>
                <w:color w:val="auto"/>
              </w:rPr>
            </w:pPr>
            <w:r>
              <w:rPr>
                <w:rFonts w:ascii="Arial" w:cs="Arial" w:eastAsia="Arial" w:hAnsi="Arial"/>
                <w:sz w:val="14"/>
                <w:szCs w:val="14"/>
                <w:color w:val="auto"/>
              </w:rPr>
              <w:t>Credit Agreement Amendment No. 2 dated as of February 8, 2019, among Fortress Transportation and Infrastructure Investors LLC, as borrower, Fortress</w:t>
            </w:r>
          </w:p>
        </w:tc>
      </w:tr>
      <w:tr>
        <w:trPr>
          <w:trHeight w:val="174"/>
        </w:trPr>
        <w:tc>
          <w:tcPr>
            <w:tcW w:w="9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Worldwide Transportation and Infrastructure General Partnership, as grantor, JPMorgan Chase Bank, N.A., Morgan Stanley Senior Funding, Inc. and</w:t>
            </w:r>
          </w:p>
        </w:tc>
      </w:t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Barclays Bank PLC, as lenders and issuing banks, and JPMorgan Chase Bank, N.A., as Administrative Agent (incorporated by reference to Exhibit 10.1 of</w:t>
            </w:r>
          </w:p>
        </w:tc>
      </w:tr>
      <w:tr>
        <w:trPr>
          <w:trHeight w:val="178"/>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80"/>
              <w:spacing w:after="0"/>
              <w:rPr>
                <w:sz w:val="20"/>
                <w:szCs w:val="20"/>
                <w:color w:val="auto"/>
              </w:rPr>
            </w:pPr>
            <w:r>
              <w:rPr>
                <w:rFonts w:ascii="Arial" w:cs="Arial" w:eastAsia="Arial" w:hAnsi="Arial"/>
                <w:sz w:val="14"/>
                <w:szCs w:val="14"/>
                <w:color w:val="auto"/>
              </w:rPr>
              <w:t>the Company’s Current Report on Form 8-K, filed February 11, 2019).</w:t>
            </w:r>
          </w:p>
        </w:tc>
      </w:tr>
      <w:tr>
        <w:trPr>
          <w:trHeight w:val="168"/>
        </w:trPr>
        <w:tc>
          <w:tcPr>
            <w:tcW w:w="1400" w:type="dxa"/>
            <w:vAlign w:val="bottom"/>
            <w:gridSpan w:val="4"/>
            <w:shd w:val="clear" w:color="auto" w:fill="CCEEFF"/>
          </w:tcPr>
          <w:p>
            <w:pPr>
              <w:jc w:val="right"/>
              <w:ind w:right="80"/>
              <w:spacing w:after="0" w:line="148" w:lineRule="exact"/>
              <w:rPr>
                <w:rFonts w:ascii="Arial" w:cs="Arial" w:eastAsia="Arial" w:hAnsi="Arial"/>
                <w:sz w:val="14"/>
                <w:szCs w:val="14"/>
                <w:color w:val="0000FF"/>
              </w:rPr>
            </w:pPr>
            <w:hyperlink r:id="rId65">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p>
        </w:tc>
        <w:tc>
          <w:tcPr>
            <w:tcW w:w="992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rPr>
              <w:t>Form of Award Agreement under the Fortress Transportation and Infrastructure Investors Nonqualified Stock Option and Incentive Award Plan</w:t>
            </w: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(incorporated by reference to Exhibit 10.1 of the Company’s Current Report on Form 8-K, filed on January 17, 2018).</w:t>
            </w:r>
          </w:p>
        </w:tc>
      </w:tr>
      <w:tr>
        <w:trPr>
          <w:trHeight w:val="162"/>
        </w:trPr>
        <w:tc>
          <w:tcPr>
            <w:tcW w:w="1400" w:type="dxa"/>
            <w:vAlign w:val="bottom"/>
            <w:gridSpan w:val="4"/>
          </w:tcPr>
          <w:p>
            <w:pPr>
              <w:jc w:val="right"/>
              <w:ind w:right="80"/>
              <w:spacing w:after="0" w:line="142" w:lineRule="exact"/>
              <w:rPr>
                <w:rFonts w:ascii="Arial" w:cs="Arial" w:eastAsia="Arial" w:hAnsi="Arial"/>
                <w:sz w:val="14"/>
                <w:szCs w:val="14"/>
                <w:color w:val="0000FF"/>
              </w:rPr>
            </w:pPr>
            <w:hyperlink w:anchor="page153">
              <w:r>
                <w:rPr>
                  <w:rFonts w:ascii="Arial" w:cs="Arial" w:eastAsia="Arial" w:hAnsi="Arial"/>
                  <w:sz w:val="14"/>
                  <w:szCs w:val="14"/>
                  <w:color w:val="0000FF"/>
                </w:rPr>
                <w:t>21.</w:t>
              </w:r>
              <w:r>
                <w:rPr>
                  <w:rFonts w:ascii="Arial" w:cs="Arial" w:eastAsia="Arial" w:hAnsi="Arial"/>
                  <w:sz w:val="14"/>
                  <w:szCs w:val="14"/>
                  <w:u w:val="single" w:color="auto"/>
                  <w:color w:val="0000FF"/>
                </w:rPr>
                <w:t>1</w:t>
              </w:r>
            </w:hyperlink>
          </w:p>
        </w:tc>
        <w:tc>
          <w:tcPr>
            <w:tcW w:w="9920" w:type="dxa"/>
            <w:vAlign w:val="bottom"/>
          </w:tcPr>
          <w:p>
            <w:pPr>
              <w:ind w:left="80"/>
              <w:spacing w:after="0" w:line="142" w:lineRule="exact"/>
              <w:rPr>
                <w:sz w:val="20"/>
                <w:szCs w:val="20"/>
                <w:color w:val="auto"/>
              </w:rPr>
            </w:pPr>
            <w:r>
              <w:rPr>
                <w:rFonts w:ascii="Arial" w:cs="Arial" w:eastAsia="Arial" w:hAnsi="Arial"/>
                <w:sz w:val="14"/>
                <w:szCs w:val="14"/>
                <w:color w:val="auto"/>
              </w:rPr>
              <w:t>Subsidiaries of Fortress Transportation and Infrastructure Investors LLC.</w:t>
            </w: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162"/>
        </w:trPr>
        <w:tc>
          <w:tcPr>
            <w:tcW w:w="1040" w:type="dxa"/>
            <w:vAlign w:val="bottom"/>
            <w:gridSpan w:val="2"/>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line="142" w:lineRule="exact"/>
              <w:rPr>
                <w:rFonts w:ascii="Arial" w:cs="Arial" w:eastAsia="Arial" w:hAnsi="Arial"/>
                <w:sz w:val="14"/>
                <w:szCs w:val="14"/>
                <w:color w:val="0000FF"/>
                <w:w w:val="95"/>
              </w:rPr>
            </w:pPr>
            <w:hyperlink w:anchor="page156">
              <w:r>
                <w:rPr>
                  <w:rFonts w:ascii="Arial" w:cs="Arial" w:eastAsia="Arial" w:hAnsi="Arial"/>
                  <w:sz w:val="14"/>
                  <w:szCs w:val="14"/>
                  <w:color w:val="0000FF"/>
                  <w:w w:val="95"/>
                </w:rPr>
                <w:t>23.</w:t>
              </w:r>
              <w:r>
                <w:rPr>
                  <w:rFonts w:ascii="Arial" w:cs="Arial" w:eastAsia="Arial" w:hAnsi="Arial"/>
                  <w:sz w:val="14"/>
                  <w:szCs w:val="14"/>
                  <w:u w:val="single" w:color="auto"/>
                  <w:color w:val="0000FF"/>
                  <w:w w:val="95"/>
                </w:rPr>
                <w:t>1</w:t>
              </w:r>
            </w:hyperlink>
          </w:p>
        </w:tc>
        <w:tc>
          <w:tcPr>
            <w:tcW w:w="99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Consent of Independent Registered Public Accounting Firm</w:t>
            </w: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r>
      <w:tr>
        <w:trPr>
          <w:trHeight w:val="162"/>
        </w:trPr>
        <w:tc>
          <w:tcPr>
            <w:tcW w:w="1040" w:type="dxa"/>
            <w:vAlign w:val="bottom"/>
            <w:gridSpan w:val="2"/>
          </w:tcPr>
          <w:p>
            <w:pPr>
              <w:spacing w:after="0"/>
              <w:rPr>
                <w:sz w:val="14"/>
                <w:szCs w:val="14"/>
                <w:color w:val="auto"/>
              </w:rPr>
            </w:pPr>
          </w:p>
        </w:tc>
        <w:tc>
          <w:tcPr>
            <w:tcW w:w="360" w:type="dxa"/>
            <w:vAlign w:val="bottom"/>
            <w:gridSpan w:val="2"/>
          </w:tcPr>
          <w:p>
            <w:pPr>
              <w:jc w:val="right"/>
              <w:ind w:right="80"/>
              <w:spacing w:after="0" w:line="142" w:lineRule="exact"/>
              <w:rPr>
                <w:rFonts w:ascii="Arial" w:cs="Arial" w:eastAsia="Arial" w:hAnsi="Arial"/>
                <w:sz w:val="14"/>
                <w:szCs w:val="14"/>
                <w:color w:val="0000FF"/>
                <w:w w:val="95"/>
              </w:rPr>
            </w:pPr>
            <w:hyperlink w:anchor="page157">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1</w:t>
              </w:r>
            </w:hyperlink>
          </w:p>
        </w:tc>
        <w:tc>
          <w:tcPr>
            <w:tcW w:w="9920" w:type="dxa"/>
            <w:vAlign w:val="bottom"/>
          </w:tcPr>
          <w:p>
            <w:pPr>
              <w:ind w:left="80"/>
              <w:spacing w:after="0" w:line="142" w:lineRule="exact"/>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162"/>
        </w:trPr>
        <w:tc>
          <w:tcPr>
            <w:tcW w:w="1040" w:type="dxa"/>
            <w:vAlign w:val="bottom"/>
            <w:gridSpan w:val="2"/>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line="142" w:lineRule="exact"/>
              <w:rPr>
                <w:rFonts w:ascii="Arial" w:cs="Arial" w:eastAsia="Arial" w:hAnsi="Arial"/>
                <w:sz w:val="14"/>
                <w:szCs w:val="14"/>
                <w:color w:val="0000FF"/>
                <w:w w:val="95"/>
              </w:rPr>
            </w:pPr>
            <w:hyperlink w:anchor="page158">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2</w:t>
              </w:r>
            </w:hyperlink>
          </w:p>
        </w:tc>
        <w:tc>
          <w:tcPr>
            <w:tcW w:w="99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r>
      <w:tr>
        <w:trPr>
          <w:trHeight w:val="162"/>
        </w:trPr>
        <w:tc>
          <w:tcPr>
            <w:tcW w:w="1040" w:type="dxa"/>
            <w:vAlign w:val="bottom"/>
            <w:gridSpan w:val="2"/>
          </w:tcPr>
          <w:p>
            <w:pPr>
              <w:spacing w:after="0"/>
              <w:rPr>
                <w:sz w:val="14"/>
                <w:szCs w:val="14"/>
                <w:color w:val="auto"/>
              </w:rPr>
            </w:pPr>
          </w:p>
        </w:tc>
        <w:tc>
          <w:tcPr>
            <w:tcW w:w="360" w:type="dxa"/>
            <w:vAlign w:val="bottom"/>
            <w:gridSpan w:val="2"/>
          </w:tcPr>
          <w:p>
            <w:pPr>
              <w:jc w:val="right"/>
              <w:ind w:right="80"/>
              <w:spacing w:after="0" w:line="142" w:lineRule="exact"/>
              <w:rPr>
                <w:rFonts w:ascii="Arial" w:cs="Arial" w:eastAsia="Arial" w:hAnsi="Arial"/>
                <w:sz w:val="14"/>
                <w:szCs w:val="14"/>
                <w:color w:val="0000FF"/>
                <w:w w:val="95"/>
              </w:rPr>
            </w:pPr>
            <w:hyperlink w:anchor="page159">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1</w:t>
              </w:r>
            </w:hyperlink>
          </w:p>
        </w:tc>
        <w:tc>
          <w:tcPr>
            <w:tcW w:w="9920" w:type="dxa"/>
            <w:vAlign w:val="bottom"/>
          </w:tcPr>
          <w:p>
            <w:pPr>
              <w:ind w:left="80"/>
              <w:spacing w:after="0" w:line="142" w:lineRule="exact"/>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34"/>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196"/>
        </w:trPr>
        <w:tc>
          <w:tcPr>
            <w:tcW w:w="104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142" w:lineRule="exact"/>
              <w:rPr>
                <w:rFonts w:ascii="Arial" w:cs="Arial" w:eastAsia="Arial" w:hAnsi="Arial"/>
                <w:sz w:val="14"/>
                <w:szCs w:val="14"/>
                <w:color w:val="0000FF"/>
                <w:w w:val="95"/>
              </w:rPr>
            </w:pPr>
            <w:hyperlink w:anchor="page160">
              <w:r>
                <w:rPr>
                  <w:rFonts w:ascii="Arial" w:cs="Arial" w:eastAsia="Arial" w:hAnsi="Arial"/>
                  <w:sz w:val="14"/>
                  <w:szCs w:val="14"/>
                  <w:color w:val="0000FF"/>
                  <w:w w:val="95"/>
                </w:rPr>
                <w:t>32.</w:t>
              </w:r>
              <w:r>
                <w:rPr>
                  <w:rFonts w:ascii="Arial" w:cs="Arial" w:eastAsia="Arial" w:hAnsi="Arial"/>
                  <w:sz w:val="14"/>
                  <w:szCs w:val="14"/>
                  <w:u w:val="single" w:color="auto"/>
                  <w:color w:val="0000FF"/>
                  <w:w w:val="95"/>
                </w:rPr>
                <w:t>2</w:t>
              </w:r>
            </w:hyperlink>
          </w:p>
        </w:tc>
        <w:tc>
          <w:tcPr>
            <w:tcW w:w="99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210"/>
        </w:trPr>
        <w:tc>
          <w:tcPr>
            <w:tcW w:w="1040" w:type="dxa"/>
            <w:vAlign w:val="bottom"/>
            <w:tcBorders>
              <w:top w:val="single" w:sz="8" w:color="CCEEFF"/>
            </w:tcBorders>
            <w:gridSpan w:val="2"/>
          </w:tcPr>
          <w:p>
            <w:pPr>
              <w:ind w:left="240"/>
              <w:spacing w:after="0"/>
              <w:rPr>
                <w:sz w:val="20"/>
                <w:szCs w:val="20"/>
                <w:color w:val="auto"/>
              </w:rPr>
            </w:pPr>
            <w:r>
              <w:rPr>
                <w:rFonts w:ascii="Arial" w:cs="Arial" w:eastAsia="Arial" w:hAnsi="Arial"/>
                <w:sz w:val="14"/>
                <w:szCs w:val="14"/>
                <w:color w:val="auto"/>
              </w:rPr>
              <w:t>101.INS</w:t>
            </w:r>
          </w:p>
        </w:tc>
        <w:tc>
          <w:tcPr>
            <w:tcW w:w="2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920" w:type="dxa"/>
            <w:vAlign w:val="bottom"/>
            <w:tcBorders>
              <w:top w:val="single" w:sz="8" w:color="CCEEFF"/>
            </w:tcBorders>
          </w:tcPr>
          <w:p>
            <w:pPr>
              <w:ind w:left="80"/>
              <w:spacing w:after="0"/>
              <w:rPr>
                <w:sz w:val="20"/>
                <w:szCs w:val="20"/>
                <w:color w:val="auto"/>
              </w:rPr>
            </w:pPr>
            <w:r>
              <w:rPr>
                <w:rFonts w:ascii="Arial" w:cs="Arial" w:eastAsia="Arial" w:hAnsi="Arial"/>
                <w:sz w:val="14"/>
                <w:szCs w:val="14"/>
                <w:color w:val="auto"/>
              </w:rPr>
              <w:t>The instance document does not appear in the interactive data file because its XBRL tags are embedded within the inline XBRL document.</w:t>
            </w:r>
          </w:p>
        </w:tc>
      </w:tr>
      <w:tr>
        <w:trPr>
          <w:trHeight w:val="222"/>
        </w:trPr>
        <w:tc>
          <w:tcPr>
            <w:tcW w:w="140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101.SCH</w:t>
            </w: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Schema Document.</w:t>
            </w:r>
          </w:p>
        </w:tc>
      </w:tr>
      <w:tr>
        <w:trPr>
          <w:trHeight w:val="210"/>
        </w:trPr>
        <w:tc>
          <w:tcPr>
            <w:tcW w:w="1400" w:type="dxa"/>
            <w:vAlign w:val="bottom"/>
            <w:gridSpan w:val="4"/>
          </w:tcPr>
          <w:p>
            <w:pPr>
              <w:ind w:left="240"/>
              <w:spacing w:after="0"/>
              <w:rPr>
                <w:sz w:val="20"/>
                <w:szCs w:val="20"/>
                <w:color w:val="auto"/>
              </w:rPr>
            </w:pPr>
            <w:r>
              <w:rPr>
                <w:rFonts w:ascii="Arial" w:cs="Arial" w:eastAsia="Arial" w:hAnsi="Arial"/>
                <w:sz w:val="14"/>
                <w:szCs w:val="14"/>
                <w:color w:val="auto"/>
              </w:rPr>
              <w:t>101.CAL</w:t>
            </w:r>
          </w:p>
        </w:tc>
        <w:tc>
          <w:tcPr>
            <w:tcW w:w="9920" w:type="dxa"/>
            <w:vAlign w:val="bottom"/>
          </w:tcPr>
          <w:p>
            <w:pPr>
              <w:ind w:left="8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22"/>
        </w:trPr>
        <w:tc>
          <w:tcPr>
            <w:tcW w:w="140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101.DEF</w:t>
            </w: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Definition Linkbase Document.</w:t>
            </w:r>
          </w:p>
        </w:tc>
      </w:tr>
      <w:tr>
        <w:trPr>
          <w:trHeight w:val="210"/>
        </w:trPr>
        <w:tc>
          <w:tcPr>
            <w:tcW w:w="1400" w:type="dxa"/>
            <w:vAlign w:val="bottom"/>
            <w:gridSpan w:val="4"/>
          </w:tcPr>
          <w:p>
            <w:pPr>
              <w:ind w:left="240"/>
              <w:spacing w:after="0"/>
              <w:rPr>
                <w:sz w:val="20"/>
                <w:szCs w:val="20"/>
                <w:color w:val="auto"/>
              </w:rPr>
            </w:pPr>
            <w:r>
              <w:rPr>
                <w:rFonts w:ascii="Arial" w:cs="Arial" w:eastAsia="Arial" w:hAnsi="Arial"/>
                <w:sz w:val="14"/>
                <w:szCs w:val="14"/>
                <w:color w:val="auto"/>
              </w:rPr>
              <w:t>101.LAB</w:t>
            </w:r>
          </w:p>
        </w:tc>
        <w:tc>
          <w:tcPr>
            <w:tcW w:w="9920" w:type="dxa"/>
            <w:vAlign w:val="bottom"/>
          </w:tcPr>
          <w:p>
            <w:pPr>
              <w:ind w:left="80"/>
              <w:spacing w:after="0"/>
              <w:rPr>
                <w:sz w:val="20"/>
                <w:szCs w:val="20"/>
                <w:color w:val="auto"/>
              </w:rPr>
            </w:pPr>
            <w:r>
              <w:rPr>
                <w:rFonts w:ascii="Arial" w:cs="Arial" w:eastAsia="Arial" w:hAnsi="Arial"/>
                <w:sz w:val="14"/>
                <w:szCs w:val="14"/>
                <w:color w:val="auto"/>
              </w:rPr>
              <w:t>XBRL Taxonomy Extension Label Linkbase Document.</w:t>
            </w:r>
          </w:p>
        </w:tc>
      </w:tr>
      <w:tr>
        <w:trPr>
          <w:trHeight w:val="222"/>
        </w:trPr>
        <w:tc>
          <w:tcPr>
            <w:tcW w:w="140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101.PRE</w:t>
            </w:r>
          </w:p>
        </w:tc>
        <w:tc>
          <w:tcPr>
            <w:tcW w:w="9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18" w:lineRule="exact"/>
        <w:rPr>
          <w:sz w:val="20"/>
          <w:szCs w:val="20"/>
          <w:color w:val="auto"/>
        </w:rPr>
      </w:pPr>
    </w:p>
    <w:p>
      <w:pPr>
        <w:ind w:left="300" w:hanging="227"/>
        <w:spacing w:after="0"/>
        <w:tabs>
          <w:tab w:leader="none" w:pos="30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380"/>
          </w:cols>
          <w:pgMar w:left="240" w:top="991" w:right="27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62" w:lineRule="exact"/>
        <w:rPr>
          <w:sz w:val="20"/>
          <w:szCs w:val="20"/>
          <w:color w:val="auto"/>
        </w:rPr>
      </w:pPr>
    </w:p>
    <w:p>
      <w:pPr>
        <w:ind w:left="20"/>
        <w:spacing w:after="0"/>
        <w:tabs>
          <w:tab w:leader="none" w:pos="380" w:val="left"/>
          <w:tab w:leader="none" w:pos="8200" w:val="left"/>
          <w:tab w:leader="none" w:pos="10180" w:val="left"/>
        </w:tabs>
        <w:rPr>
          <w:sz w:val="20"/>
          <w:szCs w:val="20"/>
          <w:color w:val="auto"/>
        </w:rPr>
      </w:pPr>
      <w:r>
        <w:rPr>
          <w:rFonts w:ascii="Arial" w:cs="Arial" w:eastAsia="Arial" w:hAnsi="Arial"/>
          <w:sz w:val="14"/>
          <w:szCs w:val="14"/>
          <w:color w:val="auto"/>
        </w:rPr>
        <w:t>By:</w:t>
        <w:tab/>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302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Joseph P. Adams, Jr.</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8"/>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Scott Christopher</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184"/>
        </w:trPr>
        <w:tc>
          <w:tcPr>
            <w:tcW w:w="36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Scott Christopher</w:t>
            </w:r>
          </w:p>
        </w:tc>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Nam</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Eun Nam</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Chief Accounting Officer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2"/>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2"/>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8"/>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184"/>
        </w:trPr>
        <w:tc>
          <w:tcPr>
            <w:tcW w:w="36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438"/>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2"/>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52"/>
        </w:trPr>
        <w:tc>
          <w:tcPr>
            <w:tcW w:w="360" w:type="dxa"/>
            <w:vAlign w:val="bottom"/>
          </w:tcPr>
          <w:p>
            <w:pPr>
              <w:spacing w:after="0"/>
              <w:rPr>
                <w:sz w:val="20"/>
                <w:szCs w:val="20"/>
                <w:color w:val="auto"/>
              </w:rPr>
            </w:pPr>
            <w:r>
              <w:rPr>
                <w:rFonts w:ascii="Arial" w:cs="Arial" w:eastAsia="Arial" w:hAnsi="Arial"/>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800" w:type="dxa"/>
            <w:vAlign w:val="bottom"/>
          </w:tcPr>
          <w:p>
            <w:pPr>
              <w:ind w:left="2640"/>
              <w:spacing w:after="0"/>
              <w:rPr>
                <w:sz w:val="20"/>
                <w:szCs w:val="20"/>
                <w:color w:val="auto"/>
              </w:rPr>
            </w:pPr>
            <w:r>
              <w:rPr>
                <w:rFonts w:ascii="Arial" w:cs="Arial" w:eastAsia="Arial" w:hAnsi="Arial"/>
                <w:sz w:val="14"/>
                <w:szCs w:val="14"/>
                <w:color w:val="auto"/>
              </w:rPr>
              <w:t>Date:</w:t>
            </w:r>
          </w:p>
        </w:tc>
        <w:tc>
          <w:tcPr>
            <w:tcW w:w="2000" w:type="dxa"/>
            <w:vAlign w:val="bottom"/>
          </w:tcPr>
          <w:p>
            <w:pPr>
              <w:ind w:left="820"/>
              <w:spacing w:after="0"/>
              <w:rPr>
                <w:sz w:val="20"/>
                <w:szCs w:val="20"/>
                <w:color w:val="auto"/>
              </w:rPr>
            </w:pPr>
            <w:r>
              <w:rPr>
                <w:rFonts w:ascii="Arial" w:cs="Arial" w:eastAsia="Arial" w:hAnsi="Arial"/>
                <w:sz w:val="14"/>
                <w:szCs w:val="14"/>
                <w:color w:val="auto"/>
              </w:rPr>
              <w:t>February 28, 2019</w:t>
            </w:r>
          </w:p>
        </w:tc>
      </w:tr>
      <w:tr>
        <w:trPr>
          <w:trHeight w:val="204"/>
        </w:trPr>
        <w:tc>
          <w:tcPr>
            <w:tcW w:w="36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8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4"/>
                <w:szCs w:val="14"/>
                <w:color w:val="auto"/>
              </w:rPr>
              <w:t>Director</w:t>
            </w: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20"/>
          </w:cols>
          <w:pgMar w:left="240" w:top="932"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6400" w:type="dxa"/>
            <w:vAlign w:val="bottom"/>
          </w:tcPr>
          <w:p>
            <w:pPr>
              <w:ind w:left="260"/>
              <w:spacing w:after="0"/>
              <w:rPr>
                <w:sz w:val="20"/>
                <w:szCs w:val="20"/>
                <w:color w:val="auto"/>
              </w:rPr>
            </w:pPr>
            <w:r>
              <w:rPr>
                <w:rFonts w:ascii="Arial" w:cs="Arial" w:eastAsia="Arial" w:hAnsi="Arial"/>
                <w:sz w:val="16"/>
                <w:szCs w:val="16"/>
                <w:b w:val="1"/>
                <w:bCs w:val="1"/>
                <w:color w:val="auto"/>
              </w:rPr>
              <w:t>Exhibit 21.1</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40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State of Incorporation/Formation</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1ASL Bermuda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6400" w:type="dxa"/>
            <w:vAlign w:val="bottom"/>
          </w:tcPr>
          <w:p>
            <w:pPr>
              <w:ind w:left="2820"/>
              <w:spacing w:after="0"/>
              <w:rPr>
                <w:sz w:val="20"/>
                <w:szCs w:val="20"/>
                <w:color w:val="auto"/>
              </w:rPr>
            </w:pPr>
            <w:r>
              <w:rPr>
                <w:rFonts w:ascii="Arial" w:cs="Arial" w:eastAsia="Arial" w:hAnsi="Arial"/>
                <w:sz w:val="14"/>
                <w:szCs w:val="14"/>
                <w:color w:val="auto"/>
              </w:rPr>
              <w:t>Bermuda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1JT Bermuda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Bermuda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2 UZ Ireland DAC</w:t>
            </w:r>
          </w:p>
        </w:tc>
        <w:tc>
          <w:tcPr>
            <w:tcW w:w="6400" w:type="dxa"/>
            <w:vAlign w:val="bottom"/>
          </w:tcPr>
          <w:p>
            <w:pPr>
              <w:ind w:left="2820"/>
              <w:spacing w:after="0"/>
              <w:rPr>
                <w:sz w:val="20"/>
                <w:szCs w:val="20"/>
                <w:color w:val="auto"/>
              </w:rPr>
            </w:pPr>
            <w:r>
              <w:rPr>
                <w:rFonts w:ascii="Arial" w:cs="Arial" w:eastAsia="Arial" w:hAnsi="Arial"/>
                <w:sz w:val="14"/>
                <w:szCs w:val="14"/>
                <w:color w:val="auto"/>
              </w:rPr>
              <w:t>Ireland</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 SD Ireland DAC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Ireland</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AirOpCo II KO Ireland DAC</w:t>
            </w:r>
          </w:p>
        </w:tc>
        <w:tc>
          <w:tcPr>
            <w:tcW w:w="6400" w:type="dxa"/>
            <w:vAlign w:val="bottom"/>
          </w:tcPr>
          <w:p>
            <w:pPr>
              <w:ind w:left="2820"/>
              <w:spacing w:after="0"/>
              <w:rPr>
                <w:sz w:val="20"/>
                <w:szCs w:val="20"/>
                <w:color w:val="auto"/>
              </w:rPr>
            </w:pPr>
            <w:r>
              <w:rPr>
                <w:rFonts w:ascii="Arial" w:cs="Arial" w:eastAsia="Arial" w:hAnsi="Arial"/>
                <w:sz w:val="14"/>
                <w:szCs w:val="14"/>
                <w:color w:val="auto"/>
              </w:rPr>
              <w:t>Ireland</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ME Ireland DAC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Ireland</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Central Maine &amp; Quebec Railway Canada Inc.</w:t>
            </w:r>
          </w:p>
        </w:tc>
        <w:tc>
          <w:tcPr>
            <w:tcW w:w="6400" w:type="dxa"/>
            <w:vAlign w:val="bottom"/>
          </w:tcPr>
          <w:p>
            <w:pPr>
              <w:ind w:left="2820"/>
              <w:spacing w:after="0"/>
              <w:rPr>
                <w:sz w:val="20"/>
                <w:szCs w:val="20"/>
                <w:color w:val="auto"/>
              </w:rPr>
            </w:pPr>
            <w:r>
              <w:rPr>
                <w:rFonts w:ascii="Arial" w:cs="Arial" w:eastAsia="Arial" w:hAnsi="Arial"/>
                <w:sz w:val="14"/>
                <w:szCs w:val="14"/>
                <w:color w:val="auto"/>
              </w:rPr>
              <w:t>Canada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Central Maine &amp; Quebec Railway US Inc.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CMQ Canada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 River Partners Holdco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Delaware River Partners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Trading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DRP Urban Renewal 1, LLC</w:t>
            </w:r>
          </w:p>
        </w:tc>
        <w:tc>
          <w:tcPr>
            <w:tcW w:w="6400" w:type="dxa"/>
            <w:vAlign w:val="bottom"/>
          </w:tcPr>
          <w:p>
            <w:pPr>
              <w:ind w:left="2820"/>
              <w:spacing w:after="0"/>
              <w:rPr>
                <w:sz w:val="20"/>
                <w:szCs w:val="20"/>
                <w:color w:val="auto"/>
              </w:rPr>
            </w:pPr>
            <w:r>
              <w:rPr>
                <w:rFonts w:ascii="Arial" w:cs="Arial" w:eastAsia="Arial" w:hAnsi="Arial"/>
                <w:sz w:val="14"/>
                <w:szCs w:val="14"/>
                <w:color w:val="auto"/>
              </w:rPr>
              <w:t>New Jersey</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DRP Urban Renewal 2,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New Jersey</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Fortress Worldwide Transportation and Infrastructure General Partnership</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AirOpCo UK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England and Wales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Aviation OpCo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CHR JV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Co 1 Ltd. (process of dissolution – postponed by KK)</w:t>
            </w:r>
          </w:p>
        </w:tc>
        <w:tc>
          <w:tcPr>
            <w:tcW w:w="6400" w:type="dxa"/>
            <w:vAlign w:val="bottom"/>
          </w:tcPr>
          <w:p>
            <w:pPr>
              <w:ind w:left="2820"/>
              <w:spacing w:after="0"/>
              <w:rPr>
                <w:sz w:val="20"/>
                <w:szCs w:val="20"/>
                <w:color w:val="auto"/>
              </w:rPr>
            </w:pPr>
            <w:r>
              <w:rPr>
                <w:rFonts w:ascii="Arial" w:cs="Arial" w:eastAsia="Arial" w:hAnsi="Arial"/>
                <w:sz w:val="14"/>
                <w:szCs w:val="14"/>
                <w:color w:val="auto"/>
              </w:rPr>
              <w:t>Bermuda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Co1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Development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Downstream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Energy Marketing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Energy Partners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Holdco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Cayman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Finance JV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IES Pioneer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Malaysia</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Midstream GP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Midstream Holdings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Ocean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Marshall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Offshore Holdco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Holdings L.P.</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Cayman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Offshore Pte Ltd.</w:t>
            </w:r>
          </w:p>
        </w:tc>
        <w:tc>
          <w:tcPr>
            <w:tcW w:w="6400" w:type="dxa"/>
            <w:vAlign w:val="bottom"/>
          </w:tcPr>
          <w:p>
            <w:pPr>
              <w:ind w:left="2820"/>
              <w:spacing w:after="0"/>
              <w:rPr>
                <w:sz w:val="20"/>
                <w:szCs w:val="20"/>
                <w:color w:val="auto"/>
              </w:rPr>
            </w:pPr>
            <w:r>
              <w:rPr>
                <w:rFonts w:ascii="Arial" w:cs="Arial" w:eastAsia="Arial" w:hAnsi="Arial"/>
                <w:sz w:val="14"/>
                <w:szCs w:val="14"/>
                <w:color w:val="auto"/>
              </w:rPr>
              <w:t>Singapore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Partners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6400" w:type="dxa"/>
            <w:vAlign w:val="bottom"/>
          </w:tcPr>
          <w:p>
            <w:pPr>
              <w:ind w:left="2820"/>
              <w:spacing w:after="0"/>
              <w:rPr>
                <w:sz w:val="20"/>
                <w:szCs w:val="20"/>
                <w:color w:val="auto"/>
              </w:rPr>
            </w:pPr>
            <w:r>
              <w:rPr>
                <w:rFonts w:ascii="Arial" w:cs="Arial" w:eastAsia="Arial" w:hAnsi="Arial"/>
                <w:sz w:val="14"/>
                <w:szCs w:val="14"/>
                <w:color w:val="auto"/>
              </w:rPr>
              <w:t>Delaware</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MI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Marshall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Pioneer SDN Bhd</w:t>
            </w:r>
          </w:p>
        </w:tc>
        <w:tc>
          <w:tcPr>
            <w:tcW w:w="6400" w:type="dxa"/>
            <w:vAlign w:val="bottom"/>
          </w:tcPr>
          <w:p>
            <w:pPr>
              <w:ind w:left="2820"/>
              <w:spacing w:after="0"/>
              <w:rPr>
                <w:sz w:val="20"/>
                <w:szCs w:val="20"/>
                <w:color w:val="auto"/>
              </w:rPr>
            </w:pPr>
            <w:r>
              <w:rPr>
                <w:rFonts w:ascii="Arial" w:cs="Arial" w:eastAsia="Arial" w:hAnsi="Arial"/>
                <w:sz w:val="14"/>
                <w:szCs w:val="14"/>
                <w:color w:val="auto"/>
              </w:rPr>
              <w:t>Malaysia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Chartering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Marshall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Pride Labuan Ltd.</w:t>
            </w:r>
          </w:p>
        </w:tc>
        <w:tc>
          <w:tcPr>
            <w:tcW w:w="6400" w:type="dxa"/>
            <w:vAlign w:val="bottom"/>
          </w:tcPr>
          <w:p>
            <w:pPr>
              <w:ind w:left="2820"/>
              <w:spacing w:after="0"/>
              <w:rPr>
                <w:sz w:val="20"/>
                <w:szCs w:val="20"/>
                <w:color w:val="auto"/>
              </w:rPr>
            </w:pPr>
            <w:r>
              <w:rPr>
                <w:rFonts w:ascii="Arial" w:cs="Arial" w:eastAsia="Arial" w:hAnsi="Arial"/>
                <w:sz w:val="14"/>
                <w:szCs w:val="14"/>
                <w:color w:val="auto"/>
              </w:rPr>
              <w:t>Malaysia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Marshall Islands</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Pride Malaysia SDN BHD</w:t>
            </w:r>
          </w:p>
        </w:tc>
        <w:tc>
          <w:tcPr>
            <w:tcW w:w="6400" w:type="dxa"/>
            <w:vAlign w:val="bottom"/>
          </w:tcPr>
          <w:p>
            <w:pPr>
              <w:ind w:left="2820"/>
              <w:spacing w:after="0"/>
              <w:rPr>
                <w:sz w:val="20"/>
                <w:szCs w:val="20"/>
                <w:color w:val="auto"/>
              </w:rPr>
            </w:pPr>
            <w:r>
              <w:rPr>
                <w:rFonts w:ascii="Arial" w:cs="Arial" w:eastAsia="Arial" w:hAnsi="Arial"/>
                <w:sz w:val="14"/>
                <w:szCs w:val="14"/>
                <w:color w:val="auto"/>
              </w:rPr>
              <w:t>Malaysia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Railcar Holdings LLC</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Delaware</w:t>
            </w:r>
          </w:p>
        </w:tc>
      </w:tr>
      <w:tr>
        <w:trPr>
          <w:trHeight w:val="210"/>
        </w:trPr>
        <w:tc>
          <w:tcPr>
            <w:tcW w:w="4960" w:type="dxa"/>
            <w:vAlign w:val="bottom"/>
          </w:tcPr>
          <w:p>
            <w:pPr>
              <w:ind w:left="20"/>
              <w:spacing w:after="0"/>
              <w:rPr>
                <w:sz w:val="20"/>
                <w:szCs w:val="20"/>
                <w:color w:val="auto"/>
              </w:rPr>
            </w:pPr>
            <w:r>
              <w:rPr>
                <w:rFonts w:ascii="Arial" w:cs="Arial" w:eastAsia="Arial" w:hAnsi="Arial"/>
                <w:sz w:val="14"/>
                <w:szCs w:val="14"/>
                <w:color w:val="auto"/>
              </w:rPr>
              <w:t>FTAI Subsea 88 Ltd.</w:t>
            </w:r>
          </w:p>
        </w:tc>
        <w:tc>
          <w:tcPr>
            <w:tcW w:w="6400" w:type="dxa"/>
            <w:vAlign w:val="bottom"/>
          </w:tcPr>
          <w:p>
            <w:pPr>
              <w:ind w:left="2820"/>
              <w:spacing w:after="0"/>
              <w:rPr>
                <w:sz w:val="20"/>
                <w:szCs w:val="20"/>
                <w:color w:val="auto"/>
              </w:rPr>
            </w:pPr>
            <w:r>
              <w:rPr>
                <w:rFonts w:ascii="Arial" w:cs="Arial" w:eastAsia="Arial" w:hAnsi="Arial"/>
                <w:sz w:val="14"/>
                <w:szCs w:val="14"/>
                <w:color w:val="auto"/>
              </w:rPr>
              <w:t>Bermuda</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1 Ltd.</w:t>
            </w:r>
          </w:p>
        </w:tc>
        <w:tc>
          <w:tcPr>
            <w:tcW w:w="6400" w:type="dxa"/>
            <w:vAlign w:val="bottom"/>
            <w:shd w:val="clear" w:color="auto" w:fill="CCEEFF"/>
          </w:tcPr>
          <w:p>
            <w:pPr>
              <w:ind w:left="2820"/>
              <w:spacing w:after="0"/>
              <w:rPr>
                <w:sz w:val="20"/>
                <w:szCs w:val="20"/>
                <w:color w:val="auto"/>
              </w:rPr>
            </w:pPr>
            <w:r>
              <w:rPr>
                <w:rFonts w:ascii="Arial" w:cs="Arial" w:eastAsia="Arial" w:hAnsi="Arial"/>
                <w:sz w:val="14"/>
                <w:szCs w:val="14"/>
                <w:color w:val="auto"/>
              </w:rPr>
              <w:t>Cayman Islands</w:t>
            </w:r>
          </w:p>
        </w:tc>
      </w:tr>
    </w:tbl>
    <w:p>
      <w:pPr>
        <w:sectPr>
          <w:pgSz w:w="11900" w:h="16838" w:orient="portrait"/>
          <w:cols w:equalWidth="0" w:num="1">
            <w:col w:w="11360"/>
          </w:cols>
          <w:pgMar w:left="280" w:top="891" w:right="25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Entity Name</w:t>
            </w:r>
          </w:p>
        </w:tc>
        <w:tc>
          <w:tcPr>
            <w:tcW w:w="5380" w:type="dxa"/>
            <w:vAlign w:val="bottom"/>
          </w:tcPr>
          <w:p>
            <w:pPr>
              <w:ind w:left="1800"/>
              <w:spacing w:after="0"/>
              <w:rPr>
                <w:sz w:val="20"/>
                <w:szCs w:val="20"/>
                <w:color w:val="auto"/>
              </w:rPr>
            </w:pPr>
            <w:r>
              <w:rPr>
                <w:rFonts w:ascii="Arial" w:cs="Arial" w:eastAsia="Arial" w:hAnsi="Arial"/>
                <w:sz w:val="14"/>
                <w:szCs w:val="14"/>
                <w:b w:val="1"/>
                <w:bCs w:val="1"/>
                <w:color w:val="auto"/>
              </w:rPr>
              <w:t>State of Incorporation/Formation</w:t>
            </w:r>
          </w:p>
        </w:tc>
      </w:tr>
      <w:tr>
        <w:trPr>
          <w:trHeight w:val="222"/>
        </w:trPr>
        <w:tc>
          <w:tcPr>
            <w:tcW w:w="5980" w:type="dxa"/>
            <w:vAlign w:val="bottom"/>
          </w:tcPr>
          <w:p>
            <w:pPr>
              <w:ind w:left="20"/>
              <w:spacing w:after="0"/>
              <w:rPr>
                <w:sz w:val="20"/>
                <w:szCs w:val="20"/>
                <w:color w:val="auto"/>
              </w:rPr>
            </w:pPr>
            <w:r>
              <w:rPr>
                <w:rFonts w:ascii="Arial" w:cs="Arial" w:eastAsia="Arial" w:hAnsi="Arial"/>
                <w:sz w:val="14"/>
                <w:szCs w:val="14"/>
                <w:color w:val="auto"/>
              </w:rPr>
              <w:t>Intermodal Finance III Ltd. (process of dissolution)</w:t>
            </w:r>
          </w:p>
        </w:tc>
        <w:tc>
          <w:tcPr>
            <w:tcW w:w="5380" w:type="dxa"/>
            <w:vAlign w:val="bottom"/>
          </w:tcPr>
          <w:p>
            <w:pPr>
              <w:ind w:left="1800"/>
              <w:spacing w:after="0"/>
              <w:rPr>
                <w:sz w:val="20"/>
                <w:szCs w:val="20"/>
                <w:color w:val="auto"/>
              </w:rPr>
            </w:pPr>
            <w:r>
              <w:rPr>
                <w:rFonts w:ascii="Arial" w:cs="Arial" w:eastAsia="Arial" w:hAnsi="Arial"/>
                <w:sz w:val="14"/>
                <w:szCs w:val="14"/>
                <w:color w:val="auto"/>
              </w:rPr>
              <w:t>Bermuda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JCCOM Holdco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2010 Bond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2012 Bond Holdings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Canadian Oil Marketing ULC</w:t>
            </w:r>
          </w:p>
        </w:tc>
        <w:tc>
          <w:tcPr>
            <w:tcW w:w="5380" w:type="dxa"/>
            <w:vAlign w:val="bottom"/>
          </w:tcPr>
          <w:p>
            <w:pPr>
              <w:ind w:left="1800"/>
              <w:spacing w:after="0"/>
              <w:rPr>
                <w:sz w:val="20"/>
                <w:szCs w:val="20"/>
                <w:color w:val="auto"/>
              </w:rPr>
            </w:pPr>
            <w:r>
              <w:rPr>
                <w:rFonts w:ascii="Arial" w:cs="Arial" w:eastAsia="Arial" w:hAnsi="Arial"/>
                <w:sz w:val="14"/>
                <w:szCs w:val="14"/>
                <w:color w:val="auto"/>
              </w:rPr>
              <w:t>Canada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Docks I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DRE Liabilities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Canada ULC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Canada</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Energy Canco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Energy Marketing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Ethanol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Gas Processing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Gulf Coast Energy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Energy Partners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Gulf Coast Management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Gulf Coast Real Estate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Investment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Pipeline I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Railport Terminal I (Texas)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Texas</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Railport Terminal II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Railport Terminal II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Storage I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Jefferson Terminal Logistics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Jefferson Truck Terminal I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Investment Holdings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JGC Management Holdings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 (f/k/a Jefferson Ethanol Partners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Katahdin Railcar Services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Ridge Energy Generation LLC f/k/a Ohio Powerco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Ohio Gasco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Finance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Ohio River Partners Holdco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 River Partners Shareholder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Ohio River PP Holdco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Railroad Acquisition Holdings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1 USA Sub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1Bermuda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2 Bermuda Ltd.</w:t>
            </w:r>
          </w:p>
        </w:tc>
        <w:tc>
          <w:tcPr>
            <w:tcW w:w="5380" w:type="dxa"/>
            <w:vAlign w:val="bottom"/>
          </w:tcPr>
          <w:p>
            <w:pPr>
              <w:ind w:left="1800"/>
              <w:spacing w:after="0"/>
              <w:rPr>
                <w:sz w:val="20"/>
                <w:szCs w:val="20"/>
                <w:color w:val="auto"/>
              </w:rPr>
            </w:pPr>
            <w:r>
              <w:rPr>
                <w:rFonts w:ascii="Arial" w:cs="Arial" w:eastAsia="Arial" w:hAnsi="Arial"/>
                <w:sz w:val="14"/>
                <w:szCs w:val="14"/>
                <w:color w:val="auto"/>
              </w:rPr>
              <w:t>Bermuda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USA LLC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3 Bermuda Ltd.</w:t>
            </w:r>
          </w:p>
        </w:tc>
        <w:tc>
          <w:tcPr>
            <w:tcW w:w="5380" w:type="dxa"/>
            <w:vAlign w:val="bottom"/>
          </w:tcPr>
          <w:p>
            <w:pPr>
              <w:ind w:left="1800"/>
              <w:spacing w:after="0"/>
              <w:rPr>
                <w:sz w:val="20"/>
                <w:szCs w:val="20"/>
                <w:color w:val="auto"/>
              </w:rPr>
            </w:pPr>
            <w:r>
              <w:rPr>
                <w:rFonts w:ascii="Arial" w:cs="Arial" w:eastAsia="Arial" w:hAnsi="Arial"/>
                <w:sz w:val="14"/>
                <w:szCs w:val="14"/>
                <w:color w:val="auto"/>
              </w:rPr>
              <w:t>Bermuda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Ireland</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I USA LLC</w:t>
            </w:r>
          </w:p>
        </w:tc>
        <w:tc>
          <w:tcPr>
            <w:tcW w:w="5380" w:type="dxa"/>
            <w:vAlign w:val="bottom"/>
          </w:tcPr>
          <w:p>
            <w:pPr>
              <w:ind w:left="1800"/>
              <w:spacing w:after="0"/>
              <w:rPr>
                <w:sz w:val="20"/>
                <w:szCs w:val="20"/>
                <w:color w:val="auto"/>
              </w:rPr>
            </w:pPr>
            <w:r>
              <w:rPr>
                <w:rFonts w:ascii="Arial" w:cs="Arial" w:eastAsia="Arial" w:hAnsi="Arial"/>
                <w:sz w:val="14"/>
                <w:szCs w:val="14"/>
                <w:color w:val="auto"/>
              </w:rPr>
              <w:t>Delaware</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Ireland</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5380" w:type="dxa"/>
            <w:vAlign w:val="bottom"/>
          </w:tcPr>
          <w:p>
            <w:pPr>
              <w:ind w:left="1800"/>
              <w:spacing w:after="0"/>
              <w:rPr>
                <w:sz w:val="20"/>
                <w:szCs w:val="20"/>
                <w:color w:val="auto"/>
              </w:rPr>
            </w:pPr>
            <w:r>
              <w:rPr>
                <w:rFonts w:ascii="Arial" w:cs="Arial" w:eastAsia="Arial" w:hAnsi="Arial"/>
                <w:sz w:val="14"/>
                <w:szCs w:val="14"/>
                <w:color w:val="auto"/>
              </w:rPr>
              <w:t>Malta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Container 1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WWTAI Container Holdco Ltd. (f/k/a WWTAI Container GP 1 Ltd.)</w:t>
            </w:r>
          </w:p>
        </w:tc>
        <w:tc>
          <w:tcPr>
            <w:tcW w:w="5380" w:type="dxa"/>
            <w:vAlign w:val="bottom"/>
          </w:tcPr>
          <w:p>
            <w:pPr>
              <w:ind w:left="1800"/>
              <w:spacing w:after="0"/>
              <w:rPr>
                <w:sz w:val="20"/>
                <w:szCs w:val="20"/>
                <w:color w:val="auto"/>
              </w:rPr>
            </w:pPr>
            <w:r>
              <w:rPr>
                <w:rFonts w:ascii="Arial" w:cs="Arial" w:eastAsia="Arial" w:hAnsi="Arial"/>
                <w:sz w:val="14"/>
                <w:szCs w:val="14"/>
                <w:color w:val="auto"/>
              </w:rPr>
              <w:t>Bermuda</w:t>
            </w:r>
          </w:p>
        </w:tc>
      </w:tr>
      <w:tr>
        <w:trPr>
          <w:trHeight w:val="22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Finance Ltd.</w:t>
            </w:r>
          </w:p>
        </w:tc>
        <w:tc>
          <w:tcPr>
            <w:tcW w:w="538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360"/>
          </w:cols>
          <w:pgMar w:left="280" w:top="950" w:right="25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Entity Name</w:t>
            </w:r>
          </w:p>
        </w:tc>
        <w:tc>
          <w:tcPr>
            <w:tcW w:w="6620" w:type="dxa"/>
            <w:vAlign w:val="bottom"/>
          </w:tcPr>
          <w:p>
            <w:pPr>
              <w:ind w:left="3040"/>
              <w:spacing w:after="0"/>
              <w:rPr>
                <w:sz w:val="20"/>
                <w:szCs w:val="20"/>
                <w:color w:val="auto"/>
              </w:rPr>
            </w:pPr>
            <w:r>
              <w:rPr>
                <w:rFonts w:ascii="Arial" w:cs="Arial" w:eastAsia="Arial" w:hAnsi="Arial"/>
                <w:sz w:val="14"/>
                <w:szCs w:val="14"/>
                <w:b w:val="1"/>
                <w:bCs w:val="1"/>
                <w:color w:val="auto"/>
              </w:rPr>
              <w:t>State of Incorporation/Formation</w:t>
            </w:r>
          </w:p>
        </w:tc>
      </w:tr>
      <w:tr>
        <w:trPr>
          <w:trHeight w:val="222"/>
        </w:trPr>
        <w:tc>
          <w:tcPr>
            <w:tcW w:w="4740" w:type="dxa"/>
            <w:vAlign w:val="bottom"/>
          </w:tcPr>
          <w:p>
            <w:pPr>
              <w:ind w:left="20"/>
              <w:spacing w:after="0"/>
              <w:rPr>
                <w:sz w:val="20"/>
                <w:szCs w:val="20"/>
                <w:color w:val="auto"/>
              </w:rPr>
            </w:pPr>
            <w:r>
              <w:rPr>
                <w:rFonts w:ascii="Arial" w:cs="Arial" w:eastAsia="Arial" w:hAnsi="Arial"/>
                <w:sz w:val="14"/>
                <w:szCs w:val="14"/>
                <w:color w:val="auto"/>
              </w:rPr>
              <w:t>WWTAI IES MT6015 Ltd.</w:t>
            </w:r>
          </w:p>
        </w:tc>
        <w:tc>
          <w:tcPr>
            <w:tcW w:w="6620" w:type="dxa"/>
            <w:vAlign w:val="bottom"/>
          </w:tcPr>
          <w:p>
            <w:pPr>
              <w:ind w:left="3040"/>
              <w:spacing w:after="0"/>
              <w:rPr>
                <w:sz w:val="20"/>
                <w:szCs w:val="20"/>
                <w:color w:val="auto"/>
              </w:rPr>
            </w:pPr>
            <w:r>
              <w:rPr>
                <w:rFonts w:ascii="Arial" w:cs="Arial" w:eastAsia="Arial" w:hAnsi="Arial"/>
                <w:sz w:val="14"/>
                <w:szCs w:val="14"/>
                <w:color w:val="auto"/>
              </w:rPr>
              <w:t>Malaysia</w:t>
            </w: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Offshore Co 1 Ltd.</w:t>
            </w:r>
          </w:p>
        </w:tc>
        <w:tc>
          <w:tcPr>
            <w:tcW w:w="6620" w:type="dxa"/>
            <w:vAlign w:val="bottom"/>
            <w:shd w:val="clear" w:color="auto" w:fill="CCEEFF"/>
          </w:tcPr>
          <w:p>
            <w:pPr>
              <w:ind w:left="304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360"/>
          </w:cols>
          <w:pgMar w:left="280" w:top="950" w:right="25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33333"/>
        </w:rPr>
        <w:t>Consent of Independent Registered Public Accounting Firm</w:t>
      </w: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333333"/>
        </w:rPr>
        <w:t>We consent to the incorporation by reference in the Registration Statement (Form S-3 No. 333-216247) of Fortress Transportation and Infrastructure Investors LLC and in the related Prospectus of our reports dated February 28, 2019, with respect to the consolidated financial statements of Fortress Transportation and Infrastructure Investors LLC and the effectiveness of internal control over financial reporting of Fortress Transportation and Infrastructure Investors LLC, included in this Annual Report (Form 10-K) for the year ended December 31, 2018.</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ectPr>
          <w:pgSz w:w="11900" w:h="16838" w:orient="portrait"/>
          <w:cols w:equalWidth="0" w:num="1">
            <w:col w:w="11420"/>
          </w:cols>
          <w:pgMar w:left="240" w:top="891"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48"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2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8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99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923"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8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2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905"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firstLine="656"/>
        <w:spacing w:after="0" w:line="260" w:lineRule="auto"/>
        <w:tabs>
          <w:tab w:leader="none" w:pos="905"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700" w:type="dxa"/>
            <w:vAlign w:val="bottom"/>
          </w:tcPr>
          <w:p>
            <w:pPr>
              <w:spacing w:after="0"/>
              <w:rPr>
                <w:sz w:val="20"/>
                <w:szCs w:val="20"/>
                <w:color w:val="auto"/>
              </w:rPr>
            </w:pPr>
            <w:r>
              <w:rPr>
                <w:rFonts w:ascii="Arial" w:cs="Arial" w:eastAsia="Arial" w:hAnsi="Arial"/>
                <w:sz w:val="16"/>
                <w:szCs w:val="16"/>
                <w:color w:val="auto"/>
              </w:rPr>
              <w:t>February 28, 2019</w:t>
            </w:r>
          </w:p>
        </w:tc>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Joseph P. Adams, Jr.</w:t>
            </w:r>
          </w:p>
        </w:tc>
      </w:tr>
      <w:tr>
        <w:trPr>
          <w:trHeight w:val="224"/>
        </w:trPr>
        <w:tc>
          <w:tcPr>
            <w:tcW w:w="5700" w:type="dxa"/>
            <w:vAlign w:val="bottom"/>
          </w:tcPr>
          <w:p>
            <w:pPr>
              <w:spacing w:after="0"/>
              <w:rPr>
                <w:sz w:val="20"/>
                <w:szCs w:val="20"/>
                <w:color w:val="auto"/>
              </w:rPr>
            </w:pPr>
            <w:r>
              <w:rPr>
                <w:rFonts w:ascii="Arial" w:cs="Arial" w:eastAsia="Arial" w:hAnsi="Arial"/>
                <w:sz w:val="16"/>
                <w:szCs w:val="16"/>
                <w:color w:val="auto"/>
              </w:rPr>
              <w:t>(Date)</w:t>
            </w:r>
          </w:p>
        </w:tc>
        <w:tc>
          <w:tcPr>
            <w:tcW w:w="5660" w:type="dxa"/>
            <w:vAlign w:val="bottom"/>
          </w:tcPr>
          <w:p>
            <w:pPr>
              <w:spacing w:after="0"/>
              <w:rPr>
                <w:sz w:val="20"/>
                <w:szCs w:val="20"/>
                <w:color w:val="auto"/>
              </w:rPr>
            </w:pPr>
            <w:r>
              <w:rPr>
                <w:rFonts w:ascii="Arial" w:cs="Arial" w:eastAsia="Arial" w:hAnsi="Arial"/>
                <w:sz w:val="16"/>
                <w:szCs w:val="16"/>
                <w:color w:val="auto"/>
              </w:rPr>
              <w:t>Joseph P. Adams, Jr.</w:t>
            </w:r>
          </w:p>
        </w:tc>
      </w:tr>
      <w:tr>
        <w:trPr>
          <w:trHeight w:val="243"/>
        </w:trPr>
        <w:tc>
          <w:tcPr>
            <w:tcW w:w="570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887"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248"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207"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891"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99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923"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891"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20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905"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firstLine="656"/>
        <w:spacing w:after="0" w:line="260" w:lineRule="auto"/>
        <w:tabs>
          <w:tab w:leader="none" w:pos="905"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700" w:type="dxa"/>
            <w:vAlign w:val="bottom"/>
          </w:tcPr>
          <w:p>
            <w:pPr>
              <w:spacing w:after="0"/>
              <w:rPr>
                <w:sz w:val="20"/>
                <w:szCs w:val="20"/>
                <w:color w:val="auto"/>
              </w:rPr>
            </w:pPr>
            <w:r>
              <w:rPr>
                <w:rFonts w:ascii="Arial" w:cs="Arial" w:eastAsia="Arial" w:hAnsi="Arial"/>
                <w:sz w:val="16"/>
                <w:szCs w:val="16"/>
                <w:color w:val="auto"/>
              </w:rPr>
              <w:t>February 28, 2019</w:t>
            </w:r>
          </w:p>
        </w:tc>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Scott Christopher</w:t>
            </w:r>
          </w:p>
        </w:tc>
      </w:tr>
      <w:tr>
        <w:trPr>
          <w:trHeight w:val="224"/>
        </w:trPr>
        <w:tc>
          <w:tcPr>
            <w:tcW w:w="5700" w:type="dxa"/>
            <w:vAlign w:val="bottom"/>
          </w:tcPr>
          <w:p>
            <w:pPr>
              <w:spacing w:after="0"/>
              <w:rPr>
                <w:sz w:val="20"/>
                <w:szCs w:val="20"/>
                <w:color w:val="auto"/>
              </w:rPr>
            </w:pPr>
            <w:r>
              <w:rPr>
                <w:rFonts w:ascii="Arial" w:cs="Arial" w:eastAsia="Arial" w:hAnsi="Arial"/>
                <w:sz w:val="16"/>
                <w:szCs w:val="16"/>
                <w:color w:val="auto"/>
              </w:rPr>
              <w:t>(Date)</w:t>
            </w:r>
          </w:p>
        </w:tc>
        <w:tc>
          <w:tcPr>
            <w:tcW w:w="5660" w:type="dxa"/>
            <w:vAlign w:val="bottom"/>
          </w:tcPr>
          <w:p>
            <w:pPr>
              <w:spacing w:after="0"/>
              <w:rPr>
                <w:sz w:val="20"/>
                <w:szCs w:val="20"/>
                <w:color w:val="auto"/>
              </w:rPr>
            </w:pPr>
            <w:r>
              <w:rPr>
                <w:rFonts w:ascii="Arial" w:cs="Arial" w:eastAsia="Arial" w:hAnsi="Arial"/>
                <w:sz w:val="16"/>
                <w:szCs w:val="16"/>
                <w:color w:val="auto"/>
              </w:rPr>
              <w:t>Scott Christopher</w:t>
            </w:r>
          </w:p>
        </w:tc>
      </w:tr>
      <w:tr>
        <w:trPr>
          <w:trHeight w:val="243"/>
        </w:trPr>
        <w:tc>
          <w:tcPr>
            <w:tcW w:w="570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886"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2018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2019</w:t>
      </w:r>
    </w:p>
    <w:p>
      <w:pPr>
        <w:spacing w:after="0" w:line="3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887" w:right="2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Annual Report on Form 10-K of Fortress Transportation and Infrastructure Investors LLC (the “Company”) for the annual period ended December 31, 2018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230"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2019</w:t>
      </w:r>
    </w:p>
    <w:p>
      <w:pPr>
        <w:spacing w:after="0" w:line="3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8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lowerLetter"/>
      <w:start w:val="2"/>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3"/>
    </w:lvl>
    <w:lvl w:ilvl="1">
      <w:lvlJc w:val="left"/>
      <w:lvlText w:val="(%2)"/>
      <w:numFmt w:val="lowerRoman"/>
      <w:start w:val="3"/>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decimal"/>
      <w:start w:val="1"/>
    </w:lvl>
    <w:lvl w:ilvl="1">
      <w:lvlJc w:val="left"/>
      <w:lvlText w:val="(%2)"/>
      <w:numFmt w:val="lowerRoman"/>
      <w:start w:val="2"/>
    </w:lvl>
  </w:abstractNum>
  <w:abstractNum w:abstractNumId="30">
    <w:nsid w:val="354FE9F9"/>
    <w:multiLevelType w:val="hybridMultilevel"/>
    <w:lvl w:ilvl="0">
      <w:lvlJc w:val="left"/>
      <w:lvlText w:val="(%1)"/>
      <w:numFmt w:val="decimal"/>
      <w:start w:val="2"/>
    </w:lvl>
    <w:lvl w:ilvl="1">
      <w:lvlJc w:val="left"/>
      <w:lvlText w:val="(%2)"/>
      <w:numFmt w:val="lowerRoman"/>
      <w:start w:val="3"/>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3"/>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lowerRoman"/>
      <w:start w:val="3"/>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2"/>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3"/>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2"/>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2"/>
    </w:lvl>
  </w:abstractNum>
  <w:abstractNum w:abstractNumId="56">
    <w:nsid w:val="42C296BD"/>
    <w:multiLevelType w:val="hybridMultilevel"/>
    <w:lvl w:ilvl="0">
      <w:lvlJc w:val="left"/>
      <w:lvlText w:val="(%1)"/>
      <w:numFmt w:val="decimal"/>
      <w:start w:val="1"/>
    </w:lvl>
    <w:lvl w:ilvl="1">
      <w:lvlJc w:val="left"/>
      <w:lvlText w:val="(%2)"/>
      <w:numFmt w:val="lowerRoman"/>
      <w:start w:val="3"/>
    </w:lvl>
  </w:abstractNum>
  <w:abstractNum w:abstractNumId="57">
    <w:nsid w:val="168E121F"/>
    <w:multiLevelType w:val="hybridMultilevel"/>
    <w:lvl w:ilvl="0">
      <w:lvlJc w:val="left"/>
      <w:lvlText w:val="(%1)"/>
      <w:numFmt w:val="decimal"/>
      <w:start w:val="3"/>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lowerRoman"/>
      <w:start w:val="8"/>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upperLetter"/>
      <w:start w:val="35"/>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30" Type="http://schemas.openxmlformats.org/officeDocument/2006/relationships/image" Target="media/image19.png"/><Relationship Id="rId33" Type="http://schemas.openxmlformats.org/officeDocument/2006/relationships/image" Target="media/image20.png"/><Relationship Id="rId36" Type="http://schemas.openxmlformats.org/officeDocument/2006/relationships/image" Target="media/image21.png"/><Relationship Id="rId39" Type="http://schemas.openxmlformats.org/officeDocument/2006/relationships/image" Target="media/image22.png"/><Relationship Id="rId41"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50" Type="http://schemas.openxmlformats.org/officeDocument/2006/relationships/image" Target="media/image26.png"/><Relationship Id="rId53" Type="http://schemas.openxmlformats.org/officeDocument/2006/relationships/image" Target="media/image27.png"/><Relationship Id="rId56" Type="http://schemas.openxmlformats.org/officeDocument/2006/relationships/image" Target="media/image28.png"/><Relationship Id="rId59" Type="http://schemas.openxmlformats.org/officeDocument/2006/relationships/image" Target="media/image29.png"/><Relationship Id="rId62" Type="http://schemas.openxmlformats.org/officeDocument/2006/relationships/image" Target="media/image30.png"/><Relationship Id="rId66" Type="http://schemas.openxmlformats.org/officeDocument/2006/relationships/image" Target="media/image31.png"/><Relationship Id="rId67" Type="http://schemas.openxmlformats.org/officeDocument/2006/relationships/image" Target="media/image32.png"/><Relationship Id="rId68" Type="http://schemas.openxmlformats.org/officeDocument/2006/relationships/image" Target="media/image33.png"/><Relationship Id="rId25" Type="http://schemas.openxmlformats.org/officeDocument/2006/relationships/hyperlink" Target="http://www.sec.gov/Archives/edgar/data/1590364/000119312515163776/d616610dex31.htm" TargetMode="External"/><Relationship Id="rId26" Type="http://schemas.openxmlformats.org/officeDocument/2006/relationships/hyperlink" Target="http://www.sec.gov/Archives/edgar/data/1590364/000119312515197222/d931434dex31.htm" TargetMode="External"/><Relationship Id="rId28" Type="http://schemas.openxmlformats.org/officeDocument/2006/relationships/hyperlink" Target="http://www.sec.gov/Archives/edgar/data/1590364/000159036416000014/ftai12312015exhibit33.htm" TargetMode="External"/><Relationship Id="rId29" Type="http://schemas.openxmlformats.org/officeDocument/2006/relationships/hyperlink" Target="http://www.sec.gov/Archives/edgar/data/1590364/000095015717000381/ex4-1.htm" TargetMode="External"/><Relationship Id="rId31" Type="http://schemas.openxmlformats.org/officeDocument/2006/relationships/hyperlink" Target="http://www.sec.gov/Archives/edgar/data/1590364/000095015717000381/0000950157-17-000381-index.htm" TargetMode="External"/><Relationship Id="rId32" Type="http://schemas.openxmlformats.org/officeDocument/2006/relationships/hyperlink" Target="http://www.sec.gov/Archives/edgar/data/1590364/000159036418000003/ftai12312017exhibit43.htm" TargetMode="External"/><Relationship Id="rId34" Type="http://schemas.openxmlformats.org/officeDocument/2006/relationships/hyperlink" Target="http://www.sec.gov/Archives/edgar/data/1590364/000095015717001232/ex4-1.htm" TargetMode="External"/><Relationship Id="rId35" Type="http://schemas.openxmlformats.org/officeDocument/2006/relationships/hyperlink" Target="http://www.sec.gov/Archives/edgar/data/1590364/000114036117046889/s001999x5_ex4-1.htm" TargetMode="External"/><Relationship Id="rId37" Type="http://schemas.openxmlformats.org/officeDocument/2006/relationships/hyperlink" Target="http://www.sec.gov/Archives/edgar/data/1590364/000114036118026546/ex4_1.htm" TargetMode="External"/><Relationship Id="rId38" Type="http://schemas.openxmlformats.org/officeDocument/2006/relationships/hyperlink" Target="http://www.sec.gov/Archives/edgar/data/1590364/000114036119002776/s002571x8_ex4-1.htm" TargetMode="External"/><Relationship Id="rId40" Type="http://schemas.openxmlformats.org/officeDocument/2006/relationships/hyperlink" Target="http://www.sec.gov/Archives/edgar/data/1590364/000114036118038650/ex4_1.htm" TargetMode="External"/><Relationship Id="rId42" Type="http://schemas.openxmlformats.org/officeDocument/2006/relationships/hyperlink" Target="http://www.sec.gov/Archives/edgar/data/1590364/000119312515197222/d931434dex101.htm" TargetMode="External"/><Relationship Id="rId43" Type="http://schemas.openxmlformats.org/officeDocument/2006/relationships/hyperlink" Target="http://www.sec.gov/Archives/edgar/data/1590364/000119312515197222/d931434dex102.htm" TargetMode="External"/><Relationship Id="rId44" Type="http://schemas.openxmlformats.org/officeDocument/2006/relationships/hyperlink" Target="http://www.sec.gov/Archives/edgar/data/1590364/000119312515163776/d616610dex103.htm" TargetMode="External"/><Relationship Id="rId45" Type="http://schemas.openxmlformats.org/officeDocument/2006/relationships/hyperlink" Target="http://www.sec.gov/Archives/edgar/data/1590364/000119312515197222/d931434dex103.htm" TargetMode="External"/><Relationship Id="rId48" Type="http://schemas.openxmlformats.org/officeDocument/2006/relationships/hyperlink" Target="http://www.sec.gov/Archives/edgar/data/1590364/000119312515163776/d616610dex105.htm" TargetMode="External"/><Relationship Id="rId49" Type="http://schemas.openxmlformats.org/officeDocument/2006/relationships/hyperlink" Target="http://www.sec.gov/Archives/edgar/data/1590364/000119312515163776/d616610dex106.htm" TargetMode="External"/><Relationship Id="rId51" Type="http://schemas.openxmlformats.org/officeDocument/2006/relationships/hyperlink" Target="http://www.sec.gov/Archives/edgar/data/1590364/000159036416000014/ftai12312015exhibit107.htm" TargetMode="External"/><Relationship Id="rId52" Type="http://schemas.openxmlformats.org/officeDocument/2006/relationships/hyperlink" Target="http://www.sec.gov/Archives/edgar/data/1590364/000159036416000014/ftai12312015exhibit108.htm" TargetMode="External"/><Relationship Id="rId54" Type="http://schemas.openxmlformats.org/officeDocument/2006/relationships/hyperlink" Target="http://www.sec.gov/Archives/edgar/data/1590364/000159036416000014/ftai12312015exhibit109.htm" TargetMode="External"/><Relationship Id="rId55" Type="http://schemas.openxmlformats.org/officeDocument/2006/relationships/hyperlink" Target="http://www.sec.gov/Archives/edgar/data/1590364/000159036416000014/ftai12312015exhibit1010.htm" TargetMode="External"/><Relationship Id="rId57" Type="http://schemas.openxmlformats.org/officeDocument/2006/relationships/hyperlink" Target="http://www.sec.gov/Archives/edgar/data/1590364/000159036416000014/0001590364-16-000014-index.htm" TargetMode="External"/><Relationship Id="rId58" Type="http://schemas.openxmlformats.org/officeDocument/2006/relationships/hyperlink" Target="http://www.sec.gov/Archives/edgar/data/1590364/000159036416000014/ftai12312015exhibit1012.htm" TargetMode="External"/><Relationship Id="rId60" Type="http://schemas.openxmlformats.org/officeDocument/2006/relationships/hyperlink" Target="http://www.sec.gov/Archives/edgar/data/1590364/000156761917000090/s001516x1_ex10-1.htm" TargetMode="External"/><Relationship Id="rId61" Type="http://schemas.openxmlformats.org/officeDocument/2006/relationships/hyperlink" Target="http://www.sec.gov/Archives/edgar/data/1590364/000156761917001299/s001761x1_ex10-1.htm" TargetMode="External"/><Relationship Id="rId63" Type="http://schemas.openxmlformats.org/officeDocument/2006/relationships/hyperlink" Target="http://www.sec.gov/Archives/edgar/data/1590364/000159036418000010/creditagreement-exhibit1015.htm" TargetMode="External"/><Relationship Id="rId64" Type="http://schemas.openxmlformats.org/officeDocument/2006/relationships/hyperlink" Target="http://www.sec.gov/Archives/edgar/data/1590364/000114036119002813/s002571x9_ex10-1.htm" TargetMode="External"/><Relationship Id="rId65"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2019-12-28T15:14:55Z</dcterms:created>
  <dcterms:modified xsi:type="dcterms:W3CDTF">2019-12-28T15:14:55Z</dcterms:modified>
</cp:coreProperties>
</file>