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0" w:lineRule="exact"/>
        <w:rPr>
          <w:sz w:val="24"/>
          <w:szCs w:val="24"/>
          <w:color w:val="auto"/>
        </w:rPr>
      </w:pPr>
    </w:p>
    <w:p>
      <w:pPr>
        <w:spacing w:after="0" w:line="382" w:lineRule="exact"/>
        <w:rPr>
          <w:sz w:val="24"/>
          <w:szCs w:val="24"/>
          <w:color w:val="auto"/>
        </w:rPr>
      </w:pPr>
    </w:p>
    <w:p>
      <w:pPr>
        <w:ind w:left="1700" w:hanging="188"/>
        <w:spacing w:after="0"/>
        <w:tabs>
          <w:tab w:leader="none" w:pos="17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 the quarterly period ended </w:t>
      </w:r>
      <w:r>
        <w:rPr>
          <w:rFonts w:ascii="Arial" w:cs="Arial" w:eastAsia="Arial" w:hAnsi="Arial"/>
          <w:sz w:val="16"/>
          <w:szCs w:val="16"/>
          <w:b w:val="1"/>
          <w:bCs w:val="1"/>
          <w:color w:val="auto"/>
        </w:rPr>
        <w:t>September 30, 2018</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ind w:left="4180" w:right="1480" w:hanging="2691"/>
        <w:spacing w:after="0" w:line="559" w:lineRule="auto"/>
        <w:tabs>
          <w:tab w:leader="none" w:pos="16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 to ____</w:t>
      </w:r>
    </w:p>
    <w:p>
      <w:pPr>
        <w:ind w:left="4440"/>
        <w:spacing w:after="0"/>
        <w:rPr>
          <w:rFonts w:ascii="MS PGothic" w:cs="MS PGothic" w:eastAsia="MS PGothic" w:hAnsi="MS PGothic"/>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001-37386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48895</wp:posOffset>
            </wp:positionV>
            <wp:extent cx="1294765"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9476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FORTRESS TRANSPORTATION AND INFRASTRUCTURE INVESTORS LLC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6180" w:type="dxa"/>
            <w:vAlign w:val="bottom"/>
            <w:gridSpan w:val="2"/>
          </w:tcPr>
          <w:p>
            <w:pPr>
              <w:jc w:val="center"/>
              <w:ind w:right="900"/>
              <w:spacing w:after="0"/>
              <w:rPr>
                <w:sz w:val="20"/>
                <w:szCs w:val="20"/>
                <w:color w:val="auto"/>
              </w:rPr>
            </w:pPr>
            <w:r>
              <w:rPr>
                <w:rFonts w:ascii="Arial" w:cs="Arial" w:eastAsia="Arial" w:hAnsi="Arial"/>
                <w:sz w:val="16"/>
                <w:szCs w:val="16"/>
                <w:b w:val="1"/>
                <w:bCs w:val="1"/>
                <w:color w:val="auto"/>
              </w:rPr>
              <w:t>Delaware</w:t>
            </w:r>
          </w:p>
        </w:tc>
        <w:tc>
          <w:tcPr>
            <w:tcW w:w="5240" w:type="dxa"/>
            <w:vAlign w:val="bottom"/>
          </w:tcPr>
          <w:p>
            <w:pPr>
              <w:jc w:val="right"/>
              <w:ind w:right="2099"/>
              <w:spacing w:after="0"/>
              <w:rPr>
                <w:sz w:val="20"/>
                <w:szCs w:val="20"/>
                <w:color w:val="auto"/>
              </w:rPr>
            </w:pPr>
            <w:r>
              <w:rPr>
                <w:rFonts w:ascii="Arial" w:cs="Arial" w:eastAsia="Arial" w:hAnsi="Arial"/>
                <w:sz w:val="16"/>
                <w:szCs w:val="16"/>
                <w:b w:val="1"/>
                <w:bCs w:val="1"/>
                <w:color w:val="auto"/>
              </w:rPr>
              <w:t>32-0434238</w:t>
            </w:r>
          </w:p>
        </w:tc>
      </w:tr>
      <w:tr>
        <w:trPr>
          <w:trHeight w:val="47"/>
        </w:trPr>
        <w:tc>
          <w:tcPr>
            <w:tcW w:w="526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17"/>
        </w:trPr>
        <w:tc>
          <w:tcPr>
            <w:tcW w:w="6180" w:type="dxa"/>
            <w:vAlign w:val="bottom"/>
            <w:gridSpan w:val="2"/>
          </w:tcPr>
          <w:p>
            <w:pPr>
              <w:jc w:val="center"/>
              <w:ind w:right="920"/>
              <w:spacing w:after="0"/>
              <w:rPr>
                <w:sz w:val="20"/>
                <w:szCs w:val="20"/>
                <w:color w:val="auto"/>
              </w:rPr>
            </w:pPr>
            <w:r>
              <w:rPr>
                <w:rFonts w:ascii="Arial" w:cs="Arial" w:eastAsia="Arial" w:hAnsi="Arial"/>
                <w:sz w:val="16"/>
                <w:szCs w:val="16"/>
                <w:color w:val="auto"/>
              </w:rPr>
              <w:t>(State or other jurisdiction of incorporation or organization)</w:t>
            </w:r>
          </w:p>
        </w:tc>
        <w:tc>
          <w:tcPr>
            <w:tcW w:w="52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01"/>
        </w:trPr>
        <w:tc>
          <w:tcPr>
            <w:tcW w:w="6180" w:type="dxa"/>
            <w:vAlign w:val="bottom"/>
            <w:gridSpan w:val="2"/>
          </w:tcPr>
          <w:p>
            <w:pPr>
              <w:jc w:val="center"/>
              <w:ind w:right="900"/>
              <w:spacing w:after="0"/>
              <w:rPr>
                <w:sz w:val="20"/>
                <w:szCs w:val="20"/>
                <w:color w:val="auto"/>
              </w:rPr>
            </w:pPr>
            <w:r>
              <w:rPr>
                <w:rFonts w:ascii="Arial" w:cs="Arial" w:eastAsia="Arial" w:hAnsi="Arial"/>
                <w:sz w:val="16"/>
                <w:szCs w:val="16"/>
                <w:b w:val="1"/>
                <w:bCs w:val="1"/>
                <w:color w:val="auto"/>
              </w:rPr>
              <w:t>1345 Avenue of the Americas, 45th Floor,</w:t>
            </w:r>
          </w:p>
        </w:tc>
        <w:tc>
          <w:tcPr>
            <w:tcW w:w="5240" w:type="dxa"/>
            <w:vAlign w:val="bottom"/>
          </w:tcPr>
          <w:p>
            <w:pPr>
              <w:spacing w:after="0"/>
              <w:rPr>
                <w:sz w:val="24"/>
                <w:szCs w:val="24"/>
                <w:color w:val="auto"/>
              </w:rPr>
            </w:pPr>
          </w:p>
        </w:tc>
      </w:tr>
      <w:tr>
        <w:trPr>
          <w:trHeight w:val="228"/>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New York, NY</w:t>
            </w:r>
          </w:p>
        </w:tc>
        <w:tc>
          <w:tcPr>
            <w:tcW w:w="920" w:type="dxa"/>
            <w:vAlign w:val="bottom"/>
          </w:tcPr>
          <w:p>
            <w:pPr>
              <w:spacing w:after="0"/>
              <w:rPr>
                <w:sz w:val="19"/>
                <w:szCs w:val="19"/>
                <w:color w:val="auto"/>
              </w:rPr>
            </w:pPr>
          </w:p>
        </w:tc>
        <w:tc>
          <w:tcPr>
            <w:tcW w:w="5240" w:type="dxa"/>
            <w:vAlign w:val="bottom"/>
            <w:tcBorders>
              <w:bottom w:val="single" w:sz="8" w:color="auto"/>
            </w:tcBorders>
          </w:tcPr>
          <w:p>
            <w:pPr>
              <w:jc w:val="right"/>
              <w:ind w:right="2319"/>
              <w:spacing w:after="0"/>
              <w:rPr>
                <w:sz w:val="20"/>
                <w:szCs w:val="20"/>
                <w:color w:val="auto"/>
              </w:rPr>
            </w:pPr>
            <w:r>
              <w:rPr>
                <w:rFonts w:ascii="Arial" w:cs="Arial" w:eastAsia="Arial" w:hAnsi="Arial"/>
                <w:sz w:val="16"/>
                <w:szCs w:val="16"/>
                <w:b w:val="1"/>
                <w:bCs w:val="1"/>
                <w:color w:val="auto"/>
              </w:rPr>
              <w:t>10105</w:t>
            </w:r>
          </w:p>
        </w:tc>
      </w:tr>
      <w:tr>
        <w:trPr>
          <w:trHeight w:val="224"/>
        </w:trPr>
        <w:tc>
          <w:tcPr>
            <w:tcW w:w="6180" w:type="dxa"/>
            <w:vAlign w:val="bottom"/>
            <w:gridSpan w:val="2"/>
          </w:tcPr>
          <w:p>
            <w:pPr>
              <w:jc w:val="center"/>
              <w:ind w:right="920"/>
              <w:spacing w:after="0"/>
              <w:rPr>
                <w:sz w:val="20"/>
                <w:szCs w:val="20"/>
                <w:color w:val="auto"/>
              </w:rPr>
            </w:pPr>
            <w:r>
              <w:rPr>
                <w:rFonts w:ascii="Arial" w:cs="Arial" w:eastAsia="Arial" w:hAnsi="Arial"/>
                <w:sz w:val="16"/>
                <w:szCs w:val="16"/>
                <w:color w:val="auto"/>
              </w:rPr>
              <w:t>(Address of principal executive offices)</w:t>
            </w:r>
          </w:p>
        </w:tc>
        <w:tc>
          <w:tcPr>
            <w:tcW w:w="52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1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798-6100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1"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1"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sectPr>
      </w:pPr>
    </w:p>
    <w:p>
      <w:pPr>
        <w:spacing w:after="0" w:line="268" w:lineRule="exact"/>
        <w:rPr>
          <w:sz w:val="24"/>
          <w:szCs w:val="24"/>
          <w:color w:val="auto"/>
        </w:rPr>
      </w:pPr>
    </w:p>
    <w:p>
      <w:pPr>
        <w:ind w:left="19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84" w:lineRule="exact"/>
        <w:rPr>
          <w:sz w:val="24"/>
          <w:szCs w:val="24"/>
          <w:color w:val="auto"/>
        </w:rPr>
      </w:pPr>
    </w:p>
    <w:p>
      <w:pPr>
        <w:sectPr>
          <w:pgSz w:w="11900" w:h="16838" w:orient="portrait"/>
          <w:cols w:equalWidth="0" w:num="2">
            <w:col w:w="7160" w:space="720"/>
            <w:col w:w="3540"/>
          </w:cols>
          <w:pgMar w:left="240" w:top="229" w:right="239" w:bottom="1440" w:gutter="0" w:footer="0" w:header="0"/>
          <w:type w:val="continuous"/>
        </w:sectPr>
      </w:pPr>
    </w:p>
    <w:p>
      <w:pPr>
        <w:spacing w:after="0" w:line="41"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72" w:lineRule="exact"/>
        <w:rPr>
          <w:sz w:val="24"/>
          <w:szCs w:val="24"/>
          <w:color w:val="auto"/>
        </w:rPr>
      </w:pPr>
    </w:p>
    <w:p>
      <w:pPr>
        <w:sectPr>
          <w:pgSz w:w="11900" w:h="16838" w:orient="portrait"/>
          <w:cols w:equalWidth="0" w:num="3">
            <w:col w:w="3440" w:space="80"/>
            <w:col w:w="3220" w:space="720"/>
            <w:col w:w="3960"/>
          </w:cols>
          <w:pgMar w:left="240" w:top="229" w:right="239" w:bottom="1440" w:gutter="0" w:footer="0" w:header="0"/>
          <w:type w:val="continuous"/>
        </w:sectPr>
      </w:pPr>
    </w:p>
    <w:p>
      <w:pPr>
        <w:jc w:val="cente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1">
            <w:col w:w="11420"/>
          </w:cols>
          <w:pgMar w:left="240" w:top="229" w:right="239" w:bottom="1440" w:gutter="0" w:footer="0" w:header="0"/>
          <w:type w:val="continuous"/>
        </w:sectPr>
      </w:pPr>
    </w:p>
    <w:p>
      <w:pPr>
        <w:spacing w:after="0" w:line="261"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63" w:lineRule="exact"/>
        <w:rPr>
          <w:sz w:val="24"/>
          <w:szCs w:val="24"/>
          <w:color w:val="auto"/>
        </w:rPr>
      </w:pPr>
    </w:p>
    <w:p>
      <w:pPr>
        <w:spacing w:after="0"/>
        <w:rPr>
          <w:sz w:val="20"/>
          <w:szCs w:val="20"/>
          <w:color w:val="auto"/>
        </w:rPr>
      </w:pPr>
      <w:r>
        <w:rPr>
          <w:rFonts w:ascii="Arial" w:cs="Arial" w:eastAsia="Arial" w:hAnsi="Arial"/>
          <w:sz w:val="16"/>
          <w:szCs w:val="16"/>
          <w:color w:val="auto"/>
        </w:rPr>
        <w:t>There were 82,787,466 common shares representing limited liability company interests outstanding at October 30, 2018.</w:t>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00497F"/>
        </w:rPr>
        <w:t>FORWARD-LOOKING STATEMENTS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We believe that these factors include, but are not limited to:</w:t>
      </w:r>
    </w:p>
    <w:p>
      <w:pPr>
        <w:spacing w:after="0" w:line="98" w:lineRule="exact"/>
        <w:rPr>
          <w:sz w:val="20"/>
          <w:szCs w:val="20"/>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economic conditions generally and specifically in our industry sectors, and other risks relating to the global economy;</w:t>
      </w:r>
    </w:p>
    <w:p>
      <w:pPr>
        <w:spacing w:after="0" w:line="113" w:lineRule="exact"/>
        <w:rPr>
          <w:rFonts w:ascii="Arial" w:cs="Arial" w:eastAsia="Arial" w:hAnsi="Arial"/>
          <w:sz w:val="16"/>
          <w:szCs w:val="16"/>
          <w:color w:val="auto"/>
        </w:rPr>
      </w:pPr>
    </w:p>
    <w:p>
      <w:pPr>
        <w:ind w:left="820" w:hanging="326"/>
        <w:spacing w:after="0" w:line="260"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reductions in cash flows received from our assets, as well as contractual limitations on the use of our aviation assets to secure debt for borrowed money;</w:t>
      </w:r>
    </w:p>
    <w:p>
      <w:pPr>
        <w:spacing w:after="0" w:line="87"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take advantage of acquisition opportunities at favorable prices;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lack of liquidity surrounding our assets, which could impede our ability to vary our portfolio in an appropriate manner;</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relative spreads between the yield on the assets we acquire and the cost of financing;</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adverse changes in the financing markets we access affecting our ability to finance our acquisitions;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defaults on their obligations;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renew existing contracts and win additional contracts with existing or potential customers;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availability and cost of capital for future acquisitions;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concentration of a particular type of asset or in a particular sector;</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competition within the aviation, energy, intermodal transport and rail sectors;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competitive market for acquisition opportunities;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operating through joint ventures or partnerships or through consortium arrangements;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obsolescence of our assets or our ability to sell, re-lease or re-charter our assets;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exposure to uninsurable losses and force majeure events;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infrastructure operations may require substantial capital expenditures;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legislative/regulatory environment and exposure to increased economic regulation;</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exposure to the oil and gas industry’s volatile oil and gas prices;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difficulties in obtaining effective legal redress in jurisdictions in which we operate with less developed legal systems;</w:t>
      </w:r>
    </w:p>
    <w:p>
      <w:pPr>
        <w:spacing w:after="0" w:line="113" w:lineRule="exact"/>
        <w:rPr>
          <w:rFonts w:ascii="Arial" w:cs="Arial" w:eastAsia="Arial" w:hAnsi="Arial"/>
          <w:sz w:val="16"/>
          <w:szCs w:val="16"/>
          <w:color w:val="auto"/>
        </w:rPr>
      </w:pPr>
    </w:p>
    <w:p>
      <w:pPr>
        <w:ind w:left="820" w:right="20" w:hanging="326"/>
        <w:spacing w:after="0" w:line="260"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our exemption from registration under the Investment Company Act of 1940 and the fact that maintaining such exemption imposes limits on our operations;</w:t>
      </w:r>
    </w:p>
    <w:p>
      <w:pPr>
        <w:spacing w:after="0" w:line="87"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utilize leverage in connection with our investments;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foreign currency risk and risk management activities;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effectiveness of our internal control over financial reporting;</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exposure to environmental risks, including increasing environmental legislation and the broader impacts of climate change;</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113" w:lineRule="exact"/>
        <w:rPr>
          <w:rFonts w:ascii="Arial" w:cs="Arial" w:eastAsia="Arial" w:hAnsi="Arial"/>
          <w:sz w:val="16"/>
          <w:szCs w:val="16"/>
          <w:color w:val="auto"/>
        </w:rPr>
      </w:pPr>
    </w:p>
    <w:p>
      <w:pPr>
        <w:ind w:left="820" w:right="20" w:hanging="326"/>
        <w:spacing w:after="0" w:line="260"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actions taken by national, state, or provincial governments, including nationalization, or the imposition of new taxes, could materially impact the financial performance or value of our assets;</w:t>
      </w:r>
    </w:p>
    <w:p>
      <w:pPr>
        <w:spacing w:after="0" w:line="87"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dependence on our Manager and its professionals and actual, potential or perceived conflicts of interest in our relationship with our Manager;</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effects of the merger of Fortress Investment Group LLC with affiliates of SoftBank Group Corp.;</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80" w:right="239" w:bottom="1440" w:gutter="0" w:footer="0" w:header="0"/>
        </w:sectPr>
      </w:pPr>
    </w:p>
    <w:bookmarkStart w:id="2" w:name="page3"/>
    <w:bookmarkEnd w:id="2"/>
    <w:p>
      <w:pPr>
        <w:ind w:left="820" w:hanging="326"/>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volatility in the market price of our common shares;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inability to pay dividends to our shareholders in the future; and</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risks described in the “Risk Factors” section of this report.</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39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709" w:right="2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22"/>
          <w:szCs w:val="22"/>
          <w:b w:val="1"/>
          <w:bCs w:val="1"/>
          <w:color w:val="00497F"/>
        </w:rPr>
        <w:t>FORTRESS TRANSPORTATION AND INFRASTRUCTURE INVESTORS LLC</w:t>
      </w:r>
    </w:p>
    <w:p>
      <w:pPr>
        <w:spacing w:after="0" w:line="85"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00497F"/>
        </w:rPr>
        <w:t>INDEX TO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121920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6820" w:type="dxa"/>
            <w:vAlign w:val="bottom"/>
            <w:gridSpan w:val="7"/>
          </w:tcPr>
          <w:p>
            <w:pPr>
              <w:ind w:left="480"/>
              <w:spacing w:after="0"/>
              <w:rPr>
                <w:sz w:val="20"/>
                <w:szCs w:val="20"/>
                <w:color w:val="auto"/>
              </w:rPr>
            </w:pPr>
            <w:r>
              <w:rPr>
                <w:rFonts w:ascii="Arial" w:cs="Arial" w:eastAsia="Arial" w:hAnsi="Arial"/>
                <w:sz w:val="14"/>
                <w:szCs w:val="14"/>
                <w:b w:val="1"/>
                <w:bCs w:val="1"/>
                <w:color w:val="006EBF"/>
              </w:rPr>
              <w:t>PART I - FINANCIAL INFORMATION</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8"/>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1.</w:t>
            </w:r>
          </w:p>
        </w:tc>
        <w:tc>
          <w:tcPr>
            <w:tcW w:w="9960" w:type="dxa"/>
            <w:vAlign w:val="bottom"/>
            <w:gridSpan w:val="9"/>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Unaudited Consolidated Financial Statements of Fortress Transportation and Infrastructure Investors LLC:</w:t>
              </w:r>
            </w:hyperlink>
          </w:p>
        </w:tc>
        <w:tc>
          <w:tcPr>
            <w:tcW w:w="80" w:type="dxa"/>
            <w:vAlign w:val="bottom"/>
          </w:tcPr>
          <w:p>
            <w:pPr>
              <w:jc w:val="center"/>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c>
          <w:tcPr>
            <w:tcW w:w="40" w:type="dxa"/>
            <w:vAlign w:val="bottom"/>
          </w:tcPr>
          <w:p>
            <w:pPr>
              <w:spacing w:after="0"/>
              <w:rPr>
                <w:sz w:val="16"/>
                <w:szCs w:val="16"/>
                <w:color w:val="auto"/>
              </w:rPr>
            </w:pPr>
          </w:p>
        </w:tc>
      </w:tr>
      <w:tr>
        <w:trPr>
          <w:trHeight w:val="250"/>
        </w:trPr>
        <w:tc>
          <w:tcPr>
            <w:tcW w:w="1040" w:type="dxa"/>
            <w:vAlign w:val="bottom"/>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5180" w:type="dxa"/>
            <w:vAlign w:val="bottom"/>
            <w:tcBorders>
              <w:top w:val="single" w:sz="8" w:color="0000EE"/>
              <w:bottom w:val="single" w:sz="8" w:color="0000EE"/>
            </w:tcBorders>
            <w:gridSpan w:val="2"/>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Consolidated Balance Sheets as of September 30, 2018 and December 31, 2017</w:t>
              </w:r>
            </w:hyperlink>
          </w:p>
        </w:tc>
        <w:tc>
          <w:tcPr>
            <w:tcW w:w="1220" w:type="dxa"/>
            <w:vAlign w:val="bottom"/>
            <w:tcBorders>
              <w:top w:val="single" w:sz="8" w:color="0000EE"/>
            </w:tcBorders>
            <w:gridSpan w:val="3"/>
          </w:tcPr>
          <w:p>
            <w:pPr>
              <w:spacing w:after="0"/>
              <w:rPr>
                <w:sz w:val="21"/>
                <w:szCs w:val="21"/>
                <w:color w:val="auto"/>
              </w:rPr>
            </w:pPr>
          </w:p>
        </w:tc>
        <w:tc>
          <w:tcPr>
            <w:tcW w:w="3220" w:type="dxa"/>
            <w:vAlign w:val="bottom"/>
            <w:gridSpan w:val="3"/>
          </w:tcPr>
          <w:p>
            <w:pPr>
              <w:spacing w:after="0"/>
              <w:rPr>
                <w:sz w:val="21"/>
                <w:szCs w:val="21"/>
                <w:color w:val="auto"/>
              </w:rPr>
            </w:pPr>
          </w:p>
        </w:tc>
        <w:tc>
          <w:tcPr>
            <w:tcW w:w="80" w:type="dxa"/>
            <w:vAlign w:val="bottom"/>
            <w:tcBorders>
              <w:top w:val="single" w:sz="8" w:color="0000EE"/>
              <w:bottom w:val="single" w:sz="8" w:color="0000EE"/>
            </w:tcBorders>
          </w:tcPr>
          <w:p>
            <w:pPr>
              <w:jc w:val="center"/>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c>
          <w:tcPr>
            <w:tcW w:w="4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20" w:type="dxa"/>
            <w:vAlign w:val="bottom"/>
            <w:gridSpan w:val="8"/>
          </w:tcPr>
          <w:p>
            <w:pPr>
              <w:spacing w:after="0"/>
              <w:rPr>
                <w:rFonts w:ascii="Arial" w:cs="Arial" w:eastAsia="Arial" w:hAnsi="Arial"/>
                <w:sz w:val="14"/>
                <w:szCs w:val="14"/>
                <w:color w:val="0000EE"/>
              </w:rPr>
            </w:pPr>
            <w:hyperlink w:anchor="page6">
              <w:r>
                <w:rPr>
                  <w:rFonts w:ascii="Arial" w:cs="Arial" w:eastAsia="Arial" w:hAnsi="Arial"/>
                  <w:sz w:val="14"/>
                  <w:szCs w:val="14"/>
                  <w:color w:val="0000EE"/>
                </w:rPr>
                <w:t>Consolidated Statements of Operations for the three and nine months ended September 30, 2018 and 2017</w:t>
              </w:r>
            </w:hyperlink>
          </w:p>
        </w:tc>
        <w:tc>
          <w:tcPr>
            <w:tcW w:w="80" w:type="dxa"/>
            <w:vAlign w:val="bottom"/>
          </w:tcPr>
          <w:p>
            <w:pPr>
              <w:jc w:val="center"/>
              <w:spacing w:after="0"/>
              <w:rPr>
                <w:rFonts w:ascii="Arial" w:cs="Arial" w:eastAsia="Arial" w:hAnsi="Arial"/>
                <w:sz w:val="14"/>
                <w:szCs w:val="14"/>
                <w:color w:val="0000EE"/>
              </w:rPr>
            </w:pPr>
            <w:hyperlink w:anchor="page6">
              <w:r>
                <w:rPr>
                  <w:rFonts w:ascii="Arial" w:cs="Arial" w:eastAsia="Arial" w:hAnsi="Arial"/>
                  <w:sz w:val="14"/>
                  <w:szCs w:val="14"/>
                  <w:color w:val="0000EE"/>
                </w:rPr>
                <w:t>6</w:t>
              </w:r>
            </w:hyperlink>
          </w:p>
        </w:tc>
        <w:tc>
          <w:tcPr>
            <w:tcW w:w="4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120" w:type="dxa"/>
            <w:vAlign w:val="bottom"/>
            <w:tcBorders>
              <w:bottom w:val="single" w:sz="8" w:color="0000EE"/>
            </w:tcBorders>
            <w:gridSpan w:val="7"/>
          </w:tcPr>
          <w:p>
            <w:pPr>
              <w:spacing w:after="0"/>
              <w:rPr>
                <w:rFonts w:ascii="Arial" w:cs="Arial" w:eastAsia="Arial" w:hAnsi="Arial"/>
                <w:sz w:val="14"/>
                <w:szCs w:val="14"/>
                <w:color w:val="0000EE"/>
              </w:rPr>
            </w:pPr>
            <w:hyperlink w:anchor="page7">
              <w:r>
                <w:rPr>
                  <w:rFonts w:ascii="Arial" w:cs="Arial" w:eastAsia="Arial" w:hAnsi="Arial"/>
                  <w:sz w:val="14"/>
                  <w:szCs w:val="14"/>
                  <w:color w:val="0000EE"/>
                </w:rPr>
                <w:t>Consolidated Statements of Comprehensive Income (Loss) for the three and nine months ended September 30, 2018 and 2017</w:t>
              </w:r>
            </w:hyperlink>
          </w:p>
        </w:tc>
        <w:tc>
          <w:tcPr>
            <w:tcW w:w="1500" w:type="dxa"/>
            <w:vAlign w:val="bottom"/>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4"/>
                <w:szCs w:val="14"/>
                <w:color w:val="0000EE"/>
              </w:rPr>
            </w:pPr>
            <w:hyperlink w:anchor="page7">
              <w:r>
                <w:rPr>
                  <w:rFonts w:ascii="Arial" w:cs="Arial" w:eastAsia="Arial" w:hAnsi="Arial"/>
                  <w:sz w:val="14"/>
                  <w:szCs w:val="14"/>
                  <w:color w:val="0000EE"/>
                </w:rPr>
                <w:t>7</w:t>
              </w:r>
            </w:hyperlink>
          </w:p>
        </w:tc>
        <w:tc>
          <w:tcPr>
            <w:tcW w:w="4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20" w:type="dxa"/>
            <w:vAlign w:val="bottom"/>
            <w:gridSpan w:val="8"/>
          </w:tcPr>
          <w:p>
            <w:pPr>
              <w:spacing w:after="0"/>
              <w:rPr>
                <w:rFonts w:ascii="Arial" w:cs="Arial" w:eastAsia="Arial" w:hAnsi="Arial"/>
                <w:sz w:val="14"/>
                <w:szCs w:val="14"/>
                <w:color w:val="0000EE"/>
              </w:rPr>
            </w:pPr>
            <w:hyperlink w:anchor="page8">
              <w:r>
                <w:rPr>
                  <w:rFonts w:ascii="Arial" w:cs="Arial" w:eastAsia="Arial" w:hAnsi="Arial"/>
                  <w:sz w:val="14"/>
                  <w:szCs w:val="14"/>
                  <w:color w:val="0000EE"/>
                </w:rPr>
                <w:t>Consolidated Statement of Changes in Equity for the nine months ended September 30, 2018</w:t>
              </w:r>
            </w:hyperlink>
          </w:p>
        </w:tc>
        <w:tc>
          <w:tcPr>
            <w:tcW w:w="80" w:type="dxa"/>
            <w:vAlign w:val="bottom"/>
          </w:tcPr>
          <w:p>
            <w:pPr>
              <w:jc w:val="center"/>
              <w:spacing w:after="0"/>
              <w:rPr>
                <w:rFonts w:ascii="Arial" w:cs="Arial" w:eastAsia="Arial" w:hAnsi="Arial"/>
                <w:sz w:val="14"/>
                <w:szCs w:val="14"/>
                <w:color w:val="0000EE"/>
              </w:rPr>
            </w:pPr>
            <w:hyperlink w:anchor="page8">
              <w:r>
                <w:rPr>
                  <w:rFonts w:ascii="Arial" w:cs="Arial" w:eastAsia="Arial" w:hAnsi="Arial"/>
                  <w:sz w:val="14"/>
                  <w:szCs w:val="14"/>
                  <w:color w:val="0000EE"/>
                </w:rPr>
                <w:t>8</w:t>
              </w:r>
            </w:hyperlink>
          </w:p>
        </w:tc>
        <w:tc>
          <w:tcPr>
            <w:tcW w:w="4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20" w:type="dxa"/>
            <w:vAlign w:val="bottom"/>
            <w:gridSpan w:val="8"/>
          </w:tcPr>
          <w:p>
            <w:pPr>
              <w:spacing w:after="0"/>
              <w:rPr>
                <w:rFonts w:ascii="Arial" w:cs="Arial" w:eastAsia="Arial" w:hAnsi="Arial"/>
                <w:sz w:val="14"/>
                <w:szCs w:val="14"/>
                <w:color w:val="0000EE"/>
              </w:rPr>
            </w:pPr>
            <w:hyperlink w:anchor="page9">
              <w:r>
                <w:rPr>
                  <w:rFonts w:ascii="Arial" w:cs="Arial" w:eastAsia="Arial" w:hAnsi="Arial"/>
                  <w:sz w:val="14"/>
                  <w:szCs w:val="14"/>
                  <w:color w:val="0000EE"/>
                </w:rPr>
                <w:t>Consolidated Statements of Cash Flows for the nine months ended September 30, 2018 and 2017</w:t>
              </w:r>
            </w:hyperlink>
          </w:p>
        </w:tc>
        <w:tc>
          <w:tcPr>
            <w:tcW w:w="80" w:type="dxa"/>
            <w:vAlign w:val="bottom"/>
          </w:tcPr>
          <w:p>
            <w:pPr>
              <w:jc w:val="center"/>
              <w:spacing w:after="0"/>
              <w:rPr>
                <w:rFonts w:ascii="Arial" w:cs="Arial" w:eastAsia="Arial" w:hAnsi="Arial"/>
                <w:sz w:val="14"/>
                <w:szCs w:val="14"/>
                <w:color w:val="0000EE"/>
              </w:rPr>
            </w:pPr>
            <w:hyperlink w:anchor="page9">
              <w:r>
                <w:rPr>
                  <w:rFonts w:ascii="Arial" w:cs="Arial" w:eastAsia="Arial" w:hAnsi="Arial"/>
                  <w:sz w:val="14"/>
                  <w:szCs w:val="14"/>
                  <w:color w:val="0000EE"/>
                </w:rPr>
                <w:t>9</w:t>
              </w:r>
            </w:hyperlink>
          </w:p>
        </w:tc>
        <w:tc>
          <w:tcPr>
            <w:tcW w:w="4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60" w:type="dxa"/>
            <w:vAlign w:val="bottom"/>
            <w:gridSpan w:val="4"/>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Notes to Consolidated Financial Statements</w:t>
              </w:r>
            </w:hyperlink>
          </w:p>
        </w:tc>
        <w:tc>
          <w:tcPr>
            <w:tcW w:w="3360" w:type="dxa"/>
            <w:vAlign w:val="bottom"/>
            <w:gridSpan w:val="4"/>
          </w:tcPr>
          <w:p>
            <w:pPr>
              <w:spacing w:after="0"/>
              <w:rPr>
                <w:sz w:val="21"/>
                <w:szCs w:val="21"/>
                <w:color w:val="auto"/>
              </w:rPr>
            </w:pPr>
          </w:p>
        </w:tc>
        <w:tc>
          <w:tcPr>
            <w:tcW w:w="120" w:type="dxa"/>
            <w:vAlign w:val="bottom"/>
            <w:gridSpan w:val="2"/>
          </w:tcPr>
          <w:p>
            <w:pPr>
              <w:jc w:val="center"/>
              <w:spacing w:after="0"/>
              <w:rPr>
                <w:rFonts w:ascii="Arial" w:cs="Arial" w:eastAsia="Arial" w:hAnsi="Arial"/>
                <w:sz w:val="14"/>
                <w:szCs w:val="14"/>
                <w:color w:val="0000EE"/>
                <w:w w:val="76"/>
              </w:rPr>
            </w:pPr>
            <w:hyperlink w:anchor="page11">
              <w:r>
                <w:rPr>
                  <w:rFonts w:ascii="Arial" w:cs="Arial" w:eastAsia="Arial" w:hAnsi="Arial"/>
                  <w:sz w:val="14"/>
                  <w:szCs w:val="14"/>
                  <w:color w:val="0000EE"/>
                  <w:w w:val="76"/>
                </w:rPr>
                <w:t>11</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bl>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360" w:type="dxa"/>
            <w:vAlign w:val="bottom"/>
            <w:gridSpan w:val="24"/>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Note 1: Organization</w:t>
              </w:r>
            </w:hyperlink>
          </w:p>
        </w:tc>
        <w:tc>
          <w:tcPr>
            <w:tcW w:w="160" w:type="dxa"/>
            <w:vAlign w:val="bottom"/>
          </w:tcPr>
          <w:p>
            <w:pPr>
              <w:jc w:val="right"/>
              <w:spacing w:after="0"/>
              <w:rPr>
                <w:rFonts w:ascii="Arial" w:cs="Arial" w:eastAsia="Arial" w:hAnsi="Arial"/>
                <w:sz w:val="14"/>
                <w:szCs w:val="14"/>
                <w:color w:val="0000EE"/>
                <w:w w:val="89"/>
              </w:rPr>
            </w:pPr>
            <w:hyperlink w:anchor="page11">
              <w:r>
                <w:rPr>
                  <w:rFonts w:ascii="Arial" w:cs="Arial" w:eastAsia="Arial" w:hAnsi="Arial"/>
                  <w:sz w:val="14"/>
                  <w:szCs w:val="14"/>
                  <w:color w:val="0000EE"/>
                  <w:w w:val="89"/>
                </w:rPr>
                <w:t>11</w:t>
              </w:r>
            </w:hyperlink>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80" w:type="dxa"/>
            <w:vAlign w:val="bottom"/>
            <w:tcBorders>
              <w:bottom w:val="single" w:sz="8" w:color="0000EE"/>
            </w:tcBorders>
            <w:gridSpan w:val="20"/>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Note 2: Summary of Significant Accounting Policies</w:t>
              </w:r>
            </w:hyperlink>
          </w:p>
        </w:tc>
        <w:tc>
          <w:tcPr>
            <w:tcW w:w="6080" w:type="dxa"/>
            <w:vAlign w:val="bottom"/>
            <w:gridSpan w:val="4"/>
          </w:tcPr>
          <w:p>
            <w:pPr>
              <w:spacing w:after="0"/>
              <w:rPr>
                <w:sz w:val="21"/>
                <w:szCs w:val="21"/>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11">
              <w:r>
                <w:rPr>
                  <w:rFonts w:ascii="Arial" w:cs="Arial" w:eastAsia="Arial" w:hAnsi="Arial"/>
                  <w:sz w:val="14"/>
                  <w:szCs w:val="14"/>
                  <w:color w:val="0000EE"/>
                  <w:w w:val="89"/>
                </w:rPr>
                <w:t>11</w:t>
              </w:r>
            </w:hyperlink>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20" w:type="dxa"/>
            <w:vAlign w:val="bottom"/>
            <w:tcBorders>
              <w:bottom w:val="single" w:sz="8" w:color="0000EE"/>
            </w:tcBorders>
            <w:gridSpan w:val="12"/>
          </w:tcPr>
          <w:p>
            <w:pPr>
              <w:spacing w:after="0"/>
              <w:rPr>
                <w:rFonts w:ascii="Arial" w:cs="Arial" w:eastAsia="Arial" w:hAnsi="Arial"/>
                <w:sz w:val="14"/>
                <w:szCs w:val="14"/>
                <w:color w:val="0000EE"/>
              </w:rPr>
            </w:pPr>
            <w:hyperlink w:anchor="page16">
              <w:r>
                <w:rPr>
                  <w:rFonts w:ascii="Arial" w:cs="Arial" w:eastAsia="Arial" w:hAnsi="Arial"/>
                  <w:sz w:val="14"/>
                  <w:szCs w:val="14"/>
                  <w:color w:val="0000EE"/>
                </w:rPr>
                <w:t>Note 3: Leasing Equipment, net</w:t>
              </w:r>
            </w:hyperlink>
          </w:p>
        </w:tc>
        <w:tc>
          <w:tcPr>
            <w:tcW w:w="7340" w:type="dxa"/>
            <w:vAlign w:val="bottom"/>
            <w:gridSpan w:val="12"/>
          </w:tcPr>
          <w:p>
            <w:pPr>
              <w:spacing w:after="0"/>
              <w:rPr>
                <w:sz w:val="21"/>
                <w:szCs w:val="21"/>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16">
              <w:r>
                <w:rPr>
                  <w:rFonts w:ascii="Arial" w:cs="Arial" w:eastAsia="Arial" w:hAnsi="Arial"/>
                  <w:sz w:val="14"/>
                  <w:szCs w:val="14"/>
                  <w:color w:val="0000EE"/>
                  <w:w w:val="89"/>
                </w:rPr>
                <w:t>16</w:t>
              </w:r>
            </w:hyperlink>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360" w:type="dxa"/>
            <w:vAlign w:val="bottom"/>
            <w:gridSpan w:val="24"/>
          </w:tcPr>
          <w:p>
            <w:pPr>
              <w:spacing w:after="0"/>
              <w:rPr>
                <w:rFonts w:ascii="Arial" w:cs="Arial" w:eastAsia="Arial" w:hAnsi="Arial"/>
                <w:sz w:val="14"/>
                <w:szCs w:val="14"/>
                <w:color w:val="0000EE"/>
              </w:rPr>
            </w:pPr>
            <w:hyperlink w:anchor="page17">
              <w:r>
                <w:rPr>
                  <w:rFonts w:ascii="Arial" w:cs="Arial" w:eastAsia="Arial" w:hAnsi="Arial"/>
                  <w:sz w:val="14"/>
                  <w:szCs w:val="14"/>
                  <w:color w:val="0000EE"/>
                </w:rPr>
                <w:t>Note 4: Finance Leases, net</w:t>
              </w:r>
            </w:hyperlink>
          </w:p>
        </w:tc>
        <w:tc>
          <w:tcPr>
            <w:tcW w:w="160" w:type="dxa"/>
            <w:vAlign w:val="bottom"/>
          </w:tcPr>
          <w:p>
            <w:pPr>
              <w:jc w:val="right"/>
              <w:spacing w:after="0"/>
              <w:rPr>
                <w:rFonts w:ascii="Arial" w:cs="Arial" w:eastAsia="Arial" w:hAnsi="Arial"/>
                <w:sz w:val="14"/>
                <w:szCs w:val="14"/>
                <w:color w:val="0000EE"/>
                <w:w w:val="89"/>
              </w:rPr>
            </w:pPr>
            <w:hyperlink w:anchor="page17">
              <w:r>
                <w:rPr>
                  <w:rFonts w:ascii="Arial" w:cs="Arial" w:eastAsia="Arial" w:hAnsi="Arial"/>
                  <w:sz w:val="14"/>
                  <w:szCs w:val="14"/>
                  <w:color w:val="0000EE"/>
                  <w:w w:val="89"/>
                </w:rPr>
                <w:t>17</w:t>
              </w:r>
            </w:hyperlink>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740" w:type="dxa"/>
            <w:vAlign w:val="bottom"/>
            <w:tcBorders>
              <w:bottom w:val="single" w:sz="8" w:color="0000EE"/>
            </w:tcBorders>
            <w:gridSpan w:val="17"/>
          </w:tcPr>
          <w:p>
            <w:pPr>
              <w:spacing w:after="0"/>
              <w:rPr>
                <w:rFonts w:ascii="Arial" w:cs="Arial" w:eastAsia="Arial" w:hAnsi="Arial"/>
                <w:sz w:val="14"/>
                <w:szCs w:val="14"/>
                <w:color w:val="0000EE"/>
              </w:rPr>
            </w:pPr>
            <w:hyperlink w:anchor="page17">
              <w:r>
                <w:rPr>
                  <w:rFonts w:ascii="Arial" w:cs="Arial" w:eastAsia="Arial" w:hAnsi="Arial"/>
                  <w:sz w:val="14"/>
                  <w:szCs w:val="14"/>
                  <w:color w:val="0000EE"/>
                </w:rPr>
                <w:t>Note 5: Property, Plant and Equipment, net</w:t>
              </w:r>
            </w:hyperlink>
          </w:p>
        </w:tc>
        <w:tc>
          <w:tcPr>
            <w:tcW w:w="6620" w:type="dxa"/>
            <w:vAlign w:val="bottom"/>
            <w:gridSpan w:val="7"/>
          </w:tcPr>
          <w:p>
            <w:pPr>
              <w:spacing w:after="0"/>
              <w:rPr>
                <w:sz w:val="21"/>
                <w:szCs w:val="21"/>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17">
              <w:r>
                <w:rPr>
                  <w:rFonts w:ascii="Arial" w:cs="Arial" w:eastAsia="Arial" w:hAnsi="Arial"/>
                  <w:sz w:val="14"/>
                  <w:szCs w:val="14"/>
                  <w:color w:val="0000EE"/>
                  <w:w w:val="89"/>
                </w:rPr>
                <w:t>17</w:t>
              </w:r>
            </w:hyperlink>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360" w:type="dxa"/>
            <w:vAlign w:val="bottom"/>
            <w:gridSpan w:val="24"/>
          </w:tcPr>
          <w:p>
            <w:pPr>
              <w:spacing w:after="0"/>
              <w:rPr>
                <w:rFonts w:ascii="Arial" w:cs="Arial" w:eastAsia="Arial" w:hAnsi="Arial"/>
                <w:sz w:val="14"/>
                <w:szCs w:val="14"/>
                <w:color w:val="0000EE"/>
              </w:rPr>
            </w:pPr>
            <w:hyperlink w:anchor="page18">
              <w:r>
                <w:rPr>
                  <w:rFonts w:ascii="Arial" w:cs="Arial" w:eastAsia="Arial" w:hAnsi="Arial"/>
                  <w:sz w:val="14"/>
                  <w:szCs w:val="14"/>
                  <w:color w:val="0000EE"/>
                </w:rPr>
                <w:t>Note 6: Investments</w:t>
              </w:r>
            </w:hyperlink>
          </w:p>
        </w:tc>
        <w:tc>
          <w:tcPr>
            <w:tcW w:w="160" w:type="dxa"/>
            <w:vAlign w:val="bottom"/>
          </w:tcPr>
          <w:p>
            <w:pPr>
              <w:jc w:val="right"/>
              <w:spacing w:after="0"/>
              <w:rPr>
                <w:rFonts w:ascii="Arial" w:cs="Arial" w:eastAsia="Arial" w:hAnsi="Arial"/>
                <w:sz w:val="14"/>
                <w:szCs w:val="14"/>
                <w:color w:val="0000EE"/>
                <w:w w:val="89"/>
              </w:rPr>
            </w:pPr>
            <w:hyperlink w:anchor="page18">
              <w:r>
                <w:rPr>
                  <w:rFonts w:ascii="Arial" w:cs="Arial" w:eastAsia="Arial" w:hAnsi="Arial"/>
                  <w:sz w:val="14"/>
                  <w:szCs w:val="14"/>
                  <w:color w:val="0000EE"/>
                  <w:w w:val="89"/>
                </w:rPr>
                <w:t>18</w:t>
              </w:r>
            </w:hyperlink>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0" w:type="dxa"/>
            <w:vAlign w:val="bottom"/>
            <w:tcBorders>
              <w:bottom w:val="single" w:sz="8" w:color="0000EE"/>
            </w:tcBorders>
            <w:gridSpan w:val="18"/>
          </w:tcPr>
          <w:p>
            <w:pPr>
              <w:spacing w:after="0"/>
              <w:rPr>
                <w:rFonts w:ascii="Arial" w:cs="Arial" w:eastAsia="Arial" w:hAnsi="Arial"/>
                <w:sz w:val="14"/>
                <w:szCs w:val="14"/>
                <w:color w:val="0000EE"/>
              </w:rPr>
            </w:pPr>
            <w:hyperlink w:anchor="page19">
              <w:r>
                <w:rPr>
                  <w:rFonts w:ascii="Arial" w:cs="Arial" w:eastAsia="Arial" w:hAnsi="Arial"/>
                  <w:sz w:val="14"/>
                  <w:szCs w:val="14"/>
                  <w:color w:val="0000EE"/>
                </w:rPr>
                <w:t>Note 7: Intangible Assets and Liabilities, net</w:t>
              </w:r>
            </w:hyperlink>
          </w:p>
        </w:tc>
        <w:tc>
          <w:tcPr>
            <w:tcW w:w="6560" w:type="dxa"/>
            <w:vAlign w:val="bottom"/>
            <w:gridSpan w:val="6"/>
          </w:tcPr>
          <w:p>
            <w:pPr>
              <w:spacing w:after="0"/>
              <w:rPr>
                <w:sz w:val="21"/>
                <w:szCs w:val="21"/>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19">
              <w:r>
                <w:rPr>
                  <w:rFonts w:ascii="Arial" w:cs="Arial" w:eastAsia="Arial" w:hAnsi="Arial"/>
                  <w:sz w:val="14"/>
                  <w:szCs w:val="14"/>
                  <w:color w:val="0000EE"/>
                  <w:w w:val="89"/>
                </w:rPr>
                <w:t>19</w:t>
              </w:r>
            </w:hyperlink>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Borders>
              <w:bottom w:val="single" w:sz="8" w:color="0000EE"/>
            </w:tcBorders>
            <w:gridSpan w:val="6"/>
          </w:tcPr>
          <w:p>
            <w:pPr>
              <w:spacing w:after="0"/>
              <w:rPr>
                <w:rFonts w:ascii="Arial" w:cs="Arial" w:eastAsia="Arial" w:hAnsi="Arial"/>
                <w:sz w:val="14"/>
                <w:szCs w:val="14"/>
                <w:color w:val="0000EE"/>
              </w:rPr>
            </w:pPr>
            <w:hyperlink w:anchor="page20">
              <w:r>
                <w:rPr>
                  <w:rFonts w:ascii="Arial" w:cs="Arial" w:eastAsia="Arial" w:hAnsi="Arial"/>
                  <w:sz w:val="14"/>
                  <w:szCs w:val="14"/>
                  <w:color w:val="0000EE"/>
                </w:rPr>
                <w:t>Note 8: Debt, net</w:t>
              </w:r>
            </w:hyperlink>
          </w:p>
        </w:tc>
        <w:tc>
          <w:tcPr>
            <w:tcW w:w="8260" w:type="dxa"/>
            <w:vAlign w:val="bottom"/>
            <w:gridSpan w:val="18"/>
          </w:tcPr>
          <w:p>
            <w:pPr>
              <w:spacing w:after="0"/>
              <w:rPr>
                <w:sz w:val="21"/>
                <w:szCs w:val="21"/>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20">
              <w:r>
                <w:rPr>
                  <w:rFonts w:ascii="Arial" w:cs="Arial" w:eastAsia="Arial" w:hAnsi="Arial"/>
                  <w:sz w:val="14"/>
                  <w:szCs w:val="14"/>
                  <w:color w:val="0000EE"/>
                  <w:w w:val="89"/>
                </w:rPr>
                <w:t>20</w:t>
              </w:r>
            </w:hyperlink>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360" w:type="dxa"/>
            <w:vAlign w:val="bottom"/>
            <w:gridSpan w:val="24"/>
          </w:tcPr>
          <w:p>
            <w:pPr>
              <w:spacing w:after="0"/>
              <w:rPr>
                <w:rFonts w:ascii="Arial" w:cs="Arial" w:eastAsia="Arial" w:hAnsi="Arial"/>
                <w:sz w:val="14"/>
                <w:szCs w:val="14"/>
                <w:color w:val="0000EE"/>
              </w:rPr>
            </w:pPr>
            <w:hyperlink w:anchor="page24">
              <w:r>
                <w:rPr>
                  <w:rFonts w:ascii="Arial" w:cs="Arial" w:eastAsia="Arial" w:hAnsi="Arial"/>
                  <w:sz w:val="14"/>
                  <w:szCs w:val="14"/>
                  <w:color w:val="0000EE"/>
                </w:rPr>
                <w:t>Note 9: Fair Value Measurements</w:t>
              </w:r>
            </w:hyperlink>
          </w:p>
        </w:tc>
        <w:tc>
          <w:tcPr>
            <w:tcW w:w="160" w:type="dxa"/>
            <w:vAlign w:val="bottom"/>
          </w:tcPr>
          <w:p>
            <w:pPr>
              <w:jc w:val="right"/>
              <w:spacing w:after="0"/>
              <w:rPr>
                <w:rFonts w:ascii="Arial" w:cs="Arial" w:eastAsia="Arial" w:hAnsi="Arial"/>
                <w:sz w:val="14"/>
                <w:szCs w:val="14"/>
                <w:color w:val="0000EE"/>
                <w:w w:val="89"/>
              </w:rPr>
            </w:pPr>
            <w:hyperlink w:anchor="page24">
              <w:r>
                <w:rPr>
                  <w:rFonts w:ascii="Arial" w:cs="Arial" w:eastAsia="Arial" w:hAnsi="Arial"/>
                  <w:sz w:val="14"/>
                  <w:szCs w:val="14"/>
                  <w:color w:val="0000EE"/>
                  <w:w w:val="89"/>
                </w:rPr>
                <w:t>24</w:t>
              </w:r>
            </w:hyperlink>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tcBorders>
              <w:top w:val="single" w:sz="8" w:color="0000EE"/>
              <w:bottom w:val="single" w:sz="8" w:color="0000EE"/>
            </w:tcBorders>
            <w:gridSpan w:val="7"/>
          </w:tcPr>
          <w:p>
            <w:pPr>
              <w:spacing w:after="0"/>
              <w:rPr>
                <w:rFonts w:ascii="Arial" w:cs="Arial" w:eastAsia="Arial" w:hAnsi="Arial"/>
                <w:sz w:val="14"/>
                <w:szCs w:val="14"/>
                <w:color w:val="0000EE"/>
              </w:rPr>
            </w:pPr>
            <w:hyperlink w:anchor="page25">
              <w:r>
                <w:rPr>
                  <w:rFonts w:ascii="Arial" w:cs="Arial" w:eastAsia="Arial" w:hAnsi="Arial"/>
                  <w:sz w:val="14"/>
                  <w:szCs w:val="14"/>
                  <w:color w:val="0000EE"/>
                </w:rPr>
                <w:t>Note 10: Revenues</w:t>
              </w:r>
            </w:hyperlink>
          </w:p>
        </w:tc>
        <w:tc>
          <w:tcPr>
            <w:tcW w:w="860" w:type="dxa"/>
            <w:vAlign w:val="bottom"/>
            <w:tcBorders>
              <w:top w:val="single" w:sz="8" w:color="0000EE"/>
            </w:tcBorders>
            <w:gridSpan w:val="6"/>
          </w:tcPr>
          <w:p>
            <w:pPr>
              <w:spacing w:after="0"/>
              <w:rPr>
                <w:sz w:val="21"/>
                <w:szCs w:val="21"/>
                <w:color w:val="auto"/>
              </w:rPr>
            </w:pPr>
          </w:p>
        </w:tc>
        <w:tc>
          <w:tcPr>
            <w:tcW w:w="7220" w:type="dxa"/>
            <w:vAlign w:val="bottom"/>
            <w:gridSpan w:val="11"/>
          </w:tcPr>
          <w:p>
            <w:pPr>
              <w:spacing w:after="0"/>
              <w:rPr>
                <w:sz w:val="21"/>
                <w:szCs w:val="21"/>
                <w:color w:val="auto"/>
              </w:rPr>
            </w:pPr>
          </w:p>
        </w:tc>
        <w:tc>
          <w:tcPr>
            <w:tcW w:w="160" w:type="dxa"/>
            <w:vAlign w:val="bottom"/>
            <w:tcBorders>
              <w:top w:val="single" w:sz="8" w:color="0000EE"/>
              <w:bottom w:val="single" w:sz="8" w:color="0000EE"/>
            </w:tcBorders>
          </w:tcPr>
          <w:p>
            <w:pPr>
              <w:jc w:val="right"/>
              <w:spacing w:after="0"/>
              <w:rPr>
                <w:rFonts w:ascii="Arial" w:cs="Arial" w:eastAsia="Arial" w:hAnsi="Arial"/>
                <w:sz w:val="14"/>
                <w:szCs w:val="14"/>
                <w:color w:val="0000EE"/>
                <w:w w:val="89"/>
              </w:rPr>
            </w:pPr>
            <w:hyperlink w:anchor="page25">
              <w:r>
                <w:rPr>
                  <w:rFonts w:ascii="Arial" w:cs="Arial" w:eastAsia="Arial" w:hAnsi="Arial"/>
                  <w:sz w:val="14"/>
                  <w:szCs w:val="14"/>
                  <w:color w:val="0000EE"/>
                  <w:w w:val="89"/>
                </w:rPr>
                <w:t>25</w:t>
              </w:r>
            </w:hyperlink>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20" w:type="dxa"/>
            <w:vAlign w:val="bottom"/>
            <w:tcBorders>
              <w:bottom w:val="single" w:sz="8" w:color="0000EE"/>
            </w:tcBorders>
            <w:gridSpan w:val="14"/>
          </w:tcPr>
          <w:p>
            <w:pPr>
              <w:spacing w:after="0"/>
              <w:rPr>
                <w:rFonts w:ascii="Arial" w:cs="Arial" w:eastAsia="Arial" w:hAnsi="Arial"/>
                <w:sz w:val="14"/>
                <w:szCs w:val="14"/>
                <w:color w:val="0000EE"/>
              </w:rPr>
            </w:pPr>
            <w:hyperlink w:anchor="page27">
              <w:r>
                <w:rPr>
                  <w:rFonts w:ascii="Arial" w:cs="Arial" w:eastAsia="Arial" w:hAnsi="Arial"/>
                  <w:sz w:val="14"/>
                  <w:szCs w:val="14"/>
                  <w:color w:val="0000EE"/>
                </w:rPr>
                <w:t>Note 11: Equity-Based Compensation</w:t>
              </w:r>
            </w:hyperlink>
          </w:p>
        </w:tc>
        <w:tc>
          <w:tcPr>
            <w:tcW w:w="6940" w:type="dxa"/>
            <w:vAlign w:val="bottom"/>
            <w:gridSpan w:val="10"/>
          </w:tcPr>
          <w:p>
            <w:pPr>
              <w:spacing w:after="0"/>
              <w:rPr>
                <w:sz w:val="21"/>
                <w:szCs w:val="21"/>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27">
              <w:r>
                <w:rPr>
                  <w:rFonts w:ascii="Arial" w:cs="Arial" w:eastAsia="Arial" w:hAnsi="Arial"/>
                  <w:sz w:val="14"/>
                  <w:szCs w:val="14"/>
                  <w:color w:val="0000EE"/>
                  <w:w w:val="89"/>
                </w:rPr>
                <w:t>27</w:t>
              </w:r>
            </w:hyperlink>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tcBorders>
              <w:bottom w:val="single" w:sz="8" w:color="0000EE"/>
            </w:tcBorders>
            <w:gridSpan w:val="8"/>
          </w:tcPr>
          <w:p>
            <w:pPr>
              <w:spacing w:after="0"/>
              <w:rPr>
                <w:rFonts w:ascii="Arial" w:cs="Arial" w:eastAsia="Arial" w:hAnsi="Arial"/>
                <w:sz w:val="14"/>
                <w:szCs w:val="14"/>
                <w:color w:val="0000EE"/>
              </w:rPr>
            </w:pPr>
            <w:hyperlink w:anchor="page28">
              <w:r>
                <w:rPr>
                  <w:rFonts w:ascii="Arial" w:cs="Arial" w:eastAsia="Arial" w:hAnsi="Arial"/>
                  <w:sz w:val="14"/>
                  <w:szCs w:val="14"/>
                  <w:color w:val="0000EE"/>
                </w:rPr>
                <w:t>Note 12: Income Taxes</w:t>
              </w:r>
            </w:hyperlink>
          </w:p>
        </w:tc>
        <w:tc>
          <w:tcPr>
            <w:tcW w:w="7880" w:type="dxa"/>
            <w:vAlign w:val="bottom"/>
            <w:gridSpan w:val="16"/>
          </w:tcPr>
          <w:p>
            <w:pPr>
              <w:spacing w:after="0"/>
              <w:rPr>
                <w:sz w:val="21"/>
                <w:szCs w:val="21"/>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28">
              <w:r>
                <w:rPr>
                  <w:rFonts w:ascii="Arial" w:cs="Arial" w:eastAsia="Arial" w:hAnsi="Arial"/>
                  <w:sz w:val="14"/>
                  <w:szCs w:val="14"/>
                  <w:color w:val="0000EE"/>
                  <w:w w:val="89"/>
                </w:rPr>
                <w:t>28</w:t>
              </w:r>
            </w:hyperlink>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20" w:type="dxa"/>
            <w:vAlign w:val="bottom"/>
            <w:tcBorders>
              <w:bottom w:val="single" w:sz="8" w:color="0000EE"/>
            </w:tcBorders>
            <w:gridSpan w:val="22"/>
          </w:tcPr>
          <w:p>
            <w:pPr>
              <w:spacing w:after="0"/>
              <w:rPr>
                <w:rFonts w:ascii="Arial" w:cs="Arial" w:eastAsia="Arial" w:hAnsi="Arial"/>
                <w:sz w:val="14"/>
                <w:szCs w:val="14"/>
                <w:color w:val="0000EE"/>
              </w:rPr>
            </w:pPr>
            <w:hyperlink w:anchor="page29">
              <w:r>
                <w:rPr>
                  <w:rFonts w:ascii="Arial" w:cs="Arial" w:eastAsia="Arial" w:hAnsi="Arial"/>
                  <w:sz w:val="14"/>
                  <w:szCs w:val="14"/>
                  <w:color w:val="0000EE"/>
                </w:rPr>
                <w:t>Note 13: Management Agreement and Affiliate Transactions</w:t>
              </w:r>
            </w:hyperlink>
          </w:p>
        </w:tc>
        <w:tc>
          <w:tcPr>
            <w:tcW w:w="5540" w:type="dxa"/>
            <w:vAlign w:val="bottom"/>
            <w:gridSpan w:val="2"/>
          </w:tcPr>
          <w:p>
            <w:pPr>
              <w:spacing w:after="0"/>
              <w:rPr>
                <w:sz w:val="21"/>
                <w:szCs w:val="21"/>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29">
              <w:r>
                <w:rPr>
                  <w:rFonts w:ascii="Arial" w:cs="Arial" w:eastAsia="Arial" w:hAnsi="Arial"/>
                  <w:sz w:val="14"/>
                  <w:szCs w:val="14"/>
                  <w:color w:val="0000EE"/>
                  <w:w w:val="89"/>
                </w:rPr>
                <w:t>29</w:t>
              </w:r>
            </w:hyperlink>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360" w:type="dxa"/>
            <w:vAlign w:val="bottom"/>
            <w:gridSpan w:val="24"/>
          </w:tcPr>
          <w:p>
            <w:pPr>
              <w:spacing w:after="0"/>
              <w:rPr>
                <w:rFonts w:ascii="Arial" w:cs="Arial" w:eastAsia="Arial" w:hAnsi="Arial"/>
                <w:sz w:val="14"/>
                <w:szCs w:val="14"/>
                <w:color w:val="0000EE"/>
              </w:rPr>
            </w:pPr>
            <w:hyperlink w:anchor="page31">
              <w:r>
                <w:rPr>
                  <w:rFonts w:ascii="Arial" w:cs="Arial" w:eastAsia="Arial" w:hAnsi="Arial"/>
                  <w:sz w:val="14"/>
                  <w:szCs w:val="14"/>
                  <w:color w:val="0000EE"/>
                </w:rPr>
                <w:t>Note 14: Segment Information</w:t>
              </w:r>
            </w:hyperlink>
          </w:p>
        </w:tc>
        <w:tc>
          <w:tcPr>
            <w:tcW w:w="160" w:type="dxa"/>
            <w:vAlign w:val="bottom"/>
          </w:tcPr>
          <w:p>
            <w:pPr>
              <w:jc w:val="right"/>
              <w:spacing w:after="0"/>
              <w:rPr>
                <w:rFonts w:ascii="Arial" w:cs="Arial" w:eastAsia="Arial" w:hAnsi="Arial"/>
                <w:sz w:val="14"/>
                <w:szCs w:val="14"/>
                <w:color w:val="0000EE"/>
                <w:w w:val="89"/>
              </w:rPr>
            </w:pPr>
            <w:hyperlink w:anchor="page31">
              <w:r>
                <w:rPr>
                  <w:rFonts w:ascii="Arial" w:cs="Arial" w:eastAsia="Arial" w:hAnsi="Arial"/>
                  <w:sz w:val="14"/>
                  <w:szCs w:val="14"/>
                  <w:color w:val="0000EE"/>
                  <w:w w:val="89"/>
                </w:rPr>
                <w:t>31</w:t>
              </w:r>
            </w:hyperlink>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360" w:type="dxa"/>
            <w:vAlign w:val="bottom"/>
            <w:gridSpan w:val="24"/>
          </w:tcPr>
          <w:p>
            <w:pPr>
              <w:spacing w:after="0"/>
              <w:rPr>
                <w:rFonts w:ascii="Arial" w:cs="Arial" w:eastAsia="Arial" w:hAnsi="Arial"/>
                <w:sz w:val="14"/>
                <w:szCs w:val="14"/>
                <w:color w:val="0000EE"/>
              </w:rPr>
            </w:pPr>
            <w:hyperlink w:anchor="page41">
              <w:r>
                <w:rPr>
                  <w:rFonts w:ascii="Arial" w:cs="Arial" w:eastAsia="Arial" w:hAnsi="Arial"/>
                  <w:sz w:val="14"/>
                  <w:szCs w:val="14"/>
                  <w:color w:val="0000EE"/>
                </w:rPr>
                <w:t>Note 15: Earnings per Share and Equity</w:t>
              </w:r>
            </w:hyperlink>
          </w:p>
        </w:tc>
        <w:tc>
          <w:tcPr>
            <w:tcW w:w="160" w:type="dxa"/>
            <w:vAlign w:val="bottom"/>
          </w:tcPr>
          <w:p>
            <w:pPr>
              <w:jc w:val="right"/>
              <w:spacing w:after="0"/>
              <w:rPr>
                <w:rFonts w:ascii="Arial" w:cs="Arial" w:eastAsia="Arial" w:hAnsi="Arial"/>
                <w:sz w:val="14"/>
                <w:szCs w:val="14"/>
                <w:color w:val="0000EE"/>
                <w:w w:val="89"/>
              </w:rPr>
            </w:pPr>
            <w:hyperlink w:anchor="page41">
              <w:r>
                <w:rPr>
                  <w:rFonts w:ascii="Arial" w:cs="Arial" w:eastAsia="Arial" w:hAnsi="Arial"/>
                  <w:sz w:val="14"/>
                  <w:szCs w:val="14"/>
                  <w:color w:val="0000EE"/>
                  <w:w w:val="89"/>
                </w:rPr>
                <w:t>41</w:t>
              </w:r>
            </w:hyperlink>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360" w:type="dxa"/>
            <w:vAlign w:val="bottom"/>
            <w:gridSpan w:val="24"/>
          </w:tcPr>
          <w:p>
            <w:pPr>
              <w:spacing w:after="0"/>
              <w:rPr>
                <w:rFonts w:ascii="Arial" w:cs="Arial" w:eastAsia="Arial" w:hAnsi="Arial"/>
                <w:sz w:val="14"/>
                <w:szCs w:val="14"/>
                <w:color w:val="0000EE"/>
              </w:rPr>
            </w:pPr>
            <w:hyperlink w:anchor="page42">
              <w:r>
                <w:rPr>
                  <w:rFonts w:ascii="Arial" w:cs="Arial" w:eastAsia="Arial" w:hAnsi="Arial"/>
                  <w:sz w:val="14"/>
                  <w:szCs w:val="14"/>
                  <w:color w:val="0000EE"/>
                </w:rPr>
                <w:t>Note 16: Commitments and Contingencies</w:t>
              </w:r>
            </w:hyperlink>
          </w:p>
        </w:tc>
        <w:tc>
          <w:tcPr>
            <w:tcW w:w="160" w:type="dxa"/>
            <w:vAlign w:val="bottom"/>
          </w:tcPr>
          <w:p>
            <w:pPr>
              <w:jc w:val="right"/>
              <w:spacing w:after="0"/>
              <w:rPr>
                <w:rFonts w:ascii="Arial" w:cs="Arial" w:eastAsia="Arial" w:hAnsi="Arial"/>
                <w:sz w:val="14"/>
                <w:szCs w:val="14"/>
                <w:color w:val="0000EE"/>
                <w:w w:val="89"/>
              </w:rPr>
            </w:pPr>
            <w:hyperlink w:anchor="page42">
              <w:r>
                <w:rPr>
                  <w:rFonts w:ascii="Arial" w:cs="Arial" w:eastAsia="Arial" w:hAnsi="Arial"/>
                  <w:sz w:val="14"/>
                  <w:szCs w:val="14"/>
                  <w:color w:val="0000EE"/>
                  <w:w w:val="89"/>
                </w:rPr>
                <w:t>42</w:t>
              </w:r>
            </w:hyperlink>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40" w:type="dxa"/>
            <w:vAlign w:val="bottom"/>
            <w:tcBorders>
              <w:top w:val="single" w:sz="8" w:color="0000EE"/>
              <w:bottom w:val="single" w:sz="8" w:color="0000EE"/>
            </w:tcBorders>
            <w:gridSpan w:val="10"/>
          </w:tcPr>
          <w:p>
            <w:pPr>
              <w:spacing w:after="0"/>
              <w:rPr>
                <w:rFonts w:ascii="Arial" w:cs="Arial" w:eastAsia="Arial" w:hAnsi="Arial"/>
                <w:sz w:val="14"/>
                <w:szCs w:val="14"/>
                <w:color w:val="0000EE"/>
              </w:rPr>
            </w:pPr>
            <w:hyperlink w:anchor="page42">
              <w:r>
                <w:rPr>
                  <w:rFonts w:ascii="Arial" w:cs="Arial" w:eastAsia="Arial" w:hAnsi="Arial"/>
                  <w:sz w:val="14"/>
                  <w:szCs w:val="14"/>
                  <w:color w:val="0000EE"/>
                </w:rPr>
                <w:t>Note 17: Subsequent Events</w:t>
              </w:r>
            </w:hyperlink>
          </w:p>
        </w:tc>
        <w:tc>
          <w:tcPr>
            <w:tcW w:w="860" w:type="dxa"/>
            <w:vAlign w:val="bottom"/>
            <w:tcBorders>
              <w:top w:val="single" w:sz="8" w:color="0000EE"/>
            </w:tcBorders>
            <w:gridSpan w:val="6"/>
          </w:tcPr>
          <w:p>
            <w:pPr>
              <w:spacing w:after="0"/>
              <w:rPr>
                <w:sz w:val="21"/>
                <w:szCs w:val="21"/>
                <w:color w:val="auto"/>
              </w:rPr>
            </w:pPr>
          </w:p>
        </w:tc>
        <w:tc>
          <w:tcPr>
            <w:tcW w:w="6660" w:type="dxa"/>
            <w:vAlign w:val="bottom"/>
            <w:gridSpan w:val="8"/>
          </w:tcPr>
          <w:p>
            <w:pPr>
              <w:spacing w:after="0"/>
              <w:rPr>
                <w:sz w:val="21"/>
                <w:szCs w:val="21"/>
                <w:color w:val="auto"/>
              </w:rPr>
            </w:pPr>
          </w:p>
        </w:tc>
        <w:tc>
          <w:tcPr>
            <w:tcW w:w="160" w:type="dxa"/>
            <w:vAlign w:val="bottom"/>
            <w:tcBorders>
              <w:top w:val="single" w:sz="8" w:color="0000EE"/>
              <w:bottom w:val="single" w:sz="8" w:color="0000EE"/>
            </w:tcBorders>
          </w:tcPr>
          <w:p>
            <w:pPr>
              <w:jc w:val="right"/>
              <w:spacing w:after="0"/>
              <w:rPr>
                <w:rFonts w:ascii="Arial" w:cs="Arial" w:eastAsia="Arial" w:hAnsi="Arial"/>
                <w:sz w:val="14"/>
                <w:szCs w:val="14"/>
                <w:color w:val="0000EE"/>
                <w:w w:val="89"/>
              </w:rPr>
            </w:pPr>
            <w:hyperlink w:anchor="page42">
              <w:r>
                <w:rPr>
                  <w:rFonts w:ascii="Arial" w:cs="Arial" w:eastAsia="Arial" w:hAnsi="Arial"/>
                  <w:sz w:val="14"/>
                  <w:szCs w:val="14"/>
                  <w:color w:val="0000EE"/>
                  <w:w w:val="89"/>
                </w:rPr>
                <w:t>42</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2.</w:t>
            </w:r>
          </w:p>
        </w:tc>
        <w:tc>
          <w:tcPr>
            <w:tcW w:w="5660" w:type="dxa"/>
            <w:vAlign w:val="bottom"/>
            <w:tcBorders>
              <w:bottom w:val="single" w:sz="8" w:color="0000EE"/>
            </w:tcBorders>
            <w:gridSpan w:val="25"/>
          </w:tcPr>
          <w:p>
            <w:pPr>
              <w:spacing w:after="0"/>
              <w:rPr>
                <w:rFonts w:ascii="Arial" w:cs="Arial" w:eastAsia="Arial" w:hAnsi="Arial"/>
                <w:sz w:val="14"/>
                <w:szCs w:val="14"/>
                <w:color w:val="0000EE"/>
              </w:rPr>
            </w:pPr>
            <w:hyperlink w:anchor="page43">
              <w:r>
                <w:rPr>
                  <w:rFonts w:ascii="Arial" w:cs="Arial" w:eastAsia="Arial" w:hAnsi="Arial"/>
                  <w:sz w:val="14"/>
                  <w:szCs w:val="14"/>
                  <w:color w:val="0000EE"/>
                </w:rPr>
                <w:t>Management’s Discussion and Analysis of Financial Condition and Results of Operations</w:t>
              </w:r>
            </w:hyperlink>
          </w:p>
        </w:tc>
        <w:tc>
          <w:tcPr>
            <w:tcW w:w="4260" w:type="dxa"/>
            <w:vAlign w:val="bottom"/>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43">
              <w:r>
                <w:rPr>
                  <w:rFonts w:ascii="Arial" w:cs="Arial" w:eastAsia="Arial" w:hAnsi="Arial"/>
                  <w:sz w:val="14"/>
                  <w:szCs w:val="14"/>
                  <w:color w:val="0000EE"/>
                  <w:w w:val="89"/>
                </w:rPr>
                <w:t>43</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9920" w:type="dxa"/>
            <w:vAlign w:val="bottom"/>
            <w:gridSpan w:val="26"/>
          </w:tcPr>
          <w:p>
            <w:pPr>
              <w:spacing w:after="0"/>
              <w:rPr>
                <w:rFonts w:ascii="Arial" w:cs="Arial" w:eastAsia="Arial" w:hAnsi="Arial"/>
                <w:sz w:val="14"/>
                <w:szCs w:val="14"/>
                <w:color w:val="0000EE"/>
              </w:rPr>
            </w:pPr>
            <w:hyperlink w:anchor="page70">
              <w:r>
                <w:rPr>
                  <w:rFonts w:ascii="Arial" w:cs="Arial" w:eastAsia="Arial" w:hAnsi="Arial"/>
                  <w:sz w:val="14"/>
                  <w:szCs w:val="14"/>
                  <w:color w:val="0000EE"/>
                </w:rPr>
                <w:t>Quantitative and Qualitative Disclosures About Market Risk</w:t>
              </w:r>
            </w:hyperlink>
          </w:p>
        </w:tc>
        <w:tc>
          <w:tcPr>
            <w:tcW w:w="160" w:type="dxa"/>
            <w:vAlign w:val="bottom"/>
          </w:tcPr>
          <w:p>
            <w:pPr>
              <w:jc w:val="right"/>
              <w:spacing w:after="0"/>
              <w:rPr>
                <w:rFonts w:ascii="Arial" w:cs="Arial" w:eastAsia="Arial" w:hAnsi="Arial"/>
                <w:sz w:val="14"/>
                <w:szCs w:val="14"/>
                <w:color w:val="0000EE"/>
                <w:w w:val="89"/>
              </w:rPr>
            </w:pPr>
            <w:hyperlink w:anchor="page70">
              <w:r>
                <w:rPr>
                  <w:rFonts w:ascii="Arial" w:cs="Arial" w:eastAsia="Arial" w:hAnsi="Arial"/>
                  <w:sz w:val="14"/>
                  <w:szCs w:val="14"/>
                  <w:color w:val="0000EE"/>
                  <w:w w:val="89"/>
                </w:rPr>
                <w:t>70</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3760" w:type="dxa"/>
            <w:vAlign w:val="bottom"/>
            <w:tcBorders>
              <w:top w:val="single" w:sz="8" w:color="0000EE"/>
            </w:tcBorders>
            <w:gridSpan w:val="21"/>
          </w:tcPr>
          <w:p>
            <w:pPr>
              <w:spacing w:after="0"/>
              <w:rPr>
                <w:rFonts w:ascii="Arial" w:cs="Arial" w:eastAsia="Arial" w:hAnsi="Arial"/>
                <w:sz w:val="14"/>
                <w:szCs w:val="14"/>
                <w:color w:val="0000EE"/>
              </w:rPr>
            </w:pPr>
            <w:hyperlink w:anchor="page71">
              <w:r>
                <w:rPr>
                  <w:rFonts w:ascii="Arial" w:cs="Arial" w:eastAsia="Arial" w:hAnsi="Arial"/>
                  <w:sz w:val="14"/>
                  <w:szCs w:val="14"/>
                  <w:color w:val="0000EE"/>
                </w:rPr>
                <w:t>Controls and Procedures</w:t>
              </w:r>
            </w:hyperlink>
          </w:p>
        </w:tc>
        <w:tc>
          <w:tcPr>
            <w:tcW w:w="6160" w:type="dxa"/>
            <w:vAlign w:val="bottom"/>
            <w:gridSpan w:val="5"/>
          </w:tcPr>
          <w:p>
            <w:pPr>
              <w:spacing w:after="0"/>
              <w:rPr>
                <w:sz w:val="17"/>
                <w:szCs w:val="17"/>
                <w:color w:val="auto"/>
              </w:rPr>
            </w:pPr>
          </w:p>
        </w:tc>
        <w:tc>
          <w:tcPr>
            <w:tcW w:w="160" w:type="dxa"/>
            <w:vAlign w:val="bottom"/>
            <w:tcBorders>
              <w:top w:val="single" w:sz="8" w:color="0000EE"/>
            </w:tcBorders>
          </w:tcPr>
          <w:p>
            <w:pPr>
              <w:jc w:val="right"/>
              <w:spacing w:after="0"/>
              <w:rPr>
                <w:rFonts w:ascii="Arial" w:cs="Arial" w:eastAsia="Arial" w:hAnsi="Arial"/>
                <w:sz w:val="14"/>
                <w:szCs w:val="14"/>
                <w:color w:val="0000EE"/>
                <w:w w:val="89"/>
              </w:rPr>
            </w:pPr>
            <w:hyperlink w:anchor="page71">
              <w:r>
                <w:rPr>
                  <w:rFonts w:ascii="Arial" w:cs="Arial" w:eastAsia="Arial" w:hAnsi="Arial"/>
                  <w:sz w:val="14"/>
                  <w:szCs w:val="14"/>
                  <w:color w:val="0000EE"/>
                  <w:w w:val="89"/>
                </w:rPr>
                <w:t>71</w:t>
              </w:r>
            </w:hyperlink>
          </w:p>
        </w:tc>
      </w:tr>
      <w:tr>
        <w:trPr>
          <w:trHeight w:val="549"/>
        </w:trPr>
        <w:tc>
          <w:tcPr>
            <w:tcW w:w="10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60" w:type="dxa"/>
            <w:vAlign w:val="bottom"/>
            <w:gridSpan w:val="6"/>
          </w:tcPr>
          <w:p>
            <w:pPr>
              <w:ind w:left="360"/>
              <w:spacing w:after="0"/>
              <w:rPr>
                <w:sz w:val="20"/>
                <w:szCs w:val="20"/>
                <w:color w:val="auto"/>
              </w:rPr>
            </w:pPr>
            <w:r>
              <w:rPr>
                <w:rFonts w:ascii="Arial" w:cs="Arial" w:eastAsia="Arial" w:hAnsi="Arial"/>
                <w:sz w:val="14"/>
                <w:szCs w:val="14"/>
                <w:b w:val="1"/>
                <w:bCs w:val="1"/>
                <w:color w:val="006EBF"/>
              </w:rPr>
              <w:t>PART II - OTHER INFORMATION</w:t>
            </w:r>
          </w:p>
        </w:tc>
        <w:tc>
          <w:tcPr>
            <w:tcW w:w="160" w:type="dxa"/>
            <w:vAlign w:val="bottom"/>
            <w:tcBorders>
              <w:top w:val="single" w:sz="8" w:color="0000EE"/>
            </w:tcBorders>
          </w:tcPr>
          <w:p>
            <w:pPr>
              <w:spacing w:after="0"/>
              <w:rPr>
                <w:sz w:val="24"/>
                <w:szCs w:val="24"/>
                <w:color w:val="auto"/>
              </w:rPr>
            </w:pPr>
          </w:p>
        </w:tc>
      </w:tr>
      <w:tr>
        <w:trPr>
          <w:trHeight w:val="188"/>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1.</w:t>
            </w:r>
          </w:p>
        </w:tc>
        <w:tc>
          <w:tcPr>
            <w:tcW w:w="9920" w:type="dxa"/>
            <w:vAlign w:val="bottom"/>
            <w:gridSpan w:val="26"/>
          </w:tcPr>
          <w:p>
            <w:pPr>
              <w:spacing w:after="0"/>
              <w:rPr>
                <w:rFonts w:ascii="Arial" w:cs="Arial" w:eastAsia="Arial" w:hAnsi="Arial"/>
                <w:sz w:val="14"/>
                <w:szCs w:val="14"/>
                <w:color w:val="0000EE"/>
              </w:rPr>
            </w:pPr>
            <w:hyperlink w:anchor="page72">
              <w:r>
                <w:rPr>
                  <w:rFonts w:ascii="Arial" w:cs="Arial" w:eastAsia="Arial" w:hAnsi="Arial"/>
                  <w:sz w:val="14"/>
                  <w:szCs w:val="14"/>
                  <w:color w:val="0000EE"/>
                </w:rPr>
                <w:t>Legal Proceedings</w:t>
              </w:r>
            </w:hyperlink>
          </w:p>
        </w:tc>
        <w:tc>
          <w:tcPr>
            <w:tcW w:w="160" w:type="dxa"/>
            <w:vAlign w:val="bottom"/>
          </w:tcPr>
          <w:p>
            <w:pPr>
              <w:jc w:val="right"/>
              <w:spacing w:after="0"/>
              <w:rPr>
                <w:rFonts w:ascii="Arial" w:cs="Arial" w:eastAsia="Arial" w:hAnsi="Arial"/>
                <w:sz w:val="14"/>
                <w:szCs w:val="14"/>
                <w:color w:val="0000EE"/>
                <w:w w:val="89"/>
              </w:rPr>
            </w:pPr>
            <w:hyperlink w:anchor="page72">
              <w:r>
                <w:rPr>
                  <w:rFonts w:ascii="Arial" w:cs="Arial" w:eastAsia="Arial" w:hAnsi="Arial"/>
                  <w:sz w:val="14"/>
                  <w:szCs w:val="14"/>
                  <w:color w:val="0000EE"/>
                  <w:w w:val="89"/>
                </w:rPr>
                <w:t>72</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1A.</w:t>
            </w:r>
          </w:p>
        </w:tc>
        <w:tc>
          <w:tcPr>
            <w:tcW w:w="800" w:type="dxa"/>
            <w:vAlign w:val="bottom"/>
            <w:tcBorders>
              <w:top w:val="single" w:sz="8" w:color="0000EE"/>
              <w:bottom w:val="single" w:sz="8" w:color="0000EE"/>
            </w:tcBorders>
            <w:gridSpan w:val="3"/>
          </w:tcPr>
          <w:p>
            <w:pPr>
              <w:spacing w:after="0"/>
              <w:rPr>
                <w:rFonts w:ascii="Arial" w:cs="Arial" w:eastAsia="Arial" w:hAnsi="Arial"/>
                <w:sz w:val="14"/>
                <w:szCs w:val="14"/>
                <w:color w:val="0000EE"/>
              </w:rPr>
            </w:pPr>
            <w:hyperlink w:anchor="page72">
              <w:r>
                <w:rPr>
                  <w:rFonts w:ascii="Arial" w:cs="Arial" w:eastAsia="Arial" w:hAnsi="Arial"/>
                  <w:sz w:val="14"/>
                  <w:szCs w:val="14"/>
                  <w:color w:val="0000EE"/>
                </w:rPr>
                <w:t>Risk Factors</w:t>
              </w:r>
            </w:hyperlink>
          </w:p>
        </w:tc>
        <w:tc>
          <w:tcPr>
            <w:tcW w:w="380" w:type="dxa"/>
            <w:vAlign w:val="bottom"/>
            <w:tcBorders>
              <w:top w:val="single" w:sz="8" w:color="0000EE"/>
            </w:tcBorders>
            <w:gridSpan w:val="2"/>
          </w:tcPr>
          <w:p>
            <w:pPr>
              <w:spacing w:after="0"/>
              <w:rPr>
                <w:sz w:val="17"/>
                <w:szCs w:val="17"/>
                <w:color w:val="auto"/>
              </w:rPr>
            </w:pPr>
          </w:p>
        </w:tc>
        <w:tc>
          <w:tcPr>
            <w:tcW w:w="8740" w:type="dxa"/>
            <w:vAlign w:val="bottom"/>
            <w:gridSpan w:val="21"/>
          </w:tcPr>
          <w:p>
            <w:pPr>
              <w:spacing w:after="0"/>
              <w:rPr>
                <w:sz w:val="17"/>
                <w:szCs w:val="17"/>
                <w:color w:val="auto"/>
              </w:rPr>
            </w:pPr>
          </w:p>
        </w:tc>
        <w:tc>
          <w:tcPr>
            <w:tcW w:w="160" w:type="dxa"/>
            <w:vAlign w:val="bottom"/>
            <w:tcBorders>
              <w:top w:val="single" w:sz="8" w:color="0000EE"/>
              <w:bottom w:val="single" w:sz="8" w:color="0000EE"/>
            </w:tcBorders>
          </w:tcPr>
          <w:p>
            <w:pPr>
              <w:jc w:val="right"/>
              <w:spacing w:after="0"/>
              <w:rPr>
                <w:rFonts w:ascii="Arial" w:cs="Arial" w:eastAsia="Arial" w:hAnsi="Arial"/>
                <w:sz w:val="14"/>
                <w:szCs w:val="14"/>
                <w:color w:val="0000EE"/>
                <w:w w:val="89"/>
              </w:rPr>
            </w:pPr>
            <w:hyperlink w:anchor="page72">
              <w:r>
                <w:rPr>
                  <w:rFonts w:ascii="Arial" w:cs="Arial" w:eastAsia="Arial" w:hAnsi="Arial"/>
                  <w:sz w:val="14"/>
                  <w:szCs w:val="14"/>
                  <w:color w:val="0000EE"/>
                  <w:w w:val="89"/>
                </w:rPr>
                <w:t>72</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2.</w:t>
            </w:r>
          </w:p>
        </w:tc>
        <w:tc>
          <w:tcPr>
            <w:tcW w:w="3880" w:type="dxa"/>
            <w:vAlign w:val="bottom"/>
            <w:tcBorders>
              <w:bottom w:val="single" w:sz="8" w:color="0000EE"/>
            </w:tcBorders>
            <w:gridSpan w:val="23"/>
          </w:tcPr>
          <w:p>
            <w:pPr>
              <w:spacing w:after="0"/>
              <w:rPr>
                <w:rFonts w:ascii="Arial" w:cs="Arial" w:eastAsia="Arial" w:hAnsi="Arial"/>
                <w:sz w:val="14"/>
                <w:szCs w:val="14"/>
                <w:color w:val="0000EE"/>
              </w:rPr>
            </w:pPr>
            <w:hyperlink w:anchor="page94">
              <w:r>
                <w:rPr>
                  <w:rFonts w:ascii="Arial" w:cs="Arial" w:eastAsia="Arial" w:hAnsi="Arial"/>
                  <w:sz w:val="14"/>
                  <w:szCs w:val="14"/>
                  <w:color w:val="0000EE"/>
                </w:rPr>
                <w:t>Unregistered Sales of Equity Securities and Use of Proceeds</w:t>
              </w:r>
            </w:hyperlink>
          </w:p>
        </w:tc>
        <w:tc>
          <w:tcPr>
            <w:tcW w:w="6040" w:type="dxa"/>
            <w:vAlign w:val="bottom"/>
            <w:gridSpan w:val="3"/>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94">
              <w:r>
                <w:rPr>
                  <w:rFonts w:ascii="Arial" w:cs="Arial" w:eastAsia="Arial" w:hAnsi="Arial"/>
                  <w:sz w:val="14"/>
                  <w:szCs w:val="14"/>
                  <w:color w:val="0000EE"/>
                  <w:w w:val="89"/>
                </w:rPr>
                <w:t>94</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2040" w:type="dxa"/>
            <w:vAlign w:val="bottom"/>
            <w:tcBorders>
              <w:bottom w:val="single" w:sz="8" w:color="0000EE"/>
            </w:tcBorders>
            <w:gridSpan w:val="10"/>
          </w:tcPr>
          <w:p>
            <w:pPr>
              <w:spacing w:after="0"/>
              <w:rPr>
                <w:rFonts w:ascii="Arial" w:cs="Arial" w:eastAsia="Arial" w:hAnsi="Arial"/>
                <w:sz w:val="14"/>
                <w:szCs w:val="14"/>
                <w:color w:val="0000EE"/>
              </w:rPr>
            </w:pPr>
            <w:hyperlink w:anchor="page94">
              <w:r>
                <w:rPr>
                  <w:rFonts w:ascii="Arial" w:cs="Arial" w:eastAsia="Arial" w:hAnsi="Arial"/>
                  <w:sz w:val="14"/>
                  <w:szCs w:val="14"/>
                  <w:color w:val="0000EE"/>
                </w:rPr>
                <w:t>Defaults Upon Senior Securities</w:t>
              </w:r>
            </w:hyperlink>
          </w:p>
        </w:tc>
        <w:tc>
          <w:tcPr>
            <w:tcW w:w="7880" w:type="dxa"/>
            <w:vAlign w:val="bottom"/>
            <w:gridSpan w:val="16"/>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94">
              <w:r>
                <w:rPr>
                  <w:rFonts w:ascii="Arial" w:cs="Arial" w:eastAsia="Arial" w:hAnsi="Arial"/>
                  <w:sz w:val="14"/>
                  <w:szCs w:val="14"/>
                  <w:color w:val="0000EE"/>
                  <w:w w:val="89"/>
                </w:rPr>
                <w:t>94</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1540" w:type="dxa"/>
            <w:vAlign w:val="bottom"/>
            <w:tcBorders>
              <w:bottom w:val="single" w:sz="8" w:color="0000EE"/>
            </w:tcBorders>
            <w:gridSpan w:val="6"/>
          </w:tcPr>
          <w:p>
            <w:pPr>
              <w:spacing w:after="0"/>
              <w:rPr>
                <w:rFonts w:ascii="Arial" w:cs="Arial" w:eastAsia="Arial" w:hAnsi="Arial"/>
                <w:sz w:val="14"/>
                <w:szCs w:val="14"/>
                <w:color w:val="0000EE"/>
              </w:rPr>
            </w:pPr>
            <w:hyperlink w:anchor="page94">
              <w:r>
                <w:rPr>
                  <w:rFonts w:ascii="Arial" w:cs="Arial" w:eastAsia="Arial" w:hAnsi="Arial"/>
                  <w:sz w:val="14"/>
                  <w:szCs w:val="14"/>
                  <w:color w:val="0000EE"/>
                </w:rPr>
                <w:t>Mine Safety Disclosures</w:t>
              </w:r>
            </w:hyperlink>
          </w:p>
        </w:tc>
        <w:tc>
          <w:tcPr>
            <w:tcW w:w="8380" w:type="dxa"/>
            <w:vAlign w:val="bottom"/>
            <w:gridSpan w:val="20"/>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94">
              <w:r>
                <w:rPr>
                  <w:rFonts w:ascii="Arial" w:cs="Arial" w:eastAsia="Arial" w:hAnsi="Arial"/>
                  <w:sz w:val="14"/>
                  <w:szCs w:val="14"/>
                  <w:color w:val="0000EE"/>
                  <w:w w:val="89"/>
                </w:rPr>
                <w:t>94</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5.</w:t>
            </w:r>
          </w:p>
        </w:tc>
        <w:tc>
          <w:tcPr>
            <w:tcW w:w="1120" w:type="dxa"/>
            <w:vAlign w:val="bottom"/>
            <w:tcBorders>
              <w:bottom w:val="single" w:sz="8" w:color="0000EE"/>
            </w:tcBorders>
            <w:gridSpan w:val="4"/>
          </w:tcPr>
          <w:p>
            <w:pPr>
              <w:spacing w:after="0"/>
              <w:rPr>
                <w:rFonts w:ascii="Arial" w:cs="Arial" w:eastAsia="Arial" w:hAnsi="Arial"/>
                <w:sz w:val="14"/>
                <w:szCs w:val="14"/>
                <w:color w:val="0000EE"/>
              </w:rPr>
            </w:pPr>
            <w:hyperlink w:anchor="page94">
              <w:r>
                <w:rPr>
                  <w:rFonts w:ascii="Arial" w:cs="Arial" w:eastAsia="Arial" w:hAnsi="Arial"/>
                  <w:sz w:val="14"/>
                  <w:szCs w:val="14"/>
                  <w:color w:val="0000EE"/>
                </w:rPr>
                <w:t>Other Information</w:t>
              </w:r>
            </w:hyperlink>
          </w:p>
        </w:tc>
        <w:tc>
          <w:tcPr>
            <w:tcW w:w="8800" w:type="dxa"/>
            <w:vAlign w:val="bottom"/>
            <w:gridSpan w:val="22"/>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94">
              <w:r>
                <w:rPr>
                  <w:rFonts w:ascii="Arial" w:cs="Arial" w:eastAsia="Arial" w:hAnsi="Arial"/>
                  <w:sz w:val="14"/>
                  <w:szCs w:val="14"/>
                  <w:color w:val="0000EE"/>
                  <w:w w:val="89"/>
                </w:rPr>
                <w:t>94</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6.</w:t>
            </w:r>
          </w:p>
        </w:tc>
        <w:tc>
          <w:tcPr>
            <w:tcW w:w="500" w:type="dxa"/>
            <w:vAlign w:val="bottom"/>
            <w:tcBorders>
              <w:bottom w:val="single" w:sz="8" w:color="0000EE"/>
            </w:tcBorders>
          </w:tcPr>
          <w:p>
            <w:pPr>
              <w:spacing w:after="0"/>
              <w:rPr>
                <w:rFonts w:ascii="Arial" w:cs="Arial" w:eastAsia="Arial" w:hAnsi="Arial"/>
                <w:sz w:val="14"/>
                <w:szCs w:val="14"/>
                <w:color w:val="0000EE"/>
                <w:w w:val="97"/>
              </w:rPr>
            </w:pPr>
            <w:hyperlink w:anchor="page94">
              <w:r>
                <w:rPr>
                  <w:rFonts w:ascii="Arial" w:cs="Arial" w:eastAsia="Arial" w:hAnsi="Arial"/>
                  <w:sz w:val="14"/>
                  <w:szCs w:val="14"/>
                  <w:color w:val="0000EE"/>
                  <w:w w:val="97"/>
                </w:rPr>
                <w:t>Exhibits</w:t>
              </w:r>
            </w:hyperlink>
          </w:p>
        </w:tc>
        <w:tc>
          <w:tcPr>
            <w:tcW w:w="9420" w:type="dxa"/>
            <w:vAlign w:val="bottom"/>
            <w:gridSpan w:val="25"/>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94">
              <w:r>
                <w:rPr>
                  <w:rFonts w:ascii="Arial" w:cs="Arial" w:eastAsia="Arial" w:hAnsi="Arial"/>
                  <w:sz w:val="14"/>
                  <w:szCs w:val="14"/>
                  <w:color w:val="0000EE"/>
                  <w:w w:val="89"/>
                </w:rPr>
                <w:t>94</w:t>
              </w:r>
            </w:hyperlink>
          </w:p>
        </w:tc>
      </w:tr>
    </w:tbl>
    <w:p>
      <w:pPr>
        <w:spacing w:after="0" w:line="200" w:lineRule="exact"/>
        <w:rPr>
          <w:sz w:val="20"/>
          <w:szCs w:val="20"/>
          <w:color w:val="auto"/>
        </w:rPr>
      </w:pP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120"/>
          </w:cols>
          <w:pgMar w:left="280" w:top="661" w:right="4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006EBF"/>
        </w:rPr>
        <w:t>PART I—FINANCIAL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Financial Statements</w:t>
      </w:r>
    </w:p>
    <w:p>
      <w:pPr>
        <w:spacing w:after="0" w:line="248" w:lineRule="exact"/>
        <w:rPr>
          <w:sz w:val="20"/>
          <w:szCs w:val="20"/>
          <w:color w:val="auto"/>
        </w:rPr>
      </w:pPr>
    </w:p>
    <w:p>
      <w:pPr>
        <w:ind w:right="3820"/>
        <w:spacing w:after="0" w:line="376" w:lineRule="auto"/>
        <w:rPr>
          <w:sz w:val="20"/>
          <w:szCs w:val="20"/>
          <w:color w:val="auto"/>
        </w:rPr>
      </w:pPr>
      <w:r>
        <w:rPr>
          <w:rFonts w:ascii="Arial" w:cs="Arial" w:eastAsia="Arial" w:hAnsi="Arial"/>
          <w:sz w:val="22"/>
          <w:szCs w:val="22"/>
          <w:b w:val="1"/>
          <w:bCs w:val="1"/>
          <w:color w:val="00497F"/>
        </w:rPr>
        <w:t>FORTRESS TRANSPORTATION AND INFRASTRUCTURE INVESTORS LLC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23"/>
                <w:szCs w:val="23"/>
                <w:color w:val="auto"/>
              </w:rPr>
            </w:pPr>
          </w:p>
        </w:tc>
        <w:tc>
          <w:tcPr>
            <w:tcW w:w="1440" w:type="dxa"/>
            <w:vAlign w:val="bottom"/>
          </w:tcPr>
          <w:p>
            <w:pPr>
              <w:jc w:val="right"/>
              <w:ind w:right="30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22"/>
        </w:trPr>
        <w:tc>
          <w:tcPr>
            <w:tcW w:w="708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 except share and per share data)</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Notes</w:t>
            </w:r>
          </w:p>
        </w:tc>
        <w:tc>
          <w:tcPr>
            <w:tcW w:w="240" w:type="dxa"/>
            <w:vAlign w:val="bottom"/>
          </w:tcPr>
          <w:p>
            <w:pPr>
              <w:spacing w:after="0"/>
              <w:rPr>
                <w:sz w:val="19"/>
                <w:szCs w:val="19"/>
                <w:color w:val="auto"/>
              </w:rPr>
            </w:pPr>
          </w:p>
        </w:tc>
        <w:tc>
          <w:tcPr>
            <w:tcW w:w="1480" w:type="dxa"/>
            <w:vAlign w:val="bottom"/>
          </w:tcPr>
          <w:p>
            <w:pPr>
              <w:jc w:val="center"/>
              <w:ind w:right="1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6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6"/>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Cash and cash equivalents</w:t>
            </w:r>
          </w:p>
        </w:tc>
        <w:tc>
          <w:tcPr>
            <w:tcW w:w="70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b w:val="1"/>
                <w:bCs w:val="1"/>
                <w:color w:val="auto"/>
              </w:rPr>
              <w:t>163,145</w:t>
            </w:r>
          </w:p>
        </w:tc>
        <w:tc>
          <w:tcPr>
            <w:tcW w:w="12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59,400</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Restricted cash</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22,355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33,406</w:t>
            </w: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Accounts receivable, net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b w:val="1"/>
                <w:bCs w:val="1"/>
                <w:color w:val="auto"/>
              </w:rPr>
              <w:t>50,002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31,076</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Leasing equipment, net</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1,284,057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1,074,130</w:t>
            </w: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Finance leases, net</w:t>
            </w:r>
          </w:p>
        </w:tc>
        <w:tc>
          <w:tcPr>
            <w:tcW w:w="700" w:type="dxa"/>
            <w:vAlign w:val="bottom"/>
          </w:tcPr>
          <w:p>
            <w:pPr>
              <w:jc w:val="center"/>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b w:val="1"/>
                <w:bCs w:val="1"/>
                <w:color w:val="auto"/>
              </w:rPr>
              <w:t>16,950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9,244</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Property, plant, and equipment, net</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659,460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489,949</w:t>
            </w: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Investments</w:t>
            </w:r>
          </w:p>
        </w:tc>
        <w:tc>
          <w:tcPr>
            <w:tcW w:w="700" w:type="dxa"/>
            <w:vAlign w:val="bottom"/>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b w:val="1"/>
                <w:bCs w:val="1"/>
                <w:color w:val="auto"/>
              </w:rPr>
              <w:t>42,183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42,538</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Intangible assets, net</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35,653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40,043</w:t>
            </w: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Goodwill</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b w:val="1"/>
                <w:bCs w:val="1"/>
                <w:color w:val="auto"/>
              </w:rPr>
              <w:t>116,584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116,584</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assets</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82,772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59,436</w:t>
            </w: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assets</w:t>
            </w: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2,473,161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1,955,806</w:t>
            </w:r>
          </w:p>
        </w:tc>
        <w:tc>
          <w:tcPr>
            <w:tcW w:w="0" w:type="dxa"/>
            <w:vAlign w:val="bottom"/>
          </w:tcPr>
          <w:p>
            <w:pPr>
              <w:spacing w:after="0"/>
              <w:rPr>
                <w:sz w:val="1"/>
                <w:szCs w:val="1"/>
                <w:color w:val="auto"/>
              </w:rPr>
            </w:pPr>
          </w:p>
        </w:tc>
      </w:tr>
      <w:tr>
        <w:trPr>
          <w:trHeight w:val="197"/>
        </w:trPr>
        <w:tc>
          <w:tcPr>
            <w:tcW w:w="70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Liabilities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Accounts payable and accrued liabilities</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83,648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68,226</w:t>
            </w: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Debt, net</w:t>
            </w:r>
          </w:p>
        </w:tc>
        <w:tc>
          <w:tcPr>
            <w:tcW w:w="700" w:type="dxa"/>
            <w:vAlign w:val="bottom"/>
          </w:tcPr>
          <w:p>
            <w:pPr>
              <w:jc w:val="center"/>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b w:val="1"/>
                <w:bCs w:val="1"/>
                <w:color w:val="auto"/>
              </w:rPr>
              <w:t>1,137,867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703,264</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Maintenance deposits</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128,877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103,464</w:t>
            </w:r>
          </w:p>
        </w:tc>
        <w:tc>
          <w:tcPr>
            <w:tcW w:w="0" w:type="dxa"/>
            <w:vAlign w:val="bottom"/>
          </w:tcPr>
          <w:p>
            <w:pPr>
              <w:spacing w:after="0"/>
              <w:rPr>
                <w:sz w:val="1"/>
                <w:szCs w:val="1"/>
                <w:color w:val="auto"/>
              </w:rPr>
            </w:pP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Security deposits</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b w:val="1"/>
                <w:bCs w:val="1"/>
                <w:color w:val="auto"/>
              </w:rPr>
              <w:t>33,921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27,257</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liabilities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26,528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18,520</w:t>
            </w:r>
          </w:p>
        </w:tc>
        <w:tc>
          <w:tcPr>
            <w:tcW w:w="0" w:type="dxa"/>
            <w:vAlign w:val="bottom"/>
          </w:tcPr>
          <w:p>
            <w:pPr>
              <w:spacing w:after="0"/>
              <w:rPr>
                <w:sz w:val="1"/>
                <w:szCs w:val="1"/>
                <w:color w:val="auto"/>
              </w:rPr>
            </w:pPr>
          </w:p>
        </w:tc>
      </w:tr>
      <w:tr>
        <w:trPr>
          <w:trHeight w:val="210"/>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liabilities</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1,410,841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920,731</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Commitments and contingencies</w:t>
            </w:r>
          </w:p>
        </w:tc>
        <w:tc>
          <w:tcPr>
            <w:tcW w:w="700" w:type="dxa"/>
            <w:vAlign w:val="bottom"/>
          </w:tcPr>
          <w:p>
            <w:pPr>
              <w:jc w:val="center"/>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Equity</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Common shares ($0.01 par value per share; 2,000,000,000 shares authorized; 82,787,466 and</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75,771,738 shares issued and outstanding as of September 30, 2018 and December 31, 2017,</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828</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respectively)</w:t>
            </w: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758</w:t>
            </w: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Additional paid in capital</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b w:val="1"/>
                <w:bCs w:val="1"/>
                <w:color w:val="auto"/>
              </w:rPr>
              <w:t>1,037,513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985,009</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Accumulated deficit</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(33,854)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(38,699)</w:t>
            </w: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Accumulated other comprehensive income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70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Shareholders' equity</w:t>
            </w: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1,004,487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947,068</w:t>
            </w:r>
          </w:p>
        </w:tc>
        <w:tc>
          <w:tcPr>
            <w:tcW w:w="0" w:type="dxa"/>
            <w:vAlign w:val="bottom"/>
          </w:tcPr>
          <w:p>
            <w:pPr>
              <w:spacing w:after="0"/>
              <w:rPr>
                <w:sz w:val="1"/>
                <w:szCs w:val="1"/>
                <w:color w:val="auto"/>
              </w:rPr>
            </w:pPr>
          </w:p>
        </w:tc>
      </w:tr>
      <w:tr>
        <w:trPr>
          <w:trHeight w:val="210"/>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Non-controlling interest in equity of consolidated subsidiaries</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57,833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88,007</w:t>
            </w: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equity</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1,062,320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1,035,075</w:t>
            </w:r>
          </w:p>
        </w:tc>
        <w:tc>
          <w:tcPr>
            <w:tcW w:w="0" w:type="dxa"/>
            <w:vAlign w:val="bottom"/>
          </w:tcPr>
          <w:p>
            <w:pPr>
              <w:spacing w:after="0"/>
              <w:rPr>
                <w:sz w:val="1"/>
                <w:szCs w:val="1"/>
                <w:color w:val="auto"/>
              </w:rPr>
            </w:pPr>
          </w:p>
        </w:tc>
      </w:tr>
      <w:tr>
        <w:trPr>
          <w:trHeight w:val="216"/>
        </w:trPr>
        <w:tc>
          <w:tcPr>
            <w:tcW w:w="7080" w:type="dxa"/>
            <w:vAlign w:val="bottom"/>
          </w:tcPr>
          <w:p>
            <w:pPr>
              <w:ind w:left="500"/>
              <w:spacing w:after="0"/>
              <w:rPr>
                <w:sz w:val="20"/>
                <w:szCs w:val="20"/>
                <w:color w:val="auto"/>
              </w:rPr>
            </w:pPr>
            <w:r>
              <w:rPr>
                <w:rFonts w:ascii="Arial" w:cs="Arial" w:eastAsia="Arial" w:hAnsi="Arial"/>
                <w:sz w:val="14"/>
                <w:szCs w:val="14"/>
                <w:color w:val="auto"/>
              </w:rPr>
              <w:t>Total liabilities and equity</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2,473,161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1,955,806</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576" w:right="239" w:bottom="1440" w:gutter="0" w:footer="0" w:header="0"/>
        </w:sectPr>
      </w:pPr>
    </w:p>
    <w:bookmarkStart w:id="5" w:name="page6"/>
    <w:bookmarkEnd w:id="5"/>
    <w:p>
      <w:pPr>
        <w:ind w:right="3820"/>
        <w:spacing w:after="0" w:line="376" w:lineRule="auto"/>
        <w:rPr>
          <w:sz w:val="20"/>
          <w:szCs w:val="20"/>
          <w:color w:val="auto"/>
        </w:rPr>
      </w:pPr>
      <w:r>
        <w:rPr>
          <w:rFonts w:ascii="Arial" w:cs="Arial" w:eastAsia="Arial" w:hAnsi="Arial"/>
          <w:sz w:val="22"/>
          <w:szCs w:val="22"/>
          <w:b w:val="1"/>
          <w:bCs w:val="1"/>
          <w:color w:val="00497F"/>
        </w:rPr>
        <w:t xml:space="preserve">FORTRESS TRANSPORTATION AND INFRASTRUCTURE INVESTORS LLC CONSOLIDATED STATEMENTS OF OPERATIONS </w:t>
      </w:r>
      <w:r>
        <w:rPr>
          <w:rFonts w:ascii="Arial" w:cs="Arial" w:eastAsia="Arial" w:hAnsi="Arial"/>
          <w:sz w:val="22"/>
          <w:szCs w:val="22"/>
          <w:b w:val="1"/>
          <w:bCs w:val="1"/>
          <w:i w:val="1"/>
          <w:iCs w:val="1"/>
          <w:color w:val="00497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0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(Dollar amounts in thousands, except share and per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71"/>
        </w:trPr>
        <w:tc>
          <w:tcPr>
            <w:tcW w:w="3900" w:type="dxa"/>
            <w:vAlign w:val="bottom"/>
            <w:vMerge w:val="continue"/>
          </w:tcPr>
          <w:p>
            <w:pPr>
              <w:spacing w:after="0"/>
              <w:rPr>
                <w:sz w:val="6"/>
                <w:szCs w:val="6"/>
                <w:color w:val="auto"/>
              </w:rPr>
            </w:pPr>
          </w:p>
        </w:tc>
        <w:tc>
          <w:tcPr>
            <w:tcW w:w="110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Notes</w:t>
            </w:r>
          </w:p>
        </w:tc>
        <w:tc>
          <w:tcPr>
            <w:tcW w:w="132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2"/>
        </w:trPr>
        <w:tc>
          <w:tcPr>
            <w:tcW w:w="3900" w:type="dxa"/>
            <w:vAlign w:val="bottom"/>
          </w:tcPr>
          <w:p>
            <w:pPr>
              <w:ind w:left="40"/>
              <w:spacing w:after="0"/>
              <w:rPr>
                <w:sz w:val="20"/>
                <w:szCs w:val="20"/>
                <w:color w:val="auto"/>
              </w:rPr>
            </w:pPr>
            <w:r>
              <w:rPr>
                <w:rFonts w:ascii="Arial" w:cs="Arial" w:eastAsia="Arial" w:hAnsi="Arial"/>
                <w:sz w:val="14"/>
                <w:szCs w:val="14"/>
                <w:i w:val="1"/>
                <w:iCs w:val="1"/>
                <w:color w:val="auto"/>
              </w:rPr>
              <w:t>data)</w:t>
            </w:r>
          </w:p>
        </w:tc>
        <w:tc>
          <w:tcPr>
            <w:tcW w:w="1100" w:type="dxa"/>
            <w:vAlign w:val="bottom"/>
            <w:gridSpan w:val="3"/>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ind w:left="500"/>
              <w:spacing w:after="0"/>
              <w:rPr>
                <w:sz w:val="20"/>
                <w:szCs w:val="20"/>
                <w:color w:val="auto"/>
              </w:rPr>
            </w:pPr>
            <w:r>
              <w:rPr>
                <w:rFonts w:ascii="Arial" w:cs="Arial" w:eastAsia="Arial" w:hAnsi="Arial"/>
                <w:sz w:val="14"/>
                <w:szCs w:val="14"/>
                <w:color w:val="auto"/>
              </w:rPr>
              <w:t>Equipment leasing revenues</w:t>
            </w: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70,890</w:t>
            </w:r>
          </w:p>
        </w:tc>
        <w:tc>
          <w:tcPr>
            <w:tcW w:w="14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49,616</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186,004</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121,387</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Infrastructure revenues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30,265</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10,746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55,974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34,842</w:t>
            </w:r>
          </w:p>
        </w:tc>
        <w:tc>
          <w:tcPr>
            <w:tcW w:w="0" w:type="dxa"/>
            <w:vAlign w:val="bottom"/>
          </w:tcPr>
          <w:p>
            <w:pPr>
              <w:spacing w:after="0"/>
              <w:rPr>
                <w:sz w:val="1"/>
                <w:szCs w:val="1"/>
                <w:color w:val="auto"/>
              </w:rPr>
            </w:pPr>
          </w:p>
        </w:tc>
      </w:tr>
      <w:tr>
        <w:trPr>
          <w:trHeight w:val="210"/>
        </w:trPr>
        <w:tc>
          <w:tcPr>
            <w:tcW w:w="390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revenues</w:t>
            </w:r>
          </w:p>
        </w:tc>
        <w:tc>
          <w:tcPr>
            <w:tcW w:w="6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101,155</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60,362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241,978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156,229</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Operating expenses</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41,667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96,839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66,025</w:t>
            </w:r>
          </w:p>
        </w:tc>
        <w:tc>
          <w:tcPr>
            <w:tcW w:w="0" w:type="dxa"/>
            <w:vAlign w:val="bottom"/>
          </w:tcPr>
          <w:p>
            <w:pPr>
              <w:spacing w:after="0"/>
              <w:rPr>
                <w:sz w:val="1"/>
                <w:szCs w:val="1"/>
                <w:color w:val="auto"/>
              </w:rPr>
            </w:pPr>
          </w:p>
        </w:tc>
      </w:tr>
      <w:tr>
        <w:trPr>
          <w:trHeight w:val="210"/>
        </w:trPr>
        <w:tc>
          <w:tcPr>
            <w:tcW w:w="3900" w:type="dxa"/>
            <w:vAlign w:val="bottom"/>
          </w:tcPr>
          <w:p>
            <w:pPr>
              <w:ind w:left="500"/>
              <w:spacing w:after="0"/>
              <w:rPr>
                <w:sz w:val="20"/>
                <w:szCs w:val="20"/>
                <w:color w:val="auto"/>
              </w:rPr>
            </w:pPr>
            <w:r>
              <w:rPr>
                <w:rFonts w:ascii="Arial" w:cs="Arial" w:eastAsia="Arial" w:hAnsi="Arial"/>
                <w:sz w:val="14"/>
                <w:szCs w:val="14"/>
                <w:color w:val="auto"/>
              </w:rPr>
              <w:t>General and administrative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4,012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3,439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12,171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10,615</w:t>
            </w:r>
          </w:p>
        </w:tc>
        <w:tc>
          <w:tcPr>
            <w:tcW w:w="0" w:type="dxa"/>
            <w:vAlign w:val="bottom"/>
          </w:tcPr>
          <w:p>
            <w:pPr>
              <w:spacing w:after="0"/>
              <w:rPr>
                <w:sz w:val="1"/>
                <w:szCs w:val="1"/>
                <w:color w:val="auto"/>
              </w:rPr>
            </w:pPr>
          </w:p>
        </w:tc>
      </w:tr>
      <w:tr>
        <w:trPr>
          <w:trHeight w:val="222"/>
        </w:trPr>
        <w:tc>
          <w:tcPr>
            <w:tcW w:w="39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Acquisition and transaction expenses</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1,460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4,734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5,064</w:t>
            </w:r>
          </w:p>
        </w:tc>
        <w:tc>
          <w:tcPr>
            <w:tcW w:w="0" w:type="dxa"/>
            <w:vAlign w:val="bottom"/>
          </w:tcPr>
          <w:p>
            <w:pPr>
              <w:spacing w:after="0"/>
              <w:rPr>
                <w:sz w:val="1"/>
                <w:szCs w:val="1"/>
                <w:color w:val="auto"/>
              </w:rPr>
            </w:pPr>
          </w:p>
        </w:tc>
      </w:tr>
      <w:tr>
        <w:trPr>
          <w:trHeight w:val="210"/>
        </w:trPr>
        <w:tc>
          <w:tcPr>
            <w:tcW w:w="3900" w:type="dxa"/>
            <w:vAlign w:val="bottom"/>
          </w:tcPr>
          <w:p>
            <w:pPr>
              <w:ind w:left="500"/>
              <w:spacing w:after="0"/>
              <w:rPr>
                <w:sz w:val="20"/>
                <w:szCs w:val="20"/>
                <w:color w:val="auto"/>
              </w:rPr>
            </w:pPr>
            <w:r>
              <w:rPr>
                <w:rFonts w:ascii="Arial" w:cs="Arial" w:eastAsia="Arial" w:hAnsi="Arial"/>
                <w:sz w:val="14"/>
                <w:szCs w:val="14"/>
                <w:color w:val="auto"/>
              </w:rPr>
              <w:t>Management fees and incentive allocation to affiliate</w:t>
            </w:r>
          </w:p>
        </w:tc>
        <w:tc>
          <w:tcPr>
            <w:tcW w:w="680" w:type="dxa"/>
            <w:vAlign w:val="bottom"/>
          </w:tcPr>
          <w:p>
            <w:pPr>
              <w:jc w:val="center"/>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3,846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3,771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12,080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11,529</w:t>
            </w:r>
          </w:p>
        </w:tc>
        <w:tc>
          <w:tcPr>
            <w:tcW w:w="0" w:type="dxa"/>
            <w:vAlign w:val="bottom"/>
          </w:tcPr>
          <w:p>
            <w:pPr>
              <w:spacing w:after="0"/>
              <w:rPr>
                <w:sz w:val="1"/>
                <w:szCs w:val="1"/>
                <w:color w:val="auto"/>
              </w:rPr>
            </w:pPr>
          </w:p>
        </w:tc>
      </w:tr>
      <w:tr>
        <w:trPr>
          <w:trHeight w:val="222"/>
        </w:trPr>
        <w:tc>
          <w:tcPr>
            <w:tcW w:w="39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Depreciation and amortization</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3, 5, 7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34,422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96,853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62,382</w:t>
            </w:r>
          </w:p>
        </w:tc>
        <w:tc>
          <w:tcPr>
            <w:tcW w:w="0" w:type="dxa"/>
            <w:vAlign w:val="bottom"/>
          </w:tcPr>
          <w:p>
            <w:pPr>
              <w:spacing w:after="0"/>
              <w:rPr>
                <w:sz w:val="1"/>
                <w:szCs w:val="1"/>
                <w:color w:val="auto"/>
              </w:rPr>
            </w:pPr>
          </w:p>
        </w:tc>
      </w:tr>
      <w:tr>
        <w:trPr>
          <w:trHeight w:val="210"/>
        </w:trPr>
        <w:tc>
          <w:tcPr>
            <w:tcW w:w="390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Interest expense</w:t>
            </w: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15,142</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8,914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39,870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21,292</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expenses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100,549</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66,328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262,547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176,907</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ind w:left="500"/>
              <w:spacing w:after="0"/>
              <w:rPr>
                <w:sz w:val="20"/>
                <w:szCs w:val="20"/>
                <w:color w:val="auto"/>
              </w:rPr>
            </w:pPr>
            <w:r>
              <w:rPr>
                <w:rFonts w:ascii="Arial" w:cs="Arial" w:eastAsia="Arial" w:hAnsi="Arial"/>
                <w:sz w:val="14"/>
                <w:szCs w:val="14"/>
                <w:color w:val="auto"/>
              </w:rPr>
              <w:t>Equity in (losses) earnings of unconsolidated entities</w:t>
            </w:r>
          </w:p>
        </w:tc>
        <w:tc>
          <w:tcPr>
            <w:tcW w:w="680" w:type="dxa"/>
            <w:vAlign w:val="bottom"/>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(442)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(598)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(1,461)</w:t>
            </w:r>
          </w:p>
        </w:tc>
        <w:tc>
          <w:tcPr>
            <w:tcW w:w="0" w:type="dxa"/>
            <w:vAlign w:val="bottom"/>
          </w:tcPr>
          <w:p>
            <w:pPr>
              <w:spacing w:after="0"/>
              <w:rPr>
                <w:sz w:val="1"/>
                <w:szCs w:val="1"/>
                <w:color w:val="auto"/>
              </w:rPr>
            </w:pPr>
          </w:p>
        </w:tc>
      </w:tr>
      <w:tr>
        <w:trPr>
          <w:trHeight w:val="222"/>
        </w:trPr>
        <w:tc>
          <w:tcPr>
            <w:tcW w:w="39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Gain on sale of equipment, net</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6,726</w:t>
            </w:r>
          </w:p>
        </w:tc>
        <w:tc>
          <w:tcPr>
            <w:tcW w:w="0" w:type="dxa"/>
            <w:vAlign w:val="bottom"/>
          </w:tcPr>
          <w:p>
            <w:pPr>
              <w:spacing w:after="0"/>
              <w:rPr>
                <w:sz w:val="1"/>
                <w:szCs w:val="1"/>
                <w:color w:val="auto"/>
              </w:rPr>
            </w:pPr>
          </w:p>
        </w:tc>
      </w:tr>
      <w:tr>
        <w:trPr>
          <w:trHeight w:val="210"/>
        </w:trPr>
        <w:tc>
          <w:tcPr>
            <w:tcW w:w="3900" w:type="dxa"/>
            <w:vAlign w:val="bottom"/>
          </w:tcPr>
          <w:p>
            <w:pPr>
              <w:ind w:left="500"/>
              <w:spacing w:after="0"/>
              <w:rPr>
                <w:sz w:val="20"/>
                <w:szCs w:val="20"/>
                <w:color w:val="auto"/>
              </w:rPr>
            </w:pPr>
            <w:r>
              <w:rPr>
                <w:rFonts w:ascii="Arial" w:cs="Arial" w:eastAsia="Arial" w:hAnsi="Arial"/>
                <w:sz w:val="14"/>
                <w:szCs w:val="14"/>
                <w:color w:val="auto"/>
              </w:rPr>
              <w:t>Loss on extinguishment of debt</w:t>
            </w:r>
          </w:p>
        </w:tc>
        <w:tc>
          <w:tcPr>
            <w:tcW w:w="680" w:type="dxa"/>
            <w:vAlign w:val="bottom"/>
          </w:tcPr>
          <w:p>
            <w:pPr>
              <w:jc w:val="center"/>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22"/>
        </w:trPr>
        <w:tc>
          <w:tcPr>
            <w:tcW w:w="39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Interest income</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210"/>
        </w:trPr>
        <w:tc>
          <w:tcPr>
            <w:tcW w:w="390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Other income</w:t>
            </w: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737</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2,148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2,074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2,180</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other income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668</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5,204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7,090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5,571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500"/>
              <w:spacing w:after="0"/>
              <w:rPr>
                <w:sz w:val="20"/>
                <w:szCs w:val="20"/>
                <w:color w:val="auto"/>
              </w:rPr>
            </w:pPr>
            <w:r>
              <w:rPr>
                <w:rFonts w:ascii="Arial" w:cs="Arial" w:eastAsia="Arial" w:hAnsi="Arial"/>
                <w:sz w:val="14"/>
                <w:szCs w:val="14"/>
                <w:b w:val="1"/>
                <w:bCs w:val="1"/>
                <w:color w:val="auto"/>
              </w:rPr>
              <w:t>Income (loss) before income taxes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1,274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(13,479)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(15,107)</w:t>
            </w:r>
          </w:p>
        </w:tc>
        <w:tc>
          <w:tcPr>
            <w:tcW w:w="0" w:type="dxa"/>
            <w:vAlign w:val="bottom"/>
          </w:tcPr>
          <w:p>
            <w:pPr>
              <w:spacing w:after="0"/>
              <w:rPr>
                <w:sz w:val="1"/>
                <w:szCs w:val="1"/>
                <w:color w:val="auto"/>
              </w:rPr>
            </w:pPr>
          </w:p>
        </w:tc>
      </w:tr>
      <w:tr>
        <w:trPr>
          <w:trHeight w:val="210"/>
        </w:trPr>
        <w:tc>
          <w:tcPr>
            <w:tcW w:w="390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Provision for income taxes</w:t>
            </w:r>
          </w:p>
        </w:tc>
        <w:tc>
          <w:tcPr>
            <w:tcW w:w="6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551</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1,580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1,585</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500"/>
              <w:spacing w:after="0"/>
              <w:rPr>
                <w:sz w:val="20"/>
                <w:szCs w:val="20"/>
                <w:color w:val="auto"/>
              </w:rPr>
            </w:pPr>
            <w:r>
              <w:rPr>
                <w:rFonts w:ascii="Arial" w:cs="Arial" w:eastAsia="Arial" w:hAnsi="Arial"/>
                <w:sz w:val="14"/>
                <w:szCs w:val="14"/>
                <w:b w:val="1"/>
                <w:bCs w:val="1"/>
                <w:color w:val="auto"/>
              </w:rPr>
              <w:t>Net income (loss)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723</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(15,059)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(16,692)</w:t>
            </w:r>
          </w:p>
        </w:tc>
        <w:tc>
          <w:tcPr>
            <w:tcW w:w="0" w:type="dxa"/>
            <w:vAlign w:val="bottom"/>
          </w:tcPr>
          <w:p>
            <w:pPr>
              <w:spacing w:after="0"/>
              <w:rPr>
                <w:sz w:val="1"/>
                <w:szCs w:val="1"/>
                <w:color w:val="auto"/>
              </w:rPr>
            </w:pPr>
          </w:p>
        </w:tc>
      </w:tr>
      <w:tr>
        <w:trPr>
          <w:trHeight w:val="174"/>
        </w:trPr>
        <w:tc>
          <w:tcPr>
            <w:tcW w:w="3900" w:type="dxa"/>
            <w:vAlign w:val="bottom"/>
          </w:tcPr>
          <w:p>
            <w:pPr>
              <w:ind w:left="440"/>
              <w:spacing w:after="0"/>
              <w:rPr>
                <w:sz w:val="20"/>
                <w:szCs w:val="20"/>
                <w:color w:val="auto"/>
              </w:rPr>
            </w:pPr>
            <w:r>
              <w:rPr>
                <w:rFonts w:ascii="Arial" w:cs="Arial" w:eastAsia="Arial" w:hAnsi="Arial"/>
                <w:sz w:val="14"/>
                <w:szCs w:val="14"/>
                <w:color w:val="auto"/>
              </w:rPr>
              <w:t>Less: Net loss attributable to non-controlling interests</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(3,855)</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(19,904)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90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in consolidated subsidiaries</w:t>
            </w:r>
          </w:p>
        </w:tc>
        <w:tc>
          <w:tcPr>
            <w:tcW w:w="6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(4,669)</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(13,816)</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4,578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(2,876)</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Earnings (loss) per share</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900" w:type="dxa"/>
            <w:vAlign w:val="bottom"/>
          </w:tcPr>
          <w:p>
            <w:pPr>
              <w:ind w:left="500"/>
              <w:spacing w:after="0"/>
              <w:rPr>
                <w:sz w:val="20"/>
                <w:szCs w:val="20"/>
                <w:color w:val="auto"/>
              </w:rPr>
            </w:pPr>
            <w:r>
              <w:rPr>
                <w:rFonts w:ascii="Arial" w:cs="Arial" w:eastAsia="Arial" w:hAnsi="Arial"/>
                <w:sz w:val="14"/>
                <w:szCs w:val="14"/>
                <w:b w:val="1"/>
                <w:bCs w:val="1"/>
                <w:color w:val="auto"/>
              </w:rPr>
              <w:t>Basic</w:t>
            </w: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0.05</w:t>
            </w:r>
          </w:p>
        </w:tc>
        <w:tc>
          <w:tcPr>
            <w:tcW w:w="14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0.06</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500"/>
              <w:spacing w:after="0"/>
              <w:rPr>
                <w:sz w:val="20"/>
                <w:szCs w:val="20"/>
                <w:color w:val="auto"/>
              </w:rPr>
            </w:pPr>
            <w:r>
              <w:rPr>
                <w:rFonts w:ascii="Arial" w:cs="Arial" w:eastAsia="Arial" w:hAnsi="Arial"/>
                <w:sz w:val="14"/>
                <w:szCs w:val="14"/>
                <w:b w:val="1"/>
                <w:bCs w:val="1"/>
                <w:color w:val="auto"/>
              </w:rPr>
              <w:t>Diluted</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0.05</w:t>
            </w: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0.06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97"/>
        </w:trPr>
        <w:tc>
          <w:tcPr>
            <w:tcW w:w="3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Weighted Average Shares Outstanding:</w:t>
            </w: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900" w:type="dxa"/>
            <w:vAlign w:val="bottom"/>
          </w:tcPr>
          <w:p>
            <w:pPr>
              <w:ind w:left="500"/>
              <w:spacing w:after="0"/>
              <w:rPr>
                <w:sz w:val="20"/>
                <w:szCs w:val="20"/>
                <w:color w:val="auto"/>
              </w:rPr>
            </w:pPr>
            <w:r>
              <w:rPr>
                <w:rFonts w:ascii="Arial" w:cs="Arial" w:eastAsia="Arial" w:hAnsi="Arial"/>
                <w:sz w:val="14"/>
                <w:szCs w:val="14"/>
                <w:b w:val="1"/>
                <w:bCs w:val="1"/>
                <w:color w:val="auto"/>
              </w:rPr>
              <w:t>Basic</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84,708,071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75,770,529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83,178,546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75,765,144</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500"/>
              <w:spacing w:after="0"/>
              <w:rPr>
                <w:sz w:val="20"/>
                <w:szCs w:val="20"/>
                <w:color w:val="auto"/>
              </w:rPr>
            </w:pPr>
            <w:r>
              <w:rPr>
                <w:rFonts w:ascii="Arial" w:cs="Arial" w:eastAsia="Arial" w:hAnsi="Arial"/>
                <w:sz w:val="14"/>
                <w:szCs w:val="14"/>
                <w:b w:val="1"/>
                <w:bCs w:val="1"/>
                <w:color w:val="auto"/>
              </w:rPr>
              <w:t>Diluted</w:t>
            </w: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84,709,656</w:t>
            </w: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75,770,665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83,179,181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75,765,144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580" w:right="239" w:bottom="1440" w:gutter="0" w:footer="0" w:header="0"/>
        </w:sectPr>
      </w:pPr>
    </w:p>
    <w:bookmarkStart w:id="6" w:name="page7"/>
    <w:bookmarkEnd w:id="6"/>
    <w:p>
      <w:pPr>
        <w:ind w:right="2940"/>
        <w:spacing w:after="0" w:line="406" w:lineRule="auto"/>
        <w:rPr>
          <w:sz w:val="20"/>
          <w:szCs w:val="20"/>
          <w:color w:val="auto"/>
        </w:rPr>
      </w:pPr>
      <w:r>
        <w:rPr>
          <w:rFonts w:ascii="Arial" w:cs="Arial" w:eastAsia="Arial" w:hAnsi="Arial"/>
          <w:sz w:val="21"/>
          <w:szCs w:val="21"/>
          <w:b w:val="1"/>
          <w:bCs w:val="1"/>
          <w:color w:val="00497F"/>
        </w:rPr>
        <w:t xml:space="preserve">FORTRESS TRANSPORTATION AND INFRASTRUCTURE INVESTORS LLC CONSOLIDATED STATEMENTS OF COMPREHENSIVE INCOME (LOSS) </w:t>
      </w:r>
      <w:r>
        <w:rPr>
          <w:rFonts w:ascii="Arial" w:cs="Arial" w:eastAsia="Arial" w:hAnsi="Arial"/>
          <w:sz w:val="21"/>
          <w:szCs w:val="21"/>
          <w:b w:val="1"/>
          <w:bCs w:val="1"/>
          <w:i w:val="1"/>
          <w:iCs w:val="1"/>
          <w:color w:val="00497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7"/>
                <w:szCs w:val="17"/>
                <w:color w:val="auto"/>
              </w:rPr>
            </w:pPr>
          </w:p>
        </w:tc>
        <w:tc>
          <w:tcPr>
            <w:tcW w:w="314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30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2017</w:t>
            </w:r>
          </w:p>
        </w:tc>
      </w:tr>
      <w:tr>
        <w:trPr>
          <w:trHeight w:val="25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723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(15,059)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(16,692)</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0"/>
        </w:trPr>
        <w:tc>
          <w:tcPr>
            <w:tcW w:w="44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 in fair value of available-for-sale securities</w:t>
            </w:r>
          </w:p>
        </w:tc>
        <w:tc>
          <w:tcPr>
            <w:tcW w:w="30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5,784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4,508</w:t>
            </w:r>
          </w:p>
        </w:tc>
      </w:tr>
      <w:tr>
        <w:trPr>
          <w:trHeight w:val="250"/>
        </w:trPr>
        <w:tc>
          <w:tcPr>
            <w:tcW w:w="4460" w:type="dxa"/>
            <w:vAlign w:val="bottom"/>
          </w:tcPr>
          <w:p>
            <w:pPr>
              <w:ind w:left="40"/>
              <w:spacing w:after="0"/>
              <w:rPr>
                <w:sz w:val="20"/>
                <w:szCs w:val="20"/>
                <w:color w:val="auto"/>
              </w:rPr>
            </w:pPr>
            <w:r>
              <w:rPr>
                <w:rFonts w:ascii="Arial" w:cs="Arial" w:eastAsia="Arial" w:hAnsi="Arial"/>
                <w:sz w:val="14"/>
                <w:szCs w:val="14"/>
                <w:b w:val="1"/>
                <w:bCs w:val="1"/>
                <w:color w:val="auto"/>
              </w:rPr>
              <w:t>Comprehensive income (loss)</w:t>
            </w:r>
          </w:p>
        </w:tc>
        <w:tc>
          <w:tcPr>
            <w:tcW w:w="3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723</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4,113</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(15,059)</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(12,184)</w:t>
            </w:r>
          </w:p>
        </w:tc>
      </w:tr>
      <w:tr>
        <w:trPr>
          <w:trHeight w:val="270"/>
        </w:trPr>
        <w:tc>
          <w:tcPr>
            <w:tcW w:w="44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Comprehensive loss attributable to non-controlling interest</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(3,855)</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(19,904)</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(13,816)</w:t>
            </w:r>
          </w:p>
        </w:tc>
      </w:tr>
      <w:tr>
        <w:trPr>
          <w:trHeight w:val="243"/>
        </w:trPr>
        <w:tc>
          <w:tcPr>
            <w:tcW w:w="4460" w:type="dxa"/>
            <w:vAlign w:val="bottom"/>
          </w:tcPr>
          <w:p>
            <w:pPr>
              <w:ind w:left="40"/>
              <w:spacing w:after="0"/>
              <w:rPr>
                <w:sz w:val="20"/>
                <w:szCs w:val="20"/>
                <w:color w:val="auto"/>
              </w:rPr>
            </w:pPr>
            <w:r>
              <w:rPr>
                <w:rFonts w:ascii="Arial" w:cs="Arial" w:eastAsia="Arial" w:hAnsi="Arial"/>
                <w:sz w:val="14"/>
                <w:szCs w:val="14"/>
                <w:b w:val="1"/>
                <w:bCs w:val="1"/>
                <w:color w:val="auto"/>
              </w:rPr>
              <w:t>Comprehensive income attributable to shareholders</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4,578</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8,782</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4,845</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1,632</w:t>
            </w:r>
          </w:p>
        </w:tc>
      </w:tr>
      <w:tr>
        <w:trPr>
          <w:trHeight w:val="20"/>
        </w:trPr>
        <w:tc>
          <w:tcPr>
            <w:tcW w:w="4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580" w:right="239" w:bottom="1440" w:gutter="0" w:footer="0" w:header="0"/>
        </w:sectPr>
      </w:pPr>
    </w:p>
    <w:bookmarkStart w:id="7" w:name="page8"/>
    <w:bookmarkEnd w:id="7"/>
    <w:p>
      <w:pPr>
        <w:ind w:right="3820"/>
        <w:spacing w:after="0" w:line="406" w:lineRule="auto"/>
        <w:rPr>
          <w:sz w:val="20"/>
          <w:szCs w:val="20"/>
          <w:color w:val="auto"/>
        </w:rPr>
      </w:pPr>
      <w:r>
        <w:rPr>
          <w:rFonts w:ascii="Arial" w:cs="Arial" w:eastAsia="Arial" w:hAnsi="Arial"/>
          <w:sz w:val="21"/>
          <w:szCs w:val="21"/>
          <w:b w:val="1"/>
          <w:bCs w:val="1"/>
          <w:color w:val="00497F"/>
        </w:rPr>
        <w:t xml:space="preserve">FORTRESS TRANSPORTATION AND INFRASTRUCTURE INVESTORS LLC CONSOLIDATED STATEMENT OF CHANGES IN EQUITY </w:t>
      </w:r>
      <w:r>
        <w:rPr>
          <w:rFonts w:ascii="Arial" w:cs="Arial" w:eastAsia="Arial" w:hAnsi="Arial"/>
          <w:sz w:val="21"/>
          <w:szCs w:val="21"/>
          <w:b w:val="1"/>
          <w:bCs w:val="1"/>
          <w:i w:val="1"/>
          <w:iCs w:val="1"/>
          <w:color w:val="00497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Accumulated Other</w:t>
            </w:r>
          </w:p>
        </w:tc>
        <w:tc>
          <w:tcPr>
            <w:tcW w:w="15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Interest in Equity of</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ind w:left="100"/>
              <w:spacing w:after="0"/>
              <w:rPr>
                <w:sz w:val="20"/>
                <w:szCs w:val="20"/>
                <w:color w:val="auto"/>
              </w:rPr>
            </w:pPr>
            <w:r>
              <w:rPr>
                <w:rFonts w:ascii="Arial" w:cs="Arial" w:eastAsia="Arial" w:hAnsi="Arial"/>
                <w:sz w:val="14"/>
                <w:szCs w:val="14"/>
                <w:b w:val="1"/>
                <w:bCs w:val="1"/>
                <w:color w:val="auto"/>
              </w:rPr>
              <w:t>Additional Paid In</w:t>
            </w: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Consolidated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96"/>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Income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Total Equity</w:t>
            </w:r>
          </w:p>
        </w:tc>
      </w:tr>
      <w:tr>
        <w:trPr>
          <w:trHeight w:val="25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Equity - December 31, 2017</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985,009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(38,699)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88,007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1,035,075</w:t>
            </w: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Comprehensive income (loss):</w:t>
            </w: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(loss) for the period</w:t>
            </w:r>
          </w:p>
        </w:tc>
        <w:tc>
          <w:tcPr>
            <w:tcW w:w="5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4,845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(19,904)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(15,059)</w:t>
            </w:r>
          </w:p>
        </w:tc>
      </w:tr>
      <w:tr>
        <w:trPr>
          <w:trHeight w:val="264"/>
        </w:trPr>
        <w:tc>
          <w:tcPr>
            <w:tcW w:w="26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comprehensive income (loss)</w:t>
            </w:r>
          </w:p>
        </w:tc>
        <w:tc>
          <w:tcPr>
            <w:tcW w:w="5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56"/>
        </w:trPr>
        <w:tc>
          <w:tcPr>
            <w:tcW w:w="2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comprehensive income (loss)</w:t>
            </w:r>
          </w:p>
        </w:tc>
        <w:tc>
          <w:tcPr>
            <w:tcW w:w="5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4,845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(19,904)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(15,059)</w:t>
            </w: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Purchase of non-controlling interest</w:t>
            </w: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7,225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(10,930)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(3,705)</w:t>
            </w:r>
          </w:p>
        </w:tc>
      </w:tr>
      <w:tr>
        <w:trPr>
          <w:trHeight w:val="27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w:t>
            </w:r>
          </w:p>
        </w:tc>
        <w:tc>
          <w:tcPr>
            <w:tcW w:w="5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(82,623)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(82,623)</w:t>
            </w: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Issuance of common shares</w:t>
            </w:r>
          </w:p>
        </w:tc>
        <w:tc>
          <w:tcPr>
            <w:tcW w:w="5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70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127,893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127,963</w:t>
            </w: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Equity-based compensation</w:t>
            </w:r>
          </w:p>
        </w:tc>
        <w:tc>
          <w:tcPr>
            <w:tcW w:w="5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660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669</w:t>
            </w:r>
          </w:p>
        </w:tc>
      </w:tr>
      <w:tr>
        <w:trPr>
          <w:trHeight w:val="243"/>
        </w:trPr>
        <w:tc>
          <w:tcPr>
            <w:tcW w:w="2640" w:type="dxa"/>
            <w:vAlign w:val="bottom"/>
          </w:tcPr>
          <w:p>
            <w:pPr>
              <w:ind w:left="40"/>
              <w:spacing w:after="0"/>
              <w:rPr>
                <w:sz w:val="20"/>
                <w:szCs w:val="20"/>
                <w:color w:val="auto"/>
              </w:rPr>
            </w:pPr>
            <w:r>
              <w:rPr>
                <w:rFonts w:ascii="Arial" w:cs="Arial" w:eastAsia="Arial" w:hAnsi="Arial"/>
                <w:sz w:val="14"/>
                <w:szCs w:val="14"/>
                <w:b w:val="1"/>
                <w:bCs w:val="1"/>
                <w:color w:val="auto"/>
              </w:rPr>
              <w:t>Equity - September 30, 2018</w:t>
            </w:r>
          </w:p>
        </w:tc>
        <w:tc>
          <w:tcPr>
            <w:tcW w:w="52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828</w:t>
            </w:r>
          </w:p>
        </w:tc>
        <w:tc>
          <w:tcPr>
            <w:tcW w:w="120" w:type="dxa"/>
            <w:vAlign w:val="bottom"/>
          </w:tcPr>
          <w:p>
            <w:pPr>
              <w:spacing w:after="0"/>
              <w:rPr>
                <w:sz w:val="21"/>
                <w:szCs w:val="21"/>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1,037,513</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(33,854)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ind w:left="10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b w:val="1"/>
                <w:bCs w:val="1"/>
                <w:color w:val="auto"/>
              </w:rPr>
              <w:t>57,833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1,062,320</w:t>
            </w:r>
          </w:p>
        </w:tc>
      </w:tr>
      <w:tr>
        <w:trPr>
          <w:trHeight w:val="20"/>
        </w:trPr>
        <w:tc>
          <w:tcPr>
            <w:tcW w:w="2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580" w:right="239" w:bottom="1440" w:gutter="0" w:footer="0" w:header="0"/>
        </w:sectPr>
      </w:pPr>
    </w:p>
    <w:bookmarkStart w:id="8" w:name="page9"/>
    <w:bookmarkEnd w:id="8"/>
    <w:p>
      <w:pPr>
        <w:ind w:right="3820"/>
        <w:spacing w:after="0" w:line="376" w:lineRule="auto"/>
        <w:rPr>
          <w:sz w:val="20"/>
          <w:szCs w:val="20"/>
          <w:color w:val="auto"/>
        </w:rPr>
      </w:pPr>
      <w:r>
        <w:rPr>
          <w:rFonts w:ascii="Arial" w:cs="Arial" w:eastAsia="Arial" w:hAnsi="Arial"/>
          <w:sz w:val="22"/>
          <w:szCs w:val="22"/>
          <w:b w:val="1"/>
          <w:bCs w:val="1"/>
          <w:color w:val="00497F"/>
        </w:rPr>
        <w:t xml:space="preserve">FORTRESS TRANSPORTATION AND INFRASTRUCTURE INVESTORS LLC CONSOLIDATED STATEMENTS OF CASH FLOWS </w:t>
      </w:r>
      <w:r>
        <w:rPr>
          <w:rFonts w:ascii="Arial" w:cs="Arial" w:eastAsia="Arial" w:hAnsi="Arial"/>
          <w:sz w:val="22"/>
          <w:szCs w:val="22"/>
          <w:b w:val="1"/>
          <w:bCs w:val="1"/>
          <w:i w:val="1"/>
          <w:iCs w:val="1"/>
          <w:color w:val="00497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2017</w:t>
            </w:r>
          </w:p>
        </w:tc>
      </w:tr>
      <w:tr>
        <w:trPr>
          <w:trHeight w:val="270"/>
        </w:trPr>
        <w:tc>
          <w:tcPr>
            <w:tcW w:w="79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4"/>
        </w:trPr>
        <w:tc>
          <w:tcPr>
            <w:tcW w:w="7900" w:type="dxa"/>
            <w:vAlign w:val="bottom"/>
          </w:tcPr>
          <w:p>
            <w:pPr>
              <w:ind w:left="80"/>
              <w:spacing w:after="0"/>
              <w:rPr>
                <w:sz w:val="20"/>
                <w:szCs w:val="20"/>
                <w:color w:val="auto"/>
              </w:rPr>
            </w:pPr>
            <w:r>
              <w:rPr>
                <w:rFonts w:ascii="Arial" w:cs="Arial" w:eastAsia="Arial" w:hAnsi="Arial"/>
                <w:sz w:val="14"/>
                <w:szCs w:val="14"/>
                <w:color w:val="auto"/>
              </w:rPr>
              <w:t>Net loss</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(15,059)</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(16,692)</w:t>
            </w:r>
          </w:p>
        </w:tc>
      </w:tr>
      <w:tr>
        <w:trPr>
          <w:trHeight w:val="276"/>
        </w:trPr>
        <w:tc>
          <w:tcPr>
            <w:tcW w:w="7900" w:type="dxa"/>
            <w:vAlign w:val="bottom"/>
            <w:shd w:val="clear" w:color="auto" w:fill="CCEEFF"/>
          </w:tcPr>
          <w:p>
            <w:pPr>
              <w:ind w:left="6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Equity in losses of unconsolidated entities</w:t>
            </w:r>
          </w:p>
        </w:tc>
        <w:tc>
          <w:tcPr>
            <w:tcW w:w="34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598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1,461</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Gain on sale of equipment, net</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(5,253)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(6,726)</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Security deposits and maintenance claims included in earnings</w:t>
            </w:r>
          </w:p>
        </w:tc>
        <w:tc>
          <w:tcPr>
            <w:tcW w:w="3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(4,325)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Loss on extinguishment of debt</w:t>
            </w:r>
          </w:p>
        </w:tc>
        <w:tc>
          <w:tcPr>
            <w:tcW w:w="34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2,456</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Equity-based compensation</w:t>
            </w:r>
          </w:p>
        </w:tc>
        <w:tc>
          <w:tcPr>
            <w:tcW w:w="34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669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695</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Depreciation and amortization</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96,853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62,382</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Gain on settlement of liabilities</w:t>
            </w:r>
          </w:p>
        </w:tc>
        <w:tc>
          <w:tcPr>
            <w:tcW w:w="340" w:type="dxa"/>
            <w:vAlign w:val="bottom"/>
          </w:tcPr>
          <w:p>
            <w:pPr>
              <w:spacing w:after="0"/>
              <w:rPr>
                <w:sz w:val="22"/>
                <w:szCs w:val="22"/>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(1,093)</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Change in current and deferred income taxes</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670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551</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Change in fair value of non-hedge derivative</w:t>
            </w:r>
          </w:p>
        </w:tc>
        <w:tc>
          <w:tcPr>
            <w:tcW w:w="34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567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(1,036)</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Amortization of lease intangibles and incentives</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17,629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5,193</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Amortization of deferred financing costs</w:t>
            </w:r>
          </w:p>
        </w:tc>
        <w:tc>
          <w:tcPr>
            <w:tcW w:w="34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4,164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3,120</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Bad debt expense</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1,586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51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566</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Change in:</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7900" w:type="dxa"/>
            <w:vAlign w:val="bottom"/>
          </w:tcPr>
          <w:p>
            <w:pPr>
              <w:ind w:left="128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(19,024)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(7,984)</w:t>
            </w:r>
          </w:p>
        </w:tc>
      </w:tr>
      <w:tr>
        <w:trPr>
          <w:trHeight w:val="276"/>
        </w:trPr>
        <w:tc>
          <w:tcPr>
            <w:tcW w:w="790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Other assets</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(10,891)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10,595</w:t>
            </w:r>
          </w:p>
        </w:tc>
      </w:tr>
      <w:tr>
        <w:trPr>
          <w:trHeight w:val="264"/>
        </w:trPr>
        <w:tc>
          <w:tcPr>
            <w:tcW w:w="7900" w:type="dxa"/>
            <w:vAlign w:val="bottom"/>
          </w:tcPr>
          <w:p>
            <w:pPr>
              <w:ind w:left="1280"/>
              <w:spacing w:after="0"/>
              <w:rPr>
                <w:sz w:val="20"/>
                <w:szCs w:val="20"/>
                <w:color w:val="auto"/>
              </w:rPr>
            </w:pPr>
            <w:r>
              <w:rPr>
                <w:rFonts w:ascii="Arial" w:cs="Arial" w:eastAsia="Arial" w:hAnsi="Arial"/>
                <w:sz w:val="14"/>
                <w:szCs w:val="14"/>
                <w:color w:val="auto"/>
              </w:rPr>
              <w:t>Accounts payable and accrued liabilities</w:t>
            </w:r>
          </w:p>
        </w:tc>
        <w:tc>
          <w:tcPr>
            <w:tcW w:w="34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15,198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862</w:t>
            </w:r>
          </w:p>
        </w:tc>
      </w:tr>
      <w:tr>
        <w:trPr>
          <w:trHeight w:val="276"/>
        </w:trPr>
        <w:tc>
          <w:tcPr>
            <w:tcW w:w="790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Management fees payable to affiliate</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w:t>
            </w:r>
          </w:p>
        </w:tc>
      </w:tr>
      <w:tr>
        <w:trPr>
          <w:trHeight w:val="264"/>
        </w:trPr>
        <w:tc>
          <w:tcPr>
            <w:tcW w:w="7900" w:type="dxa"/>
            <w:vAlign w:val="bottom"/>
            <w:tcBorders>
              <w:bottom w:val="single" w:sz="8" w:color="CCEEFF"/>
            </w:tcBorders>
          </w:tcPr>
          <w:p>
            <w:pPr>
              <w:ind w:left="1300"/>
              <w:spacing w:after="0"/>
              <w:rPr>
                <w:sz w:val="20"/>
                <w:szCs w:val="20"/>
                <w:color w:val="auto"/>
              </w:rPr>
            </w:pPr>
            <w:r>
              <w:rPr>
                <w:rFonts w:ascii="Arial" w:cs="Arial" w:eastAsia="Arial" w:hAnsi="Arial"/>
                <w:sz w:val="14"/>
                <w:szCs w:val="14"/>
                <w:color w:val="auto"/>
              </w:rPr>
              <w:t>Other liabilities</w:t>
            </w: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3,756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(1,356)</w:t>
            </w:r>
          </w:p>
        </w:tc>
      </w:tr>
      <w:tr>
        <w:trPr>
          <w:trHeight w:val="250"/>
        </w:trPr>
        <w:tc>
          <w:tcPr>
            <w:tcW w:w="79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Net cash provided by operating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86,415</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52,443</w:t>
            </w:r>
          </w:p>
        </w:tc>
      </w:tr>
      <w:tr>
        <w:trPr>
          <w:trHeight w:val="283"/>
        </w:trPr>
        <w:tc>
          <w:tcPr>
            <w:tcW w:w="7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79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Investment in notes receivable</w:t>
            </w:r>
          </w:p>
        </w:tc>
        <w:tc>
          <w:tcPr>
            <w:tcW w:w="3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(912)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Investment in unconsolidated entities and available for sale securities</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(1,115)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(24,903)</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Principal collections on finance leases</w:t>
            </w:r>
          </w:p>
        </w:tc>
        <w:tc>
          <w:tcPr>
            <w:tcW w:w="34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658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347</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Acquisition of leasing equipment</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(330,492)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(267,451)</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Acquisition of property, plant and equipment</w:t>
            </w:r>
          </w:p>
        </w:tc>
        <w:tc>
          <w:tcPr>
            <w:tcW w:w="3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(178,555)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(86,455)</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Acquisition of lease intangibles</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(5,039)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(1,583)</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Purchase deposits for acquisitions</w:t>
            </w:r>
          </w:p>
        </w:tc>
        <w:tc>
          <w:tcPr>
            <w:tcW w:w="3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(17,350)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(11,785)</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Proceeds from sale of leasing equipment</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30,409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87,093</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Proceeds from sale of property, plant and equipment</w:t>
            </w:r>
          </w:p>
        </w:tc>
        <w:tc>
          <w:tcPr>
            <w:tcW w:w="34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78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51</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Return of purchase deposit for aircraft and aircraft engines</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Return of deposit on sale of engine</w:t>
            </w:r>
          </w:p>
        </w:tc>
        <w:tc>
          <w:tcPr>
            <w:tcW w:w="3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(400)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Return of capital distributions from unconsolidated entities</w:t>
            </w:r>
          </w:p>
        </w:tc>
        <w:tc>
          <w:tcPr>
            <w:tcW w:w="3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872</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900" w:type="dxa"/>
            <w:vAlign w:val="bottom"/>
          </w:tcPr>
          <w:p>
            <w:pPr>
              <w:ind w:left="80"/>
              <w:spacing w:after="0"/>
              <w:rPr>
                <w:sz w:val="20"/>
                <w:szCs w:val="20"/>
                <w:color w:val="auto"/>
              </w:rPr>
            </w:pPr>
            <w:r>
              <w:rPr>
                <w:rFonts w:ascii="Arial" w:cs="Arial" w:eastAsia="Arial" w:hAnsi="Arial"/>
                <w:sz w:val="14"/>
                <w:szCs w:val="14"/>
                <w:b w:val="1"/>
                <w:bCs w:val="1"/>
                <w:color w:val="auto"/>
              </w:rPr>
              <w:t>Net cash used in investing activities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(501,606)</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(304,686)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420"/>
          </w:cols>
          <w:pgMar w:left="240" w:top="580"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580" w:right="239" w:bottom="1440" w:gutter="0" w:footer="0" w:header="0"/>
          <w:type w:val="continuous"/>
        </w:sectPr>
      </w:pPr>
    </w:p>
    <w:bookmarkStart w:id="9" w:name="page10"/>
    <w:bookmarkEnd w:id="9"/>
    <w:p>
      <w:pPr>
        <w:ind w:right="3820"/>
        <w:spacing w:after="0" w:line="376" w:lineRule="auto"/>
        <w:rPr>
          <w:sz w:val="20"/>
          <w:szCs w:val="20"/>
          <w:color w:val="auto"/>
        </w:rPr>
      </w:pPr>
      <w:r>
        <w:rPr>
          <w:rFonts w:ascii="Arial" w:cs="Arial" w:eastAsia="Arial" w:hAnsi="Arial"/>
          <w:sz w:val="22"/>
          <w:szCs w:val="22"/>
          <w:b w:val="1"/>
          <w:bCs w:val="1"/>
          <w:color w:val="00497F"/>
        </w:rPr>
        <w:t xml:space="preserve">FORTRESS TRANSPORTATION AND INFRASTRUCTURE INVESTORS LLC CONSOLIDATED STATEMENTS OF CASH FLOWS </w:t>
      </w:r>
      <w:r>
        <w:rPr>
          <w:rFonts w:ascii="Arial" w:cs="Arial" w:eastAsia="Arial" w:hAnsi="Arial"/>
          <w:sz w:val="22"/>
          <w:szCs w:val="22"/>
          <w:b w:val="1"/>
          <w:bCs w:val="1"/>
          <w:i w:val="1"/>
          <w:iCs w:val="1"/>
          <w:color w:val="00497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2017</w:t>
            </w:r>
          </w:p>
        </w:tc>
      </w:tr>
      <w:tr>
        <w:trPr>
          <w:trHeight w:val="270"/>
        </w:trPr>
        <w:tc>
          <w:tcPr>
            <w:tcW w:w="79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Proceeds from debt</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615,239</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417,191</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Repayment of debt</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(181,856)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(22,623)</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Payment of deferred financing costs</w:t>
            </w:r>
          </w:p>
        </w:tc>
        <w:tc>
          <w:tcPr>
            <w:tcW w:w="3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(2,686)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(3,232)</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Receipt of security deposits</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7,084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5,826</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Return of security deposits</w:t>
            </w:r>
          </w:p>
        </w:tc>
        <w:tc>
          <w:tcPr>
            <w:tcW w:w="3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(1,520)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(3,232)</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Receipt of maintenance deposits</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41,808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18,784</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Release of maintenance deposits</w:t>
            </w:r>
          </w:p>
        </w:tc>
        <w:tc>
          <w:tcPr>
            <w:tcW w:w="3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(11,518)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(6,111)</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Proceeds from issuance of common shares, net of underwriter's discount</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128,451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Common shares issuance costs</w:t>
            </w:r>
          </w:p>
        </w:tc>
        <w:tc>
          <w:tcPr>
            <w:tcW w:w="3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(789)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Purchase of non-controlling interest shares</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(3,705)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9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Cash dividends</w:t>
            </w: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(82,623)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(75,041)</w:t>
            </w:r>
          </w:p>
        </w:tc>
      </w:tr>
      <w:tr>
        <w:trPr>
          <w:trHeight w:val="250"/>
        </w:trPr>
        <w:tc>
          <w:tcPr>
            <w:tcW w:w="79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Net cash provided by financing activities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507,885</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331,562</w:t>
            </w:r>
          </w:p>
        </w:tc>
      </w:tr>
      <w:tr>
        <w:trPr>
          <w:trHeight w:val="283"/>
        </w:trPr>
        <w:tc>
          <w:tcPr>
            <w:tcW w:w="7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79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Net increase in cash and cash equivalents and restricted cash</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92,694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79,319</w:t>
            </w:r>
          </w:p>
        </w:tc>
      </w:tr>
      <w:tr>
        <w:trPr>
          <w:trHeight w:val="264"/>
        </w:trPr>
        <w:tc>
          <w:tcPr>
            <w:tcW w:w="790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Cash and cash equivalents and restricted cash, beginning of period</w:t>
            </w: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92,806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133,496</w:t>
            </w:r>
          </w:p>
        </w:tc>
      </w:tr>
      <w:tr>
        <w:trPr>
          <w:trHeight w:val="243"/>
        </w:trPr>
        <w:tc>
          <w:tcPr>
            <w:tcW w:w="7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Cash and cash equivalents and restricted cash, end of period</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185,500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212,815</w:t>
            </w:r>
          </w:p>
        </w:tc>
      </w:tr>
      <w:tr>
        <w:trPr>
          <w:trHeight w:val="20"/>
        </w:trPr>
        <w:tc>
          <w:tcPr>
            <w:tcW w:w="7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64"/>
        </w:trPr>
        <w:tc>
          <w:tcPr>
            <w:tcW w:w="7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0"/>
        </w:trPr>
        <w:tc>
          <w:tcPr>
            <w:tcW w:w="79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Proceeds from borrowings of debt</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511</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108,089</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Repayment and settlement of debt</w:t>
            </w:r>
          </w:p>
        </w:tc>
        <w:tc>
          <w:tcPr>
            <w:tcW w:w="34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(102,352)</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Acquisition of leasing equipment</w:t>
            </w:r>
          </w:p>
        </w:tc>
        <w:tc>
          <w:tcPr>
            <w:tcW w:w="3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(16,873)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(28,335)</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Acquisition of property, plant and equipment</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(9,736)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(36,770)</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Settled and assumed security deposits</w:t>
            </w:r>
          </w:p>
        </w:tc>
        <w:tc>
          <w:tcPr>
            <w:tcW w:w="34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1,100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2,272</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Billed, assumed and settled maintenance deposits</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(6,758)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23,226</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Deferred financing costs</w:t>
            </w:r>
          </w:p>
        </w:tc>
        <w:tc>
          <w:tcPr>
            <w:tcW w:w="3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(4,500)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(7,867)</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Non-cash contribution from non-controlling interest</w:t>
            </w:r>
          </w:p>
        </w:tc>
        <w:tc>
          <w:tcPr>
            <w:tcW w:w="34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1,261</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Purchase of non-controlling interest</w:t>
            </w:r>
          </w:p>
        </w:tc>
        <w:tc>
          <w:tcPr>
            <w:tcW w:w="34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7,225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(2,798)</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Issuance of common shares</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420"/>
          </w:cols>
          <w:pgMar w:left="240" w:top="580"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80" w:right="239" w:bottom="1440" w:gutter="0" w:footer="0" w:header="0"/>
          <w:type w:val="continuous"/>
        </w:sectPr>
      </w:pPr>
    </w:p>
    <w:bookmarkStart w:id="10" w:name="page11"/>
    <w:bookmarkEnd w:id="10"/>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35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00497F"/>
        </w:rPr>
      </w:pPr>
      <w:r>
        <w:rPr>
          <w:rFonts w:ascii="Arial" w:cs="Arial" w:eastAsia="Arial" w:hAnsi="Arial"/>
          <w:sz w:val="22"/>
          <w:szCs w:val="22"/>
          <w:b w:val="1"/>
          <w:bCs w:val="1"/>
          <w:color w:val="00497F"/>
        </w:rPr>
        <w:t>ORGANIZATION</w:t>
      </w:r>
    </w:p>
    <w:p>
      <w:pPr>
        <w:spacing w:after="0" w:line="295"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Fortress Transportation and Infrastructure Investors LLC (the “Company,” “we,” “our” or “us”) is a Delaware limited liability company which, through its subsidiary, Fortress Worldwide Transportation and Infrastructure General Partnership (the “Partnership”), is engaged in the ownership and leasing of aviation equipment, offshore energy equipment and shipping containers, and also owns and operates a short line railroad in North America, Central Maine and Québec Railway (“CMQR”), a multi-modal crude oil and refined products terminal in Beaumont, Texas (“Jefferson Terminal”), a deep-water port located along the Delaware River with an underground storage cavern and multiple industrial development opportunities (“Repauno”), and a multi-modal terminal located along the Ohio River with multiple industrial development opportunities (“Long Ridge”). We have six reportable segments, (i) Aviation Leasing, (ii) Offshore Energy, (iii) Shipping Containers, (iv) Jefferson Terminal, (v) Railroad, and (vi) Ports and Terminals, which operate in two primary businesses, Equipment Leasing and Infrastructure (Note 14).</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2. SUMMARY OF SIGNIFICANT ACCOUNTING POLICIES</w:t>
      </w:r>
    </w:p>
    <w:p>
      <w:pPr>
        <w:spacing w:after="0" w:line="167" w:lineRule="exact"/>
        <w:rPr>
          <w:sz w:val="20"/>
          <w:szCs w:val="20"/>
          <w:color w:val="auto"/>
        </w:rPr>
      </w:pPr>
    </w:p>
    <w:p>
      <w:pPr>
        <w:jc w:val="both"/>
        <w:ind w:left="340"/>
        <w:spacing w:after="0" w:line="286" w:lineRule="auto"/>
        <w:rPr>
          <w:sz w:val="20"/>
          <w:szCs w:val="20"/>
          <w:color w:val="auto"/>
        </w:rPr>
      </w:pPr>
      <w:r>
        <w:rPr>
          <w:rFonts w:ascii="Arial" w:cs="Arial" w:eastAsia="Arial" w:hAnsi="Arial"/>
          <w:sz w:val="16"/>
          <w:szCs w:val="16"/>
          <w:b w:val="1"/>
          <w:bCs w:val="1"/>
          <w:i w:val="1"/>
          <w:iCs w:val="1"/>
          <w:color w:val="00497F"/>
        </w:rPr>
        <w:t>Basis of Accounting</w:t>
      </w:r>
      <w:r>
        <w:rPr>
          <w:rFonts w:ascii="Arial" w:cs="Arial" w:eastAsia="Arial" w:hAnsi="Arial"/>
          <w:sz w:val="16"/>
          <w:szCs w:val="16"/>
          <w:color w:val="00497F"/>
        </w:rPr>
        <w:t>—</w:t>
      </w:r>
      <w:r>
        <w:rPr>
          <w:rFonts w:ascii="Arial" w:cs="Arial" w:eastAsia="Arial" w:hAnsi="Arial"/>
          <w:sz w:val="16"/>
          <w:szCs w:val="16"/>
          <w:color w:val="000000"/>
        </w:rPr>
        <w:t>The accompanying consolidated financial statements are prepared in accordance with U.S. generally accepted accounting</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principles (“GAAP”) and include the accounts of us and our subsidiaries.</w:t>
      </w:r>
    </w:p>
    <w:p>
      <w:pPr>
        <w:spacing w:after="0" w:line="102" w:lineRule="exact"/>
        <w:rPr>
          <w:sz w:val="20"/>
          <w:szCs w:val="20"/>
          <w:color w:val="auto"/>
        </w:rPr>
      </w:pPr>
    </w:p>
    <w:p>
      <w:pPr>
        <w:jc w:val="both"/>
        <w:ind w:left="340"/>
        <w:spacing w:after="0" w:line="259" w:lineRule="auto"/>
        <w:rPr>
          <w:sz w:val="20"/>
          <w:szCs w:val="20"/>
          <w:color w:val="auto"/>
        </w:rPr>
      </w:pPr>
      <w:r>
        <w:rPr>
          <w:rFonts w:ascii="Arial" w:cs="Arial" w:eastAsia="Arial" w:hAnsi="Arial"/>
          <w:sz w:val="16"/>
          <w:szCs w:val="16"/>
          <w:b w:val="1"/>
          <w:bCs w:val="1"/>
          <w:i w:val="1"/>
          <w:iCs w:val="1"/>
          <w:color w:val="00497F"/>
        </w:rPr>
        <w:t>Principles of Consolidation</w:t>
      </w:r>
      <w:r>
        <w:rPr>
          <w:rFonts w:ascii="Arial" w:cs="Arial" w:eastAsia="Arial" w:hAnsi="Arial"/>
          <w:sz w:val="16"/>
          <w:szCs w:val="16"/>
          <w:color w:val="00497F"/>
        </w:rPr>
        <w:t>—</w:t>
      </w:r>
      <w:r>
        <w:rPr>
          <w:rFonts w:ascii="Arial" w:cs="Arial" w:eastAsia="Arial" w:hAnsi="Arial"/>
          <w:sz w:val="16"/>
          <w:szCs w:val="16"/>
          <w:color w:val="000000"/>
        </w:rPr>
        <w:t>We consolidate all entities in which we have a controlling financial interest and control over significant operating decisions,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as well as variable interest entities (“VIEs”) in which we are the primary beneficiary. All significant intercompany transactions and balances have been eliminated. All adjustments (consisting of normal recurring accruals) considered necessary for a fair presentation have been included. The ownership interest of other investors in consolidated subsidiaries is recorded as non-controlling interest.</w:t>
      </w:r>
    </w:p>
    <w:p>
      <w:pPr>
        <w:spacing w:after="0" w:line="144"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We use the equity method of accounting for investments in entities in which we exercise significant influence but which do not meet the requirements for consolidation. Under the equity method, we record our proportionate share of the underlying net income (loss) of these entities.</w:t>
      </w:r>
    </w:p>
    <w:p>
      <w:pPr>
        <w:spacing w:after="0" w:line="122" w:lineRule="exact"/>
        <w:rPr>
          <w:sz w:val="20"/>
          <w:szCs w:val="20"/>
          <w:color w:val="auto"/>
        </w:rPr>
      </w:pPr>
    </w:p>
    <w:p>
      <w:pPr>
        <w:jc w:val="both"/>
        <w:ind w:left="340"/>
        <w:spacing w:after="0" w:line="266" w:lineRule="auto"/>
        <w:rPr>
          <w:sz w:val="20"/>
          <w:szCs w:val="20"/>
          <w:color w:val="auto"/>
        </w:rPr>
      </w:pPr>
      <w:r>
        <w:rPr>
          <w:rFonts w:ascii="Arial" w:cs="Arial" w:eastAsia="Arial" w:hAnsi="Arial"/>
          <w:sz w:val="16"/>
          <w:szCs w:val="16"/>
          <w:b w:val="1"/>
          <w:bCs w:val="1"/>
          <w:i w:val="1"/>
          <w:iCs w:val="1"/>
          <w:color w:val="00497F"/>
        </w:rPr>
        <w:t>Use of Estimates</w:t>
      </w:r>
      <w:r>
        <w:rPr>
          <w:rFonts w:ascii="Arial" w:cs="Arial" w:eastAsia="Arial" w:hAnsi="Arial"/>
          <w:sz w:val="16"/>
          <w:szCs w:val="16"/>
          <w:color w:val="00497F"/>
        </w:rPr>
        <w:t>—</w:t>
      </w:r>
      <w:r>
        <w:rPr>
          <w:rFonts w:ascii="Arial" w:cs="Arial" w:eastAsia="Arial" w:hAnsi="Arial"/>
          <w:sz w:val="16"/>
          <w:szCs w:val="16"/>
          <w:color w:val="000000"/>
        </w:rPr>
        <w:t>The preparation of financial statements in conformity with GAAP requires management to make estimates and assumptions that affect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118"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b w:val="1"/>
          <w:bCs w:val="1"/>
          <w:i w:val="1"/>
          <w:iCs w:val="1"/>
          <w:color w:val="00497F"/>
        </w:rPr>
        <w:t>Risks and Uncertainties</w:t>
      </w:r>
      <w:r>
        <w:rPr>
          <w:rFonts w:ascii="Arial" w:cs="Arial" w:eastAsia="Arial" w:hAnsi="Arial"/>
          <w:sz w:val="16"/>
          <w:szCs w:val="16"/>
          <w:color w:val="00497F"/>
        </w:rPr>
        <w:t>—</w:t>
      </w:r>
      <w:r>
        <w:rPr>
          <w:rFonts w:ascii="Arial" w:cs="Arial" w:eastAsia="Arial" w:hAnsi="Arial"/>
          <w:sz w:val="16"/>
          <w:szCs w:val="16"/>
          <w:color w:val="000000"/>
        </w:rPr>
        <w:t>In the normal course of business, we encounter several significant types of economic risk including credit, market, and capital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we operate, which could adversely impact the pricing of the services offered by us or a lessee’s or customer’s ability to make payments, increase the risk of unscheduled lease terminations and depress lease rates and the value of our leasing equipment or operating assets. Capital market risk is the risk that we are unable to obtain capital at reasonable rates to fund the growth of our business or to refinance existing debt facilities. We, through our subsidiaries, also conduct operations outside of the United States; such international operations are subject to the same risks as those associated with our United States operations as well as additional risks, including unexpected changes in regulatory requirements, heightened risk of political and economic instability, potentially adverse tax consequences and the burden of complying with foreign laws. We do not have significant exposure to foreign currency risk as all of our leasing arrangements and the majority of terminal services revenue and freight rail revenue are denominated in U.S. dollars.</w:t>
      </w:r>
    </w:p>
    <w:p>
      <w:pPr>
        <w:spacing w:after="0" w:line="129"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b w:val="1"/>
          <w:bCs w:val="1"/>
          <w:i w:val="1"/>
          <w:iCs w:val="1"/>
          <w:color w:val="00497F"/>
        </w:rPr>
        <w:t>Variable Interest Entities</w:t>
      </w:r>
      <w:r>
        <w:rPr>
          <w:rFonts w:ascii="Arial" w:cs="Arial" w:eastAsia="Arial" w:hAnsi="Arial"/>
          <w:sz w:val="16"/>
          <w:szCs w:val="16"/>
          <w:color w:val="00497F"/>
        </w:rPr>
        <w:t>—</w:t>
      </w:r>
      <w:r>
        <w:rPr>
          <w:rFonts w:ascii="Arial" w:cs="Arial" w:eastAsia="Arial" w:hAnsi="Arial"/>
          <w:sz w:val="16"/>
          <w:szCs w:val="16"/>
          <w:color w:val="000000"/>
        </w:rPr>
        <w:t>The assessment of whether an entity is a VIE and the determination of whether to consolidate a VIE requires judgment. VIEs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are 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JGP Energy Partners LLC</w:t>
      </w:r>
    </w:p>
    <w:p>
      <w:pPr>
        <w:spacing w:after="0" w:line="183"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During the quarter ended September 30, 2016, we initiated activities in our 50% owned joint venture, JGP Energy Partners LLC (“JGP”). The other 50% member to the joint venture is a third party ethanol producer. The purpose of the venture is to build storage capacity with capabilities to receive and/or distribute ethanol via water, rail or truck. Each member contributed up to $27,000 (for a total of $54,000) for the development and construction of the ethanol terminal facilities. JGP is governed by a designated operating committee selected by the members in proportion to their equity interests. JGP is solely reliant on its members to finance its activities and therefore is a VIE. We concluded that we are not the primary beneficiary of JGP as the members share equally in the risks and rewards and decision making authority of the entity; therefore, we do not consolidate JGP and account for this investment in accordance with the equity method. Refer to Note 6 for details.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Delaware River Partners LLC</w:t>
      </w:r>
    </w:p>
    <w:p>
      <w:pPr>
        <w:spacing w:after="0" w:line="183"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On July 1, 2016, we, through Delaware River Partners LLC (“DRP”), a consolidated subsidiary, purchased the assets of Repauno, which consisted primarily of land, a storage cavern, and riparian rights for the acquired land, site improvements and rights. Upon acquisition there were no operational processes that could be applied to these assets that would result in outputs without significant green field development. We currently hold a 90% economic interest and a 100% voting interest in DRP. DRP is solely reliant on us to finance its activities and therefore is a VIE. We concluded that we were the primary beneficiary; and accordingly, DRP has been presented on a consolidated basis in the accompanying financial statements. We have the right to purchase an additional 8% economic interest from the non-controlling party prior to the fifth year anniversary of the acquisition of Repauno. At the time of the purchase, we concluded that 8% of the 10% interest held by the non-controlling party does not share in the risks or rewards of true equity.</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Ohio River Partners LLC</w:t>
      </w:r>
    </w:p>
    <w:p>
      <w:pPr>
        <w:spacing w:after="0" w:line="183"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On June 16, 2017, we, through Ohio River Partners LLC (“ORP”), a consolidated subsidiary, purchased the assets of Long Ridge which consisted primarily of land, buildings, railroad track, docks, water rights, site improvements and other rights. We purchased 100% of the interests in these assets. ORP is solely reliant on us to finance its activities and therefore is a VIE. We concluded that we were the primary beneficiary; accordingly, ORP has been presented on a consolidated basis in the accompanying financial statements.</w:t>
      </w:r>
    </w:p>
    <w:p>
      <w:pPr>
        <w:spacing w:after="0" w:line="129" w:lineRule="exact"/>
        <w:rPr>
          <w:sz w:val="20"/>
          <w:szCs w:val="20"/>
          <w:color w:val="auto"/>
        </w:rPr>
      </w:pPr>
    </w:p>
    <w:p>
      <w:pPr>
        <w:jc w:val="both"/>
        <w:ind w:left="340"/>
        <w:spacing w:after="0" w:line="286" w:lineRule="auto"/>
        <w:rPr>
          <w:sz w:val="20"/>
          <w:szCs w:val="20"/>
          <w:color w:val="auto"/>
        </w:rPr>
      </w:pPr>
      <w:r>
        <w:rPr>
          <w:rFonts w:ascii="Arial" w:cs="Arial" w:eastAsia="Arial" w:hAnsi="Arial"/>
          <w:sz w:val="16"/>
          <w:szCs w:val="16"/>
          <w:b w:val="1"/>
          <w:bCs w:val="1"/>
          <w:i w:val="1"/>
          <w:iCs w:val="1"/>
          <w:color w:val="00497F"/>
        </w:rPr>
        <w:t>Cash and Cash Equivalents</w:t>
      </w:r>
      <w:r>
        <w:rPr>
          <w:rFonts w:ascii="Arial" w:cs="Arial" w:eastAsia="Arial" w:hAnsi="Arial"/>
          <w:sz w:val="16"/>
          <w:szCs w:val="16"/>
          <w:color w:val="00497F"/>
        </w:rPr>
        <w:t>—</w:t>
      </w:r>
      <w:r>
        <w:rPr>
          <w:rFonts w:ascii="Arial" w:cs="Arial" w:eastAsia="Arial" w:hAnsi="Arial"/>
          <w:sz w:val="16"/>
          <w:szCs w:val="16"/>
          <w:color w:val="000000"/>
        </w:rPr>
        <w:t>We consider all highly liquid short-term investments with a maturity of 90 days or less when purchased to be cash</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equivalents.</w:t>
      </w:r>
    </w:p>
    <w:p>
      <w:pPr>
        <w:spacing w:after="0" w:line="102" w:lineRule="exact"/>
        <w:rPr>
          <w:sz w:val="20"/>
          <w:szCs w:val="20"/>
          <w:color w:val="auto"/>
        </w:rPr>
      </w:pPr>
    </w:p>
    <w:p>
      <w:pPr>
        <w:jc w:val="both"/>
        <w:ind w:left="340" w:right="20"/>
        <w:spacing w:after="0" w:line="266" w:lineRule="auto"/>
        <w:rPr>
          <w:sz w:val="20"/>
          <w:szCs w:val="20"/>
          <w:color w:val="auto"/>
        </w:rPr>
      </w:pPr>
      <w:r>
        <w:rPr>
          <w:rFonts w:ascii="Arial" w:cs="Arial" w:eastAsia="Arial" w:hAnsi="Arial"/>
          <w:sz w:val="16"/>
          <w:szCs w:val="16"/>
          <w:b w:val="1"/>
          <w:bCs w:val="1"/>
          <w:i w:val="1"/>
          <w:iCs w:val="1"/>
          <w:color w:val="00497F"/>
        </w:rPr>
        <w:t>Restricted Cash</w:t>
      </w:r>
      <w:r>
        <w:rPr>
          <w:rFonts w:ascii="Arial" w:cs="Arial" w:eastAsia="Arial" w:hAnsi="Arial"/>
          <w:sz w:val="16"/>
          <w:szCs w:val="16"/>
          <w:color w:val="00497F"/>
        </w:rPr>
        <w:t>—</w:t>
      </w:r>
      <w:r>
        <w:rPr>
          <w:rFonts w:ascii="Arial" w:cs="Arial" w:eastAsia="Arial" w:hAnsi="Arial"/>
          <w:sz w:val="16"/>
          <w:szCs w:val="16"/>
          <w:color w:val="000000"/>
        </w:rPr>
        <w:t>Restricted cash was $22,355 and $33,406 as of September 30, 2018 and December 31, 2017, respectively, and consists of prepaid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interest and principal pursuant to the requirements of certain of our debt agreements (Note 8), and funds set aside for qualifying construction projects at Jefferson Terminal.</w:t>
      </w:r>
    </w:p>
    <w:p>
      <w:pPr>
        <w:spacing w:after="0" w:line="118" w:lineRule="exact"/>
        <w:rPr>
          <w:sz w:val="20"/>
          <w:szCs w:val="20"/>
          <w:color w:val="auto"/>
        </w:rPr>
      </w:pPr>
    </w:p>
    <w:p>
      <w:pPr>
        <w:jc w:val="both"/>
        <w:ind w:left="340"/>
        <w:spacing w:after="0" w:line="256" w:lineRule="auto"/>
        <w:rPr>
          <w:sz w:val="20"/>
          <w:szCs w:val="20"/>
          <w:color w:val="auto"/>
        </w:rPr>
      </w:pPr>
      <w:r>
        <w:rPr>
          <w:rFonts w:ascii="Arial" w:cs="Arial" w:eastAsia="Arial" w:hAnsi="Arial"/>
          <w:sz w:val="16"/>
          <w:szCs w:val="16"/>
          <w:b w:val="1"/>
          <w:bCs w:val="1"/>
          <w:i w:val="1"/>
          <w:iCs w:val="1"/>
          <w:color w:val="00497F"/>
        </w:rPr>
        <w:t>Available-For-Sale Securities</w:t>
      </w:r>
      <w:r>
        <w:rPr>
          <w:rFonts w:ascii="Arial" w:cs="Arial" w:eastAsia="Arial" w:hAnsi="Arial"/>
          <w:sz w:val="16"/>
          <w:szCs w:val="16"/>
          <w:color w:val="00497F"/>
        </w:rPr>
        <w:t>—</w:t>
      </w:r>
      <w:r>
        <w:rPr>
          <w:rFonts w:ascii="Arial" w:cs="Arial" w:eastAsia="Arial" w:hAnsi="Arial"/>
          <w:sz w:val="16"/>
          <w:szCs w:val="16"/>
          <w:color w:val="000000"/>
        </w:rPr>
        <w:t>We consider listed equity securities as available-for-sale securities recorded at fair value with unrealized gains (losses)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recorded in other comprehensive income (loss) and realized gains (losses) recorded in earnings. Our basis on which the cost of the security sold or the amount reclassified out of other comprehensive income into earnings is determined using specific identification. Available-for-sale securities are included as a component of investments in the accompanying Consolidated Balance Sheets. At each balance sheet date, we evaluate our available-for-sale securities holdings with unrealized losses to determine if an other-than-temporary impairment has occurred. Refer to Note 6 and Note 9 for details.</w:t>
      </w:r>
    </w:p>
    <w:p>
      <w:pPr>
        <w:spacing w:after="0" w:line="126" w:lineRule="exact"/>
        <w:rPr>
          <w:sz w:val="20"/>
          <w:szCs w:val="20"/>
          <w:color w:val="auto"/>
        </w:rPr>
      </w:pPr>
    </w:p>
    <w:p>
      <w:pPr>
        <w:jc w:val="both"/>
        <w:ind w:left="340"/>
        <w:spacing w:after="0" w:line="266" w:lineRule="auto"/>
        <w:rPr>
          <w:sz w:val="20"/>
          <w:szCs w:val="20"/>
          <w:color w:val="auto"/>
        </w:rPr>
      </w:pPr>
      <w:r>
        <w:rPr>
          <w:rFonts w:ascii="Arial" w:cs="Arial" w:eastAsia="Arial" w:hAnsi="Arial"/>
          <w:sz w:val="16"/>
          <w:szCs w:val="16"/>
          <w:b w:val="1"/>
          <w:bCs w:val="1"/>
          <w:i w:val="1"/>
          <w:iCs w:val="1"/>
          <w:color w:val="00497F"/>
        </w:rPr>
        <w:t>Inventory</w:t>
      </w:r>
      <w:r>
        <w:rPr>
          <w:rFonts w:ascii="Arial" w:cs="Arial" w:eastAsia="Arial" w:hAnsi="Arial"/>
          <w:sz w:val="16"/>
          <w:szCs w:val="16"/>
          <w:color w:val="00497F"/>
        </w:rPr>
        <w:t>—</w:t>
      </w:r>
      <w:r>
        <w:rPr>
          <w:rFonts w:ascii="Arial" w:cs="Arial" w:eastAsia="Arial" w:hAnsi="Arial"/>
          <w:sz w:val="16"/>
          <w:szCs w:val="16"/>
          <w:color w:val="000000"/>
        </w:rPr>
        <w:t>Commodities inventory are carried at the lower of cost or net realizable value on our balance sheet. Commodities are removed from inventory</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based on the average cost at the time of sale. At September 30, 2018 and December 31, 2017, we had commodities inventory of $13,620 and $8,877, respectively. We record our inventory as a component of other assets in the accompanying Consolidated Balance Sheets.</w:t>
      </w:r>
    </w:p>
    <w:p>
      <w:pPr>
        <w:spacing w:after="0" w:line="118" w:lineRule="exact"/>
        <w:rPr>
          <w:sz w:val="20"/>
          <w:szCs w:val="20"/>
          <w:color w:val="auto"/>
        </w:rPr>
      </w:pPr>
    </w:p>
    <w:p>
      <w:pPr>
        <w:jc w:val="both"/>
        <w:ind w:left="340"/>
        <w:spacing w:after="0" w:line="259" w:lineRule="auto"/>
        <w:rPr>
          <w:sz w:val="20"/>
          <w:szCs w:val="20"/>
          <w:color w:val="auto"/>
        </w:rPr>
      </w:pPr>
      <w:r>
        <w:rPr>
          <w:rFonts w:ascii="Arial" w:cs="Arial" w:eastAsia="Arial" w:hAnsi="Arial"/>
          <w:sz w:val="16"/>
          <w:szCs w:val="16"/>
          <w:b w:val="1"/>
          <w:bCs w:val="1"/>
          <w:i w:val="1"/>
          <w:iCs w:val="1"/>
          <w:color w:val="00497F"/>
        </w:rPr>
        <w:t>Deferred Financing Costs</w:t>
      </w:r>
      <w:r>
        <w:rPr>
          <w:rFonts w:ascii="Arial" w:cs="Arial" w:eastAsia="Arial" w:hAnsi="Arial"/>
          <w:sz w:val="16"/>
          <w:szCs w:val="16"/>
          <w:color w:val="00497F"/>
        </w:rPr>
        <w:t>—</w:t>
      </w:r>
      <w:r>
        <w:rPr>
          <w:rFonts w:ascii="Arial" w:cs="Arial" w:eastAsia="Arial" w:hAnsi="Arial"/>
          <w:sz w:val="16"/>
          <w:szCs w:val="16"/>
          <w:color w:val="000000"/>
        </w:rPr>
        <w:t>Costs incurred in connection with obtaining long term financing are capitalized and amortized to interest expense over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term of the underlying loans. Unamortized deferred financing costs of $15,265 and $11,423 as of September 30, 2018 and December 31, 2017, respectively, are recorded as a component of debt in the accompanying Consolidated Balance Sheets. In September 2018, we issued the 2025 Notes (as defined in Note 8) and incurred $5,367 of deferred financing costs. Refer to Note 8 for details.</w:t>
      </w:r>
    </w:p>
    <w:p>
      <w:pPr>
        <w:spacing w:after="0" w:line="144"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Amortization expense was $1,681 and $4,164 for the three and nine months ended September 30, 2018, respectively, and $1,056 and $3,120 for the three and nine months ended September 30, 2017, respectively. Amortization expense is included as a component of interest expense in the accompanying Consolidated Statements of Operations.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4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00497F"/>
        </w:rPr>
        <w:t>Revenue Recognition</w:t>
      </w:r>
    </w:p>
    <w:p>
      <w:pPr>
        <w:spacing w:after="0" w:line="117" w:lineRule="exact"/>
        <w:rPr>
          <w:sz w:val="20"/>
          <w:szCs w:val="20"/>
          <w:color w:val="auto"/>
        </w:rPr>
      </w:pPr>
    </w:p>
    <w:p>
      <w:pPr>
        <w:jc w:val="both"/>
        <w:ind w:left="340"/>
        <w:spacing w:after="0" w:line="258" w:lineRule="auto"/>
        <w:rPr>
          <w:sz w:val="20"/>
          <w:szCs w:val="20"/>
          <w:color w:val="auto"/>
        </w:rPr>
      </w:pPr>
      <w:r>
        <w:rPr>
          <w:rFonts w:ascii="Arial" w:cs="Arial" w:eastAsia="Arial" w:hAnsi="Arial"/>
          <w:sz w:val="16"/>
          <w:szCs w:val="16"/>
          <w:color w:val="auto"/>
        </w:rPr>
        <w:t xml:space="preserve">Effective January 1, 2018, we adopted FASB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using the modified retrospective approach. ASC 606 requires revenue to be recognized when we transfer promised services to customers in amounts that reflect the consideration to which a company expects to be entitled in exchange for those services. The adoption of the standard did not have a material impact on our consolidated financial statements. See below for a detailed description of revenue recognition by our two strategic business units, Equipment Leasing and Infrastructure.</w:t>
      </w:r>
    </w:p>
    <w:p>
      <w:pPr>
        <w:spacing w:after="0" w:line="73" w:lineRule="exact"/>
        <w:rPr>
          <w:sz w:val="20"/>
          <w:szCs w:val="20"/>
          <w:color w:val="auto"/>
        </w:rPr>
      </w:pPr>
    </w:p>
    <w:p>
      <w:pPr>
        <w:jc w:val="both"/>
        <w:ind w:left="340"/>
        <w:spacing w:after="0" w:line="258" w:lineRule="auto"/>
        <w:rPr>
          <w:sz w:val="20"/>
          <w:szCs w:val="20"/>
          <w:color w:val="auto"/>
        </w:rPr>
      </w:pPr>
      <w:r>
        <w:rPr>
          <w:rFonts w:ascii="Arial" w:cs="Arial" w:eastAsia="Arial" w:hAnsi="Arial"/>
          <w:sz w:val="16"/>
          <w:szCs w:val="16"/>
          <w:color w:val="auto"/>
        </w:rPr>
        <w:t xml:space="preserve">Lease contracts within the scope of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 are specifically excluded from ASC 606, and lease contracts entered into by Equipment Leasing and Infrastructure are accounted for under ASC 840. However, Infrastructure revenues that do not qualify as leases or service arrangements embedded in lease contracts are accounted for under ASC 606. Payment terms are short term in nature and do not extend beyond one year. See Note 10 for additional details regarding the disaggregation of our revenues by segment.</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Equipment Leasing Revenues</w:t>
      </w:r>
    </w:p>
    <w:p>
      <w:pPr>
        <w:spacing w:after="0" w:line="221" w:lineRule="exact"/>
        <w:rPr>
          <w:sz w:val="20"/>
          <w:szCs w:val="20"/>
          <w:color w:val="auto"/>
        </w:rPr>
      </w:pPr>
    </w:p>
    <w:p>
      <w:pPr>
        <w:jc w:val="both"/>
        <w:ind w:left="340"/>
        <w:spacing w:after="0" w:line="266" w:lineRule="auto"/>
        <w:rPr>
          <w:sz w:val="20"/>
          <w:szCs w:val="20"/>
          <w:color w:val="auto"/>
        </w:rPr>
      </w:pPr>
      <w:r>
        <w:rPr>
          <w:rFonts w:ascii="Arial" w:cs="Arial" w:eastAsia="Arial" w:hAnsi="Arial"/>
          <w:sz w:val="16"/>
          <w:szCs w:val="16"/>
          <w:b w:val="1"/>
          <w:bCs w:val="1"/>
          <w:i w:val="1"/>
          <w:iCs w:val="1"/>
          <w:color w:val="00497F"/>
        </w:rPr>
        <w:t>Operating Leases</w:t>
      </w:r>
      <w:r>
        <w:rPr>
          <w:rFonts w:ascii="Arial" w:cs="Arial" w:eastAsia="Arial" w:hAnsi="Arial"/>
          <w:sz w:val="16"/>
          <w:szCs w:val="16"/>
          <w:color w:val="000000"/>
        </w:rPr>
        <w:t>—We lease equipment pursuant to net operating leases. Operating leases with fixed rentals and step rentals are recognized on a</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straight-line 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84" w:lineRule="exact"/>
        <w:rPr>
          <w:sz w:val="20"/>
          <w:szCs w:val="20"/>
          <w:color w:val="auto"/>
        </w:rPr>
      </w:pPr>
    </w:p>
    <w:p>
      <w:pPr>
        <w:jc w:val="both"/>
        <w:ind w:left="340"/>
        <w:spacing w:after="0" w:line="249" w:lineRule="auto"/>
        <w:rPr>
          <w:sz w:val="20"/>
          <w:szCs w:val="20"/>
          <w:color w:val="auto"/>
        </w:rPr>
      </w:pPr>
      <w:r>
        <w:rPr>
          <w:rFonts w:ascii="Arial" w:cs="Arial" w:eastAsia="Arial" w:hAnsi="Arial"/>
          <w:sz w:val="16"/>
          <w:szCs w:val="16"/>
          <w:color w:val="auto"/>
        </w:rPr>
        <w:t>Generally, under our aircraft lease and engine agreements, the lessee is required to make periodic maintenance payments calculated based on the lessee’s utilization of the leased asset. Typically, under our aircraft lease agreements, the lessee is responsible for maintenance, repairs and other operating expenses throughout the term of the lease. These periodic maintenance payments accumulate over the term of the lease to fund major maintenance events, and we are contractually obligated to return maintenance payments to the lessee up to the amount paid by the lessee. In the event the total cost of maintenance events over the term of a lease is less than the cumulative maintenance payments, we are not required to return any unused or excess maintenance payments to the lessee.</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Maintenance payments received for which we expect to repay to the lessee are presented as Maintenance Deposits in our Consolidated Balance Sheets.</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excess maintenance payments received that we do not expect to repay to the lessee are recorded as Maintenance revenues.</w:t>
      </w:r>
    </w:p>
    <w:p>
      <w:pPr>
        <w:spacing w:after="0" w:line="147"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b w:val="1"/>
          <w:bCs w:val="1"/>
          <w:i w:val="1"/>
          <w:iCs w:val="1"/>
          <w:color w:val="00497F"/>
        </w:rPr>
        <w:t>Finance Leases</w:t>
      </w:r>
      <w:r>
        <w:rPr>
          <w:rFonts w:ascii="Arial" w:cs="Arial" w:eastAsia="Arial" w:hAnsi="Arial"/>
          <w:sz w:val="16"/>
          <w:szCs w:val="16"/>
          <w:color w:val="000000"/>
        </w:rPr>
        <w:t>—From time to time we enter into finance lease arrangements that include a lessee obligation to purchase the leased equipment at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end of the lease term, a bargain purchase option, or provides for minimum lease payments with a present value of 90% or more of the fair value of the leased equipment at the date of lease inception. Net investment in finance lease represents the minimum lease payments due from lessee, net of unearned income. The lease payments are segregated into principal and interest components similar to a loan. Unearned income is recognized on an effective interest method over the lease term and is recorded as finance lease income. The principal component of the lease payment is reflected as a reduction to the net investment in finance leases.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Infrastructure Revenues</w:t>
      </w:r>
    </w:p>
    <w:p>
      <w:pPr>
        <w:spacing w:after="0" w:line="221" w:lineRule="exact"/>
        <w:rPr>
          <w:sz w:val="20"/>
          <w:szCs w:val="20"/>
          <w:color w:val="auto"/>
        </w:rPr>
      </w:pPr>
    </w:p>
    <w:p>
      <w:pPr>
        <w:jc w:val="both"/>
        <w:ind w:left="340"/>
        <w:spacing w:after="0" w:line="256" w:lineRule="auto"/>
        <w:rPr>
          <w:sz w:val="20"/>
          <w:szCs w:val="20"/>
          <w:color w:val="auto"/>
        </w:rPr>
      </w:pPr>
      <w:r>
        <w:rPr>
          <w:rFonts w:ascii="Arial" w:cs="Arial" w:eastAsia="Arial" w:hAnsi="Arial"/>
          <w:sz w:val="16"/>
          <w:szCs w:val="16"/>
          <w:b w:val="1"/>
          <w:bCs w:val="1"/>
          <w:i w:val="1"/>
          <w:iCs w:val="1"/>
          <w:color w:val="00497F"/>
        </w:rPr>
        <w:t>Rail Revenues</w:t>
      </w:r>
      <w:r>
        <w:rPr>
          <w:rFonts w:ascii="Arial" w:cs="Arial" w:eastAsia="Arial" w:hAnsi="Arial"/>
          <w:sz w:val="16"/>
          <w:szCs w:val="16"/>
          <w:color w:val="000000"/>
        </w:rPr>
        <w:t>—Rail revenues generally consist of the following performance obligations: freight movement, demurrage, unloading and switching. Freight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movement revenues are recognized proportionally based on distance as freight is transported from origin to destination. Accordingly, freight movement revenue is recognized over time with progress measured based on distance transpired, i.e., as the services are rendered and the customer simultaneously receives and consumes the benefit over time. Demurrage, unloading and switching are recognized in other miscellaneous rail revenues, for which demurrage progress is measured over time, and unloading and switching revenues are measured at a point in time as the service is rendered.</w:t>
      </w:r>
    </w:p>
    <w:p>
      <w:pPr>
        <w:spacing w:after="0" w:line="180" w:lineRule="exact"/>
        <w:rPr>
          <w:sz w:val="20"/>
          <w:szCs w:val="20"/>
          <w:color w:val="auto"/>
        </w:rPr>
      </w:pPr>
    </w:p>
    <w:p>
      <w:pPr>
        <w:jc w:val="both"/>
        <w:ind w:left="340"/>
        <w:spacing w:after="0" w:line="286" w:lineRule="auto"/>
        <w:rPr>
          <w:sz w:val="20"/>
          <w:szCs w:val="20"/>
          <w:color w:val="auto"/>
        </w:rPr>
      </w:pPr>
      <w:r>
        <w:rPr>
          <w:rFonts w:ascii="Arial" w:cs="Arial" w:eastAsia="Arial" w:hAnsi="Arial"/>
          <w:sz w:val="16"/>
          <w:szCs w:val="16"/>
          <w:b w:val="1"/>
          <w:bCs w:val="1"/>
          <w:i w:val="1"/>
          <w:iCs w:val="1"/>
          <w:color w:val="00497F"/>
        </w:rPr>
        <w:t>Terminal Services Revenues</w:t>
      </w:r>
      <w:r>
        <w:rPr>
          <w:rFonts w:ascii="Arial" w:cs="Arial" w:eastAsia="Arial" w:hAnsi="Arial"/>
          <w:sz w:val="16"/>
          <w:szCs w:val="16"/>
          <w:color w:val="000000"/>
        </w:rPr>
        <w:t>—Terminal services are provided to customers for the receipt and redelivery of various commodities. These revenues are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recognized over time, i.e., as the services are rendered and the customer simultaneously receives and consumes the benefit over time.</w:t>
      </w:r>
    </w:p>
    <w:p>
      <w:pPr>
        <w:spacing w:after="0" w:line="156" w:lineRule="exact"/>
        <w:rPr>
          <w:sz w:val="20"/>
          <w:szCs w:val="20"/>
          <w:color w:val="auto"/>
        </w:rPr>
      </w:pPr>
    </w:p>
    <w:p>
      <w:pPr>
        <w:jc w:val="both"/>
        <w:ind w:left="340" w:right="20"/>
        <w:spacing w:after="0" w:line="286" w:lineRule="auto"/>
        <w:rPr>
          <w:sz w:val="20"/>
          <w:szCs w:val="20"/>
          <w:color w:val="auto"/>
        </w:rPr>
      </w:pPr>
      <w:r>
        <w:rPr>
          <w:rFonts w:ascii="Arial" w:cs="Arial" w:eastAsia="Arial" w:hAnsi="Arial"/>
          <w:sz w:val="16"/>
          <w:szCs w:val="16"/>
          <w:b w:val="1"/>
          <w:bCs w:val="1"/>
          <w:i w:val="1"/>
          <w:iCs w:val="1"/>
          <w:color w:val="00497F"/>
        </w:rPr>
        <w:t>Lease Income</w:t>
      </w:r>
      <w:r>
        <w:rPr>
          <w:rFonts w:ascii="Arial" w:cs="Arial" w:eastAsia="Arial" w:hAnsi="Arial"/>
          <w:sz w:val="16"/>
          <w:szCs w:val="16"/>
          <w:color w:val="000000"/>
        </w:rPr>
        <w:t>—Lease income consists of rental income from tenants for storage space. Lease income is recognized on a straight-line basis over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term</w:t>
      </w:r>
      <w:r>
        <w:rPr>
          <w:rFonts w:ascii="Arial" w:cs="Arial" w:eastAsia="Arial" w:hAnsi="Arial"/>
          <w:sz w:val="16"/>
          <w:szCs w:val="16"/>
          <w:color w:val="000000"/>
          <w:strike w:val="1"/>
        </w:rPr>
        <w:t>s</w:t>
      </w:r>
      <w:r>
        <w:rPr>
          <w:rFonts w:ascii="Arial" w:cs="Arial" w:eastAsia="Arial" w:hAnsi="Arial"/>
          <w:sz w:val="16"/>
          <w:szCs w:val="16"/>
          <w:color w:val="000000"/>
        </w:rPr>
        <w:t xml:space="preserve"> of the relevant lease agreement.</w:t>
      </w:r>
    </w:p>
    <w:p>
      <w:pPr>
        <w:spacing w:after="0" w:line="156" w:lineRule="exact"/>
        <w:rPr>
          <w:sz w:val="20"/>
          <w:szCs w:val="20"/>
          <w:color w:val="auto"/>
        </w:rPr>
      </w:pPr>
    </w:p>
    <w:p>
      <w:pPr>
        <w:jc w:val="both"/>
        <w:ind w:left="340"/>
        <w:spacing w:after="0" w:line="266" w:lineRule="auto"/>
        <w:rPr>
          <w:sz w:val="20"/>
          <w:szCs w:val="20"/>
          <w:color w:val="auto"/>
        </w:rPr>
      </w:pPr>
      <w:r>
        <w:rPr>
          <w:rFonts w:ascii="Arial" w:cs="Arial" w:eastAsia="Arial" w:hAnsi="Arial"/>
          <w:sz w:val="16"/>
          <w:szCs w:val="16"/>
          <w:b w:val="1"/>
          <w:bCs w:val="1"/>
          <w:i w:val="1"/>
          <w:iCs w:val="1"/>
          <w:color w:val="00497F"/>
        </w:rPr>
        <w:t>Other Revenue</w:t>
      </w:r>
      <w:r>
        <w:rPr>
          <w:rFonts w:ascii="Arial" w:cs="Arial" w:eastAsia="Arial" w:hAnsi="Arial"/>
          <w:sz w:val="16"/>
          <w:szCs w:val="16"/>
          <w:color w:val="000000"/>
        </w:rPr>
        <w:t>—Other revenue primarily consists of marketing revenue related to Canadian crude oil. Other revenue consists of two performance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obligations: handling and storage of raw materials. The revenues are recognized over time, i.e., as the services are rendered and the customer simultaneously receives and consumes the benefit over time.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Payment terms for Infrastructure Revenues are generally short term in nature.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59" w:lineRule="auto"/>
        <w:rPr>
          <w:sz w:val="20"/>
          <w:szCs w:val="20"/>
          <w:color w:val="auto"/>
        </w:rPr>
      </w:pPr>
      <w:r>
        <w:rPr>
          <w:rFonts w:ascii="Arial" w:cs="Arial" w:eastAsia="Arial" w:hAnsi="Arial"/>
          <w:sz w:val="16"/>
          <w:szCs w:val="16"/>
          <w:b w:val="1"/>
          <w:bCs w:val="1"/>
          <w:i w:val="1"/>
          <w:iCs w:val="1"/>
          <w:color w:val="00497F"/>
        </w:rPr>
        <w:t>Concentration of Credit Risk</w:t>
      </w:r>
      <w:r>
        <w:rPr>
          <w:rFonts w:ascii="Arial" w:cs="Arial" w:eastAsia="Arial" w:hAnsi="Arial"/>
          <w:sz w:val="16"/>
          <w:szCs w:val="16"/>
          <w:color w:val="00497F"/>
        </w:rPr>
        <w:t>—</w:t>
      </w:r>
      <w:r>
        <w:rPr>
          <w:rFonts w:ascii="Arial" w:cs="Arial" w:eastAsia="Arial" w:hAnsi="Arial"/>
          <w:sz w:val="16"/>
          <w:szCs w:val="16"/>
          <w:color w:val="000000"/>
        </w:rPr>
        <w:t>We are subject to concentrations of credit risk with respect to amounts due from customers on our finance leases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operating leases. We attempt to limit our credit risk by performing ongoing credit evaluations. During the three months ended September 30, 2018, one customer in the Jefferson Terminal segment accounted for approximately 15% of total revenue. There were no customers with a revenue concentration over 10% of total revenue during the other periods presented.</w:t>
      </w:r>
    </w:p>
    <w:p>
      <w:pPr>
        <w:spacing w:after="0" w:line="252"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As of September 30, 2018, accounts receivable from one customer in the Jefferson Terminal segment represented 31% of total accounts receivable, net. As of December 31, 2017, accounts receivable from two customers in the Offshore Energy segment each represented 17% and 10% of total accounts receivable, net.</w:t>
      </w:r>
    </w:p>
    <w:p>
      <w:pPr>
        <w:spacing w:after="0" w:line="255"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We maintain cash and restricted cash balances, which generally exceed federally insured limits, and subject us to credit risk, in high credit quality financial institutions. We monitor the financial condition of these institutions and have not experienced any losses associated with these accounts.</w:t>
      </w:r>
    </w:p>
    <w:p>
      <w:pPr>
        <w:spacing w:after="0" w:line="230" w:lineRule="exact"/>
        <w:rPr>
          <w:sz w:val="20"/>
          <w:szCs w:val="20"/>
          <w:color w:val="auto"/>
        </w:rPr>
      </w:pPr>
    </w:p>
    <w:p>
      <w:pPr>
        <w:jc w:val="both"/>
        <w:ind w:left="340"/>
        <w:spacing w:after="0" w:line="259" w:lineRule="auto"/>
        <w:rPr>
          <w:sz w:val="20"/>
          <w:szCs w:val="20"/>
          <w:color w:val="auto"/>
        </w:rPr>
      </w:pPr>
      <w:r>
        <w:rPr>
          <w:rFonts w:ascii="Arial" w:cs="Arial" w:eastAsia="Arial" w:hAnsi="Arial"/>
          <w:sz w:val="16"/>
          <w:szCs w:val="16"/>
          <w:b w:val="1"/>
          <w:bCs w:val="1"/>
          <w:i w:val="1"/>
          <w:iCs w:val="1"/>
          <w:color w:val="00497F"/>
        </w:rPr>
        <w:t>Provision for Doubtful Accounts</w:t>
      </w:r>
      <w:r>
        <w:rPr>
          <w:rFonts w:ascii="Arial" w:cs="Arial" w:eastAsia="Arial" w:hAnsi="Arial"/>
          <w:sz w:val="16"/>
          <w:szCs w:val="16"/>
          <w:color w:val="00497F"/>
        </w:rPr>
        <w:t>—</w:t>
      </w:r>
      <w:r>
        <w:rPr>
          <w:rFonts w:ascii="Arial" w:cs="Arial" w:eastAsia="Arial" w:hAnsi="Arial"/>
          <w:sz w:val="16"/>
          <w:szCs w:val="16"/>
          <w:color w:val="000000"/>
        </w:rPr>
        <w:t>We determine the provision for doubtful accounts based on our assessment of the collectability of our receivables on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 customer-by-customer basis. The provision for doubtful accounts at September 30, 2018 and December 31, 2017 was $2,083 and $983, respectively. Bad debt expense was $65 and $1,586 for the three and nine months ended September 30, 2018, respectively, and $0 and $63 for the three and nine months ended September 30, 2017, respectively.</w:t>
      </w:r>
    </w:p>
    <w:p>
      <w:pPr>
        <w:spacing w:after="0" w:line="124" w:lineRule="exact"/>
        <w:rPr>
          <w:sz w:val="20"/>
          <w:szCs w:val="20"/>
          <w:color w:val="auto"/>
        </w:rPr>
      </w:pPr>
    </w:p>
    <w:p>
      <w:pPr>
        <w:jc w:val="both"/>
        <w:ind w:left="340"/>
        <w:spacing w:after="0" w:line="259" w:lineRule="auto"/>
        <w:rPr>
          <w:sz w:val="20"/>
          <w:szCs w:val="20"/>
          <w:color w:val="auto"/>
        </w:rPr>
      </w:pPr>
      <w:r>
        <w:rPr>
          <w:rFonts w:ascii="Arial" w:cs="Arial" w:eastAsia="Arial" w:hAnsi="Arial"/>
          <w:sz w:val="16"/>
          <w:szCs w:val="16"/>
          <w:b w:val="1"/>
          <w:bCs w:val="1"/>
          <w:i w:val="1"/>
          <w:iCs w:val="1"/>
          <w:color w:val="00497F"/>
        </w:rPr>
        <w:t>Comprehensive Income (Loss)</w:t>
      </w:r>
      <w:r>
        <w:rPr>
          <w:rFonts w:ascii="Arial" w:cs="Arial" w:eastAsia="Arial" w:hAnsi="Arial"/>
          <w:sz w:val="16"/>
          <w:szCs w:val="16"/>
          <w:color w:val="00497F"/>
        </w:rPr>
        <w:t>—</w:t>
      </w:r>
      <w:r>
        <w:rPr>
          <w:rFonts w:ascii="Arial" w:cs="Arial" w:eastAsia="Arial" w:hAnsi="Arial"/>
          <w:sz w:val="16"/>
          <w:szCs w:val="16"/>
          <w:color w:val="000000"/>
        </w:rPr>
        <w:t>Comprehensive income (loss) is defined as the change in equity of a business enterprise during a period from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transactions and other events and circumstances, excluding those resulting from investments by and distributions to owners. Our comprehensive income (loss) represents net income (loss), as presented in the Consolidated Statements of Operations, adjusted for fair value changes related to the available-for-sale securities and derivatives accounted for as cash flow hedges.</w:t>
      </w:r>
    </w:p>
    <w:p>
      <w:pPr>
        <w:spacing w:after="0" w:line="70" w:lineRule="exact"/>
        <w:rPr>
          <w:sz w:val="20"/>
          <w:szCs w:val="20"/>
          <w:color w:val="auto"/>
        </w:rPr>
      </w:pPr>
    </w:p>
    <w:p>
      <w:pPr>
        <w:jc w:val="both"/>
        <w:ind w:left="340"/>
        <w:spacing w:after="0" w:line="266" w:lineRule="auto"/>
        <w:rPr>
          <w:sz w:val="20"/>
          <w:szCs w:val="20"/>
          <w:color w:val="auto"/>
        </w:rPr>
      </w:pPr>
      <w:r>
        <w:rPr>
          <w:rFonts w:ascii="Arial" w:cs="Arial" w:eastAsia="Arial" w:hAnsi="Arial"/>
          <w:sz w:val="16"/>
          <w:szCs w:val="16"/>
          <w:b w:val="1"/>
          <w:bCs w:val="1"/>
          <w:i w:val="1"/>
          <w:iCs w:val="1"/>
          <w:color w:val="00497F"/>
        </w:rPr>
        <w:t>Derivative Financial Instruments—</w:t>
      </w:r>
      <w:r>
        <w:rPr>
          <w:rFonts w:ascii="Arial" w:cs="Arial" w:eastAsia="Arial" w:hAnsi="Arial"/>
          <w:sz w:val="16"/>
          <w:szCs w:val="16"/>
          <w:color w:val="000000"/>
        </w:rPr>
        <w:t>During 2017 we entered into short-term crude forward contracts. The fair value of our derivative assets at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September 30, 2018 and December 31, 2017 was $1,215 and $1,022, respectively, and is recorded in other assets. The fair value of our derivative liabilities at September 30, 2018 and December 31, 2017 was $760 and $0, respectively, and is recorded in other liabilities.</w:t>
      </w:r>
    </w:p>
    <w:p>
      <w:pPr>
        <w:spacing w:after="0" w:line="118" w:lineRule="exact"/>
        <w:rPr>
          <w:sz w:val="20"/>
          <w:szCs w:val="20"/>
          <w:color w:val="auto"/>
        </w:rPr>
      </w:pPr>
    </w:p>
    <w:p>
      <w:pPr>
        <w:jc w:val="both"/>
        <w:ind w:left="340"/>
        <w:spacing w:after="0" w:line="266" w:lineRule="auto"/>
        <w:rPr>
          <w:sz w:val="20"/>
          <w:szCs w:val="20"/>
          <w:color w:val="auto"/>
        </w:rPr>
      </w:pPr>
      <w:r>
        <w:rPr>
          <w:rFonts w:ascii="Arial" w:cs="Arial" w:eastAsia="Arial" w:hAnsi="Arial"/>
          <w:sz w:val="16"/>
          <w:szCs w:val="16"/>
          <w:b w:val="1"/>
          <w:bCs w:val="1"/>
          <w:i w:val="1"/>
          <w:iCs w:val="1"/>
          <w:color w:val="00497F"/>
        </w:rPr>
        <w:t>Other Assets—</w:t>
      </w:r>
      <w:r>
        <w:rPr>
          <w:rFonts w:ascii="Arial" w:cs="Arial" w:eastAsia="Arial" w:hAnsi="Arial"/>
          <w:sz w:val="16"/>
          <w:szCs w:val="16"/>
          <w:color w:val="000000"/>
        </w:rPr>
        <w:t>Other assets is primarily comprised of commodities inventory of $13,620 and $8,877, purchase deposits for acquisitions of $17,406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$12,299, lease incentives of $37,078 and $23,811, and prepaid expenses of $5,394 and $4,149 as of September 30, 2018 and December 31, 2017, respectively.</w:t>
      </w:r>
    </w:p>
    <w:p>
      <w:pPr>
        <w:spacing w:after="0" w:line="118" w:lineRule="exact"/>
        <w:rPr>
          <w:sz w:val="20"/>
          <w:szCs w:val="20"/>
          <w:color w:val="auto"/>
        </w:rPr>
      </w:pPr>
    </w:p>
    <w:p>
      <w:pPr>
        <w:jc w:val="both"/>
        <w:ind w:left="340"/>
        <w:spacing w:after="0" w:line="286" w:lineRule="auto"/>
        <w:rPr>
          <w:sz w:val="20"/>
          <w:szCs w:val="20"/>
          <w:color w:val="auto"/>
        </w:rPr>
      </w:pPr>
      <w:r>
        <w:rPr>
          <w:rFonts w:ascii="Arial" w:cs="Arial" w:eastAsia="Arial" w:hAnsi="Arial"/>
          <w:sz w:val="16"/>
          <w:szCs w:val="16"/>
          <w:b w:val="1"/>
          <w:bCs w:val="1"/>
          <w:i w:val="1"/>
          <w:iCs w:val="1"/>
          <w:color w:val="00497F"/>
        </w:rPr>
        <w:t>Dividends—</w:t>
      </w:r>
      <w:r>
        <w:rPr>
          <w:rFonts w:ascii="Arial" w:cs="Arial" w:eastAsia="Arial" w:hAnsi="Arial"/>
          <w:sz w:val="16"/>
          <w:szCs w:val="16"/>
          <w:color w:val="000000"/>
        </w:rPr>
        <w:t>Dividends are recorded if and when declared by the Board of Directors. For both the three and nine months ended September 30, 2018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2017, the Board of Directors declared a cash dividend of $0.33 and $0.99 per share, respectively.</w:t>
      </w:r>
    </w:p>
    <w:p>
      <w:pPr>
        <w:spacing w:after="0" w:line="102"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b w:val="1"/>
          <w:bCs w:val="1"/>
          <w:i w:val="1"/>
          <w:iCs w:val="1"/>
          <w:color w:val="00497F"/>
        </w:rPr>
        <w:t>Recent Accounting Pronouncements</w:t>
      </w:r>
      <w:r>
        <w:rPr>
          <w:rFonts w:ascii="Arial" w:cs="Arial" w:eastAsia="Arial" w:hAnsi="Arial"/>
          <w:sz w:val="16"/>
          <w:szCs w:val="16"/>
          <w:color w:val="00497F"/>
        </w:rPr>
        <w:t>—</w:t>
      </w:r>
      <w:r>
        <w:rPr>
          <w:rFonts w:ascii="Arial" w:cs="Arial" w:eastAsia="Arial" w:hAnsi="Arial"/>
          <w:sz w:val="16"/>
          <w:szCs w:val="16"/>
          <w:color w:val="000000"/>
        </w:rPr>
        <w:t>In May 2014, the FASB issued ASU 2014-09,</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Revenues from Contracts with Customers (Topic 606)</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(“ASU</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2014-09”)</w:t>
      </w:r>
      <w:r>
        <w:rPr>
          <w:rFonts w:ascii="Arial" w:cs="Arial" w:eastAsia="Arial" w:hAnsi="Arial"/>
          <w:sz w:val="16"/>
          <w:szCs w:val="16"/>
          <w:i w:val="1"/>
          <w:iCs w:val="1"/>
          <w:color w:val="000000"/>
        </w:rPr>
        <w:t>.</w:t>
      </w:r>
      <w:r>
        <w:rPr>
          <w:rFonts w:ascii="Arial" w:cs="Arial" w:eastAsia="Arial" w:hAnsi="Arial"/>
          <w:sz w:val="16"/>
          <w:szCs w:val="16"/>
          <w:color w:val="000000"/>
        </w:rPr>
        <w:t xml:space="preserve"> ASU 2014-09 requires that a company recognize revenue when it transfers promised goods or services to customers in an amount that reflects the consideration to which the company expects to be entitled in exchange for those goods or services. In doing so, companies will need to use more judgment and make more estimates than under current guidance. These may include identifying performance obligations in the contract, estimating the amount of variable consideration to include in the transaction price and allocating the transaction price to each separate performance obligation. We adopted ASU 2014-09 as of January 1, 2018 and the adoption of this guidance did not have a material impact on our consolidated financial statements.</w:t>
      </w:r>
    </w:p>
    <w:p>
      <w:pPr>
        <w:spacing w:after="0" w:line="132"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Liabilities </w:t>
      </w:r>
      <w:r>
        <w:rPr>
          <w:rFonts w:ascii="Arial" w:cs="Arial" w:eastAsia="Arial" w:hAnsi="Arial"/>
          <w:sz w:val="16"/>
          <w:szCs w:val="16"/>
          <w:color w:val="auto"/>
        </w:rPr>
        <w:t>(“ASU 2016-01”). ASU 2016-01 requires (i) equity investments, except those accounted for under the equity method of accounting or</w:t>
      </w:r>
      <w:r>
        <w:rPr>
          <w:rFonts w:ascii="Arial" w:cs="Arial" w:eastAsia="Arial" w:hAnsi="Arial"/>
          <w:sz w:val="16"/>
          <w:szCs w:val="16"/>
          <w:i w:val="1"/>
          <w:iCs w:val="1"/>
          <w:color w:val="auto"/>
        </w:rPr>
        <w:t xml:space="preserve"> </w:t>
      </w:r>
      <w:r>
        <w:rPr>
          <w:rFonts w:ascii="Arial" w:cs="Arial" w:eastAsia="Arial" w:hAnsi="Arial"/>
          <w:sz w:val="16"/>
          <w:szCs w:val="16"/>
          <w:color w:val="auto"/>
        </w:rPr>
        <w:t>those that result in consolidation of the investee, to be measured at fair value with changes in fair value recognized in net income, (ii) public business entities to use the exit price notion when measuring the fair value of financial instruments for disclosure purposes, and (iii) separate presentation of financial assets and financial liabilities by measurement category and form of financial asset. ASU 2016-01 also eliminates the requirement for public business entities to disclose the methods and significant assumptions used to estimate the fair value that is required to be disclosed for financial instruments measured at amortized cost. We adopted ASU 2016-01 as of January 1, 2018 and the adoption of this guidance did not have any impact on our consolidated financial statements.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Classification of Certain Cash Receipts and Cash Payments</w:t>
      </w:r>
      <w:r>
        <w:rPr>
          <w:rFonts w:ascii="Arial" w:cs="Arial" w:eastAsia="Arial" w:hAnsi="Arial"/>
          <w:sz w:val="16"/>
          <w:szCs w:val="16"/>
          <w:color w:val="auto"/>
        </w:rPr>
        <w:t xml:space="preserve"> (“ASU 2016-15”)</w:t>
      </w:r>
      <w:r>
        <w:rPr>
          <w:rFonts w:ascii="Arial" w:cs="Arial" w:eastAsia="Arial" w:hAnsi="Arial"/>
          <w:sz w:val="16"/>
          <w:szCs w:val="16"/>
          <w:i w:val="1"/>
          <w:iCs w:val="1"/>
          <w:color w:val="auto"/>
        </w:rPr>
        <w:t>.</w:t>
      </w:r>
    </w:p>
    <w:p>
      <w:pPr>
        <w:spacing w:after="0" w:line="21" w:lineRule="exact"/>
        <w:rPr>
          <w:sz w:val="20"/>
          <w:szCs w:val="20"/>
          <w:color w:val="auto"/>
        </w:rPr>
      </w:pPr>
    </w:p>
    <w:p>
      <w:pPr>
        <w:jc w:val="both"/>
        <w:ind w:left="340"/>
        <w:spacing w:after="0" w:line="249" w:lineRule="auto"/>
        <w:rPr>
          <w:sz w:val="20"/>
          <w:szCs w:val="20"/>
          <w:color w:val="auto"/>
        </w:rPr>
      </w:pPr>
      <w:r>
        <w:rPr>
          <w:rFonts w:ascii="Arial" w:cs="Arial" w:eastAsia="Arial" w:hAnsi="Arial"/>
          <w:sz w:val="16"/>
          <w:szCs w:val="16"/>
          <w:color w:val="auto"/>
        </w:rPr>
        <w:t>ASU 2016-15 addresses the following eight specific cash flow issues: (i) debt prepayment or debt extinguishment costs; (ii) settlement of zero-coupon debt instruments or other debt instruments with coupon interest rates that are insignificant in relation to the effective interest rate of the borrowing; (iii) contingent consideration payments made after a business combination; (iv) proceeds from the settlement of insurance claims; (v) proceeds from the settlement of corporate-owned life insurance policies (COLIs); (vi) distributions received from equity method investees; (vii) beneficial interests in securitization transactions; (viii) and separately identifiable cash flows and application of the predominance principle. We adopted ASU 2016-15 as of January 1, 2018 and the adoption of this guidance did not have a material impact on the presentation of our Statements of Cash Flows.</w:t>
      </w:r>
    </w:p>
    <w:p>
      <w:pPr>
        <w:spacing w:after="0" w:line="243"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 xml:space="preserve">In October 2016, the FASB issued ASU 2016-16, </w:t>
      </w:r>
      <w:r>
        <w:rPr>
          <w:rFonts w:ascii="Arial" w:cs="Arial" w:eastAsia="Arial" w:hAnsi="Arial"/>
          <w:sz w:val="16"/>
          <w:szCs w:val="16"/>
          <w:i w:val="1"/>
          <w:iCs w:val="1"/>
          <w:color w:val="auto"/>
        </w:rPr>
        <w:t>Income Taxes (Topic 740): Intra-Entity Transfers of Assets Other Than Inventory (“ASU 2016-16”).</w:t>
      </w:r>
      <w:r>
        <w:rPr>
          <w:rFonts w:ascii="Arial" w:cs="Arial" w:eastAsia="Arial" w:hAnsi="Arial"/>
          <w:sz w:val="16"/>
          <w:szCs w:val="16"/>
          <w:color w:val="auto"/>
        </w:rPr>
        <w:t xml:space="preserve"> ASU 2016-16 prohibits the recognition of current and deferred income taxes for an intra-entity asset transfer until the asset has been sold to an outside party. In addition, interpretations of this guidance have developed in practice for transfers of certain intangible and tangible assets. This prohibition on recognition is an exception to the principle of comprehensive recognition of current and deferred income taxes in GAAP. To more faithfully represent the economics of intra-entity asset transfers, the amendments ASU 2016-16 require that entities recognize the income tax consequences of an intra-entity transfer of an asset other than inventory when the transfer occurs. The amendments in ASU 2016-16 do not change GAAP for the pre-tax effects of an intra-entity asset transfer under Topic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or for an intra-entity transfer of inventory. We adopted ASU 2016-16 as of January 1, 2018 and the adoption of this guidance did not have a material impact on our consolidated financial statements.</w:t>
      </w:r>
    </w:p>
    <w:p>
      <w:pPr>
        <w:spacing w:after="0" w:line="243"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 (“ASU 2016-18”)</w:t>
      </w:r>
      <w:r>
        <w:rPr>
          <w:rFonts w:ascii="Arial" w:cs="Arial" w:eastAsia="Arial" w:hAnsi="Arial"/>
          <w:sz w:val="16"/>
          <w:szCs w:val="16"/>
          <w:color w:val="auto"/>
        </w:rPr>
        <w:t>. ASU 2016-18 addresses the diversity in the classification and presentation of changes in restricted cash on the statement of cash flows under Topic 230, Statement of Cash Flows. The amendments in ASU 2016-18 require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ASU apply to all entities that have restricted cash or restricted cash equivalents and are required to present a statement of cash flows under Topic 230. We adopted ASU 2016-18 as of January 1, 2018 and the adoption of this guidance included changes in restricted cash in our Statements of Cash Flows for all periods presented.</w:t>
      </w:r>
    </w:p>
    <w:p>
      <w:pPr>
        <w:spacing w:after="0" w:line="243"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 xml:space="preserve">In February 2017, the FASB issued ASU 2017-05, </w:t>
      </w:r>
      <w:r>
        <w:rPr>
          <w:rFonts w:ascii="Arial" w:cs="Arial" w:eastAsia="Arial" w:hAnsi="Arial"/>
          <w:sz w:val="16"/>
          <w:szCs w:val="16"/>
          <w:i w:val="1"/>
          <w:iCs w:val="1"/>
          <w:color w:val="auto"/>
        </w:rPr>
        <w:t>Other Income—Gains and Losses from the Derecognition of Nonfinancial Assets (Subtopic 610-20):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Clarifying the Scope of Asset Derecognition Guidance and Accounting for Partial Sales of Nonfinancial Assets (“ASU 2017-05”). </w:t>
      </w:r>
      <w:r>
        <w:rPr>
          <w:rFonts w:ascii="Arial" w:cs="Arial" w:eastAsia="Arial" w:hAnsi="Arial"/>
          <w:sz w:val="16"/>
          <w:szCs w:val="16"/>
          <w:color w:val="auto"/>
        </w:rPr>
        <w:t>ASU 2017-05 amends the</w:t>
      </w:r>
      <w:r>
        <w:rPr>
          <w:rFonts w:ascii="Arial" w:cs="Arial" w:eastAsia="Arial" w:hAnsi="Arial"/>
          <w:sz w:val="16"/>
          <w:szCs w:val="16"/>
          <w:i w:val="1"/>
          <w:iCs w:val="1"/>
          <w:color w:val="auto"/>
        </w:rPr>
        <w:t xml:space="preserve"> </w:t>
      </w:r>
      <w:r>
        <w:rPr>
          <w:rFonts w:ascii="Arial" w:cs="Arial" w:eastAsia="Arial" w:hAnsi="Arial"/>
          <w:sz w:val="16"/>
          <w:szCs w:val="16"/>
          <w:color w:val="auto"/>
        </w:rPr>
        <w:t>scope of the nonfinancial asset guidance in Subtopic 610-20. The amendments also clarify that the derecognition of all businesses and nonprofit activities (except those related to conveyances of oil and gas mineral rights or contracts with customers) should be accounted for in accordance with the derecognition and deconsolidation guidance in Subtopic 810-10. In addition, the amendments eliminate the exception in the financial asset guidance for transfers of investments (including equity method investments) in real estate entities and supersede the guidance in the Exchanges of a Nonfinancial Asset for a Noncontrolling Ownership Interest Subsection within Topic 845. The amendments in ASU 2017-05 also provide guidance on the accounting for what often are referred to as partial sales of nonfinancial assets within the scope of Subtopic 610-20 and contributions of nonfinancial assets to a joint venture or other noncontrolled investee. We adopted ASU 2017-05 as of January 1, 2018 and the adoption of this guidance did not have a material impact on our consolidated financial statements.</w:t>
      </w:r>
    </w:p>
    <w:p>
      <w:pPr>
        <w:spacing w:after="0" w:line="136" w:lineRule="exact"/>
        <w:rPr>
          <w:sz w:val="20"/>
          <w:szCs w:val="20"/>
          <w:color w:val="auto"/>
        </w:rPr>
      </w:pPr>
    </w:p>
    <w:p>
      <w:pPr>
        <w:jc w:val="both"/>
        <w:ind w:left="340"/>
        <w:spacing w:after="0" w:line="258" w:lineRule="auto"/>
        <w:rPr>
          <w:sz w:val="20"/>
          <w:szCs w:val="20"/>
          <w:color w:val="auto"/>
        </w:rPr>
      </w:pPr>
      <w:r>
        <w:rPr>
          <w:rFonts w:ascii="Arial" w:cs="Arial" w:eastAsia="Arial" w:hAnsi="Arial"/>
          <w:sz w:val="16"/>
          <w:szCs w:val="16"/>
          <w:color w:val="auto"/>
        </w:rPr>
        <w:t xml:space="preserve">In May 2017, the FASB issued Accounting Standards Update No. 2017-09, </w:t>
      </w:r>
      <w:r>
        <w:rPr>
          <w:rFonts w:ascii="Arial" w:cs="Arial" w:eastAsia="Arial" w:hAnsi="Arial"/>
          <w:sz w:val="16"/>
          <w:szCs w:val="16"/>
          <w:i w:val="1"/>
          <w:iCs w:val="1"/>
          <w:color w:val="auto"/>
        </w:rPr>
        <w:t>Compensation - Stock Compensation (Topic 718): Scope of Modification</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("ASU 2017-09")</w:t>
      </w:r>
      <w:r>
        <w:rPr>
          <w:rFonts w:ascii="Arial" w:cs="Arial" w:eastAsia="Arial" w:hAnsi="Arial"/>
          <w:sz w:val="16"/>
          <w:szCs w:val="16"/>
          <w:color w:val="auto"/>
        </w:rPr>
        <w:t>, which provides guidance about which changes to the terms or conditions of a share-based payment award require an entity</w:t>
      </w:r>
      <w:r>
        <w:rPr>
          <w:rFonts w:ascii="Arial" w:cs="Arial" w:eastAsia="Arial" w:hAnsi="Arial"/>
          <w:sz w:val="16"/>
          <w:szCs w:val="16"/>
          <w:i w:val="1"/>
          <w:iCs w:val="1"/>
          <w:color w:val="auto"/>
        </w:rPr>
        <w:t xml:space="preserve"> </w:t>
      </w:r>
      <w:r>
        <w:rPr>
          <w:rFonts w:ascii="Arial" w:cs="Arial" w:eastAsia="Arial" w:hAnsi="Arial"/>
          <w:sz w:val="16"/>
          <w:szCs w:val="16"/>
          <w:color w:val="auto"/>
        </w:rPr>
        <w:t>to apply modification accounting in Topic 718. ASU 2017-09 is to be applied on a prospective basis to an award modified on or after the adoption date. We adopted ASU 2017-09 as of January 1, 2018 and the adoption of this guidance did not have a material impact on our consolidated financial statements.</w:t>
      </w:r>
    </w:p>
    <w:p>
      <w:pPr>
        <w:spacing w:after="0" w:line="123" w:lineRule="exact"/>
        <w:rPr>
          <w:sz w:val="20"/>
          <w:szCs w:val="20"/>
          <w:color w:val="auto"/>
        </w:rPr>
      </w:pPr>
    </w:p>
    <w:p>
      <w:pPr>
        <w:jc w:val="both"/>
        <w:ind w:left="340"/>
        <w:spacing w:after="0" w:line="256" w:lineRule="auto"/>
        <w:rPr>
          <w:sz w:val="20"/>
          <w:szCs w:val="20"/>
          <w:color w:val="auto"/>
        </w:rPr>
      </w:pPr>
      <w:r>
        <w:rPr>
          <w:rFonts w:ascii="Arial" w:cs="Arial" w:eastAsia="Arial" w:hAnsi="Arial"/>
          <w:sz w:val="16"/>
          <w:szCs w:val="16"/>
          <w:b w:val="1"/>
          <w:bCs w:val="1"/>
          <w:i w:val="1"/>
          <w:iCs w:val="1"/>
          <w:color w:val="00497F"/>
        </w:rPr>
        <w:t>Unadopted Accounting Pronouncements</w:t>
      </w:r>
      <w:r>
        <w:rPr>
          <w:rFonts w:ascii="Arial" w:cs="Arial" w:eastAsia="Arial" w:hAnsi="Arial"/>
          <w:sz w:val="16"/>
          <w:szCs w:val="16"/>
          <w:color w:val="00497F"/>
        </w:rPr>
        <w:t>—</w:t>
      </w:r>
      <w:r>
        <w:rPr>
          <w:rFonts w:ascii="Arial" w:cs="Arial" w:eastAsia="Arial" w:hAnsi="Arial"/>
          <w:sz w:val="16"/>
          <w:szCs w:val="16"/>
          <w:color w:val="000000"/>
        </w:rPr>
        <w:t>In February 2016, the FASB issued ASU 2016-02,</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Leases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(“ASU 2016-02”). ASU 2016-02 amends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existing accounting standards for lease accounting, including requiring lessees to recognize most leases on their balance sheets and making targeted changes to lessor accounting. ASU 2016-02 will be effective beginning in the first quarter of 2019, with early adoption permitted. ASU 2016-02 requires a modified retrospective transition approach for all leases existing at, or entered into after, the date of initial application, with an option to use certain transition relief.</w:t>
      </w:r>
    </w:p>
    <w:p>
      <w:pPr>
        <w:spacing w:after="0" w:line="92"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The new standard provides a number of optional practical expedients in transition. We expect to elect the ‘package of practical expedients’, which permits us not to reassess under the new standard our prior conclusions about lease identification, lease classification and initial direct costs.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55" w:lineRule="exact"/>
        <w:rPr>
          <w:sz w:val="20"/>
          <w:szCs w:val="20"/>
          <w:color w:val="auto"/>
        </w:rPr>
      </w:pPr>
    </w:p>
    <w:p>
      <w:pPr>
        <w:ind w:left="340"/>
        <w:spacing w:after="0" w:line="246" w:lineRule="auto"/>
        <w:rPr>
          <w:sz w:val="20"/>
          <w:szCs w:val="20"/>
          <w:color w:val="auto"/>
        </w:rPr>
      </w:pPr>
      <w:r>
        <w:rPr>
          <w:rFonts w:ascii="Arial" w:cs="Arial" w:eastAsia="Arial" w:hAnsi="Arial"/>
          <w:sz w:val="16"/>
          <w:szCs w:val="16"/>
          <w:color w:val="auto"/>
        </w:rPr>
        <w:t>Our evaluation of the impact of the new guidance on our consolidated financial statements is ongoing. We are currently identifying the lease arrangements within the scope of the new guidance, and evaluating the impact of the lease arrangements. We currently believe that the most significant effects relate to</w:t>
      </w:r>
    </w:p>
    <w:p>
      <w:pPr>
        <w:spacing w:after="0" w:line="1" w:lineRule="exact"/>
        <w:rPr>
          <w:sz w:val="20"/>
          <w:szCs w:val="20"/>
          <w:color w:val="auto"/>
        </w:rPr>
      </w:pPr>
    </w:p>
    <w:p>
      <w:pPr>
        <w:ind w:left="340" w:right="20" w:hanging="8"/>
        <w:spacing w:after="0" w:line="260" w:lineRule="auto"/>
        <w:tabs>
          <w:tab w:leader="none" w:pos="587"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recognition of new right-of-use assets and lease liabilities on our balance sheet for our operating leases where we are the lessee and (2) providing significant new disclosures about our leasing activities. We do not expect a significant change in our leasing activities between now and adoption.</w:t>
      </w:r>
    </w:p>
    <w:p>
      <w:pPr>
        <w:spacing w:after="0" w:line="261"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xml:space="preserve"> (“ASU 2016-13”)</w:t>
      </w:r>
      <w:r>
        <w:rPr>
          <w:rFonts w:ascii="Arial" w:cs="Arial" w:eastAsia="Arial" w:hAnsi="Arial"/>
          <w:sz w:val="16"/>
          <w:szCs w:val="16"/>
          <w:i w:val="1"/>
          <w:iCs w:val="1"/>
          <w:color w:val="auto"/>
        </w:rPr>
        <w:t>.</w:t>
      </w:r>
      <w:r>
        <w:rPr>
          <w:rFonts w:ascii="Arial" w:cs="Arial" w:eastAsia="Arial" w:hAnsi="Arial"/>
          <w:sz w:val="16"/>
          <w:szCs w:val="16"/>
          <w:color w:val="auto"/>
        </w:rPr>
        <w:t xml:space="preserve"> For assets held at amortized cost basis, ASU 2016-13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this ASU requires that credit losses be presented as an allowance rather than as a write-down. This ASU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ASU 2016-13 will be effective for fiscal years beginning after December 15, 2019, including interim periods within those fiscal years. We are currently evaluating the impact of adopting this new guidance on our consolidated financial statements.</w:t>
      </w:r>
    </w:p>
    <w:p>
      <w:pPr>
        <w:spacing w:after="0" w:line="244"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 xml:space="preserve">Intangibles—Goodwill and Other (Topic 350): Simplifying the Test for Goodwill Impairment (“ASU 2017-04”). </w:t>
      </w:r>
      <w:r>
        <w:rPr>
          <w:rFonts w:ascii="Arial" w:cs="Arial" w:eastAsia="Arial" w:hAnsi="Arial"/>
          <w:sz w:val="16"/>
          <w:szCs w:val="16"/>
          <w:color w:val="auto"/>
        </w:rPr>
        <w:t>ASU 2017-04 addresses concerns over the cost and complexity of the two-step goodwill impairment test by removing the second step of the test. An</w:t>
      </w:r>
      <w:r>
        <w:rPr>
          <w:rFonts w:ascii="Arial" w:cs="Arial" w:eastAsia="Arial" w:hAnsi="Arial"/>
          <w:sz w:val="16"/>
          <w:szCs w:val="16"/>
          <w:i w:val="1"/>
          <w:iCs w:val="1"/>
          <w:color w:val="auto"/>
        </w:rPr>
        <w:t xml:space="preserve"> </w:t>
      </w:r>
      <w:r>
        <w:rPr>
          <w:rFonts w:ascii="Arial" w:cs="Arial" w:eastAsia="Arial" w:hAnsi="Arial"/>
          <w:sz w:val="16"/>
          <w:szCs w:val="16"/>
          <w:color w:val="auto"/>
        </w:rPr>
        <w:t>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ASU 2017-01 will be effective for fiscal years beginning after December 15, 2019, and interim periods within those fiscal years. We are currently evaluating the impact of adopting this new guidance on our consolidated financial statements.</w:t>
      </w:r>
    </w:p>
    <w:p>
      <w:pPr>
        <w:spacing w:after="0" w:line="133"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Improvements to Nonemployee Share-Based Payment Accounting</w:t>
      </w:r>
      <w:r>
        <w:rPr>
          <w:rFonts w:ascii="Arial" w:cs="Arial" w:eastAsia="Arial" w:hAnsi="Arial"/>
          <w:sz w:val="16"/>
          <w:szCs w:val="16"/>
          <w:color w:val="auto"/>
        </w:rPr>
        <w:t xml:space="preserve"> to simplify the accounting for share-based payments to nonemployees by aligning it with the accounting for share-based payments to employees, with certain exceptions. The new guidance expands the scope of ASC 718 to include share-based payments granted to nonemployees in exchange for goods or services used or consumed in an entity’s own operations and supersedes the guidance in ASC 505-50. The guidance is effective for public business entities in annual periods beginning after December 15, 2018, and interim periods within those annual periods, and early adoption is permitted. We are currently evaluating the impact of adopting this new guidance on our consolidated financial statements.</w:t>
      </w:r>
    </w:p>
    <w:p>
      <w:pPr>
        <w:spacing w:after="0" w:line="133" w:lineRule="exact"/>
        <w:rPr>
          <w:sz w:val="20"/>
          <w:szCs w:val="20"/>
          <w:color w:val="auto"/>
        </w:rPr>
      </w:pPr>
    </w:p>
    <w:p>
      <w:pPr>
        <w:jc w:val="both"/>
        <w:ind w:left="340"/>
        <w:spacing w:after="0" w:line="258"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 - Changes to the Disclosure Requirements</w:t>
      </w:r>
      <w:r>
        <w:rPr>
          <w:rFonts w:ascii="Arial" w:cs="Arial" w:eastAsia="Arial" w:hAnsi="Arial"/>
          <w:sz w:val="16"/>
          <w:szCs w:val="16"/>
          <w:color w:val="auto"/>
        </w:rPr>
        <w:t xml:space="preserve"> </w:t>
      </w:r>
      <w:r>
        <w:rPr>
          <w:rFonts w:ascii="Arial" w:cs="Arial" w:eastAsia="Arial" w:hAnsi="Arial"/>
          <w:sz w:val="16"/>
          <w:szCs w:val="16"/>
          <w:i w:val="1"/>
          <w:iCs w:val="1"/>
          <w:color w:val="auto"/>
        </w:rPr>
        <w:t>for Fair Value Measurement</w:t>
      </w:r>
      <w:r>
        <w:rPr>
          <w:rFonts w:ascii="Arial" w:cs="Arial" w:eastAsia="Arial" w:hAnsi="Arial"/>
          <w:sz w:val="16"/>
          <w:szCs w:val="16"/>
          <w:color w:val="auto"/>
        </w:rPr>
        <w:t>. This ASU eliminates, adds and modifies certain disclosure requirements for fair value measurements as part of its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framework project. The guidance is effective for all entities in fiscal years beginning after December 15, 2019, and interim periods within those fiscal years, and early adoption is permitted. We are currently evaluating the impact of adopting this new guidance on our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3. LEASING EQUIPMENT, NET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Leasing equipment, net is summarized as follows: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17"/>
                <w:szCs w:val="17"/>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Leasing equipment</w:t>
            </w: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1,494,200</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1,217,862</w:t>
            </w:r>
          </w:p>
        </w:tc>
      </w:tr>
      <w:tr>
        <w:trPr>
          <w:trHeight w:val="264"/>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(210,143)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(143,732)</w:t>
            </w: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Leasing equipment, net</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1,284,057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1,074,130</w:t>
            </w: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During the nine months ended September 30, 2018, we acquired 18 aircraft and 26 commercial engines, and sold one aircraft and seven commercial engines. During the nine months ended September 30, 2017, we acquired 17 aircraft and 50 commercial engines, and sold five aircraft and 13 commercial engines.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Depreciation expense for leasing equipment is summarized as follows: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4380" w:type="dxa"/>
            <w:vAlign w:val="bottom"/>
          </w:tcPr>
          <w:p>
            <w:pPr>
              <w:spacing w:after="0"/>
              <w:rPr>
                <w:sz w:val="17"/>
                <w:szCs w:val="17"/>
                <w:color w:val="auto"/>
              </w:rPr>
            </w:pPr>
          </w:p>
        </w:tc>
        <w:tc>
          <w:tcPr>
            <w:tcW w:w="322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284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380" w:type="dxa"/>
            <w:vAlign w:val="bottom"/>
            <w:tcBorders>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25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 for leasing equipment</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28,249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19,792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78,719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48,934</w:t>
            </w: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00497F"/>
        </w:rPr>
        <w:t>FORTRESS TRANSPORTATION AND INFRASTRUCTURE INVESTORS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 xml:space="preserve">NOTES TO CONSOLIDATED FINANCIAL STATEMENTS </w:t>
      </w:r>
      <w:r>
        <w:rPr>
          <w:rFonts w:ascii="Arial" w:cs="Arial" w:eastAsia="Arial" w:hAnsi="Arial"/>
          <w:sz w:val="22"/>
          <w:szCs w:val="22"/>
          <w:b w:val="1"/>
          <w:bCs w:val="1"/>
          <w:i w:val="1"/>
          <w:iCs w:val="1"/>
          <w:color w:val="00497F"/>
        </w:rPr>
        <w:t>(unaudited)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4. FINANCE LEASES, NET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Finance leases, net are summarized as follows:</w:t>
      </w:r>
    </w:p>
    <w:p>
      <w:pPr>
        <w:spacing w:after="0" w:line="341"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16"/>
                <w:szCs w:val="16"/>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2017</w:t>
            </w:r>
          </w:p>
        </w:tc>
      </w:tr>
      <w:tr>
        <w:trPr>
          <w:trHeight w:val="39"/>
        </w:trPr>
        <w:tc>
          <w:tcPr>
            <w:tcW w:w="67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250"/>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28,007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16,015</w:t>
            </w:r>
          </w:p>
        </w:tc>
      </w:tr>
      <w:tr>
        <w:trPr>
          <w:trHeight w:val="264"/>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Unearned revenue</w:t>
            </w: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(11,057)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(6,771)</w:t>
            </w: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Finance leases, net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16,950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9,244</w:t>
            </w: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nine months ended September 30, 2018, we entered into a two-year finance lease arrangement for the sale of one of our aircraft.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30, 2018, future minimum lease payments to be received under finance leases for the remainder of the lease terms are as follows:</w:t>
      </w:r>
    </w:p>
    <w:p>
      <w:pPr>
        <w:spacing w:after="0" w:line="30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2018</w:t>
            </w: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1,556</w:t>
            </w:r>
          </w:p>
        </w:tc>
      </w:tr>
      <w:tr>
        <w:trPr>
          <w:trHeight w:val="210"/>
        </w:trPr>
        <w:tc>
          <w:tcPr>
            <w:tcW w:w="8880" w:type="dxa"/>
            <w:vAlign w:val="bottom"/>
          </w:tcPr>
          <w:p>
            <w:pPr>
              <w:ind w:left="20"/>
              <w:spacing w:after="0"/>
              <w:rPr>
                <w:sz w:val="20"/>
                <w:szCs w:val="20"/>
                <w:color w:val="auto"/>
              </w:rPr>
            </w:pPr>
            <w:r>
              <w:rPr>
                <w:rFonts w:ascii="Arial" w:cs="Arial" w:eastAsia="Arial" w:hAnsi="Arial"/>
                <w:sz w:val="14"/>
                <w:szCs w:val="14"/>
                <w:color w:val="auto"/>
              </w:rPr>
              <w:t>2019</w:t>
            </w:r>
          </w:p>
        </w:tc>
        <w:tc>
          <w:tcPr>
            <w:tcW w:w="68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6,208</w:t>
            </w:r>
          </w:p>
        </w:tc>
      </w:tr>
      <w:tr>
        <w:trPr>
          <w:trHeight w:val="222"/>
        </w:trPr>
        <w:tc>
          <w:tcPr>
            <w:tcW w:w="8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10,257</w:t>
            </w:r>
          </w:p>
        </w:tc>
      </w:tr>
      <w:tr>
        <w:trPr>
          <w:trHeight w:val="210"/>
        </w:trPr>
        <w:tc>
          <w:tcPr>
            <w:tcW w:w="8880" w:type="dxa"/>
            <w:vAlign w:val="bottom"/>
          </w:tcPr>
          <w:p>
            <w:pPr>
              <w:ind w:left="20"/>
              <w:spacing w:after="0"/>
              <w:rPr>
                <w:sz w:val="20"/>
                <w:szCs w:val="20"/>
                <w:color w:val="auto"/>
              </w:rPr>
            </w:pPr>
            <w:r>
              <w:rPr>
                <w:rFonts w:ascii="Arial" w:cs="Arial" w:eastAsia="Arial" w:hAnsi="Arial"/>
                <w:sz w:val="14"/>
                <w:szCs w:val="14"/>
                <w:color w:val="auto"/>
              </w:rPr>
              <w:t>2021</w:t>
            </w:r>
          </w:p>
        </w:tc>
        <w:tc>
          <w:tcPr>
            <w:tcW w:w="68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2,008</w:t>
            </w:r>
          </w:p>
        </w:tc>
      </w:tr>
      <w:tr>
        <w:trPr>
          <w:trHeight w:val="222"/>
        </w:trPr>
        <w:tc>
          <w:tcPr>
            <w:tcW w:w="8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2,008</w:t>
            </w:r>
          </w:p>
        </w:tc>
      </w:tr>
      <w:tr>
        <w:trPr>
          <w:trHeight w:val="210"/>
        </w:trPr>
        <w:tc>
          <w:tcPr>
            <w:tcW w:w="8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5,970</w:t>
            </w:r>
          </w:p>
        </w:tc>
      </w:tr>
      <w:tr>
        <w:trPr>
          <w:trHeight w:val="216"/>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28,007</w:t>
            </w:r>
          </w:p>
        </w:tc>
      </w:tr>
      <w:tr>
        <w:trPr>
          <w:trHeight w:val="20"/>
        </w:trPr>
        <w:tc>
          <w:tcPr>
            <w:tcW w:w="88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5. PROPERTY, PLANT AND EQUIPMENT, NET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Property, plant and equipment, net is summarized as follows: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6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Land, site improvements and rights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74,364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74,268</w:t>
            </w:r>
          </w:p>
        </w:tc>
      </w:tr>
      <w:tr>
        <w:trPr>
          <w:trHeight w:val="264"/>
        </w:trPr>
        <w:tc>
          <w:tcPr>
            <w:tcW w:w="6940" w:type="dxa"/>
            <w:vAlign w:val="bottom"/>
          </w:tcPr>
          <w:p>
            <w:pPr>
              <w:ind w:left="20"/>
              <w:spacing w:after="0"/>
              <w:rPr>
                <w:sz w:val="20"/>
                <w:szCs w:val="20"/>
                <w:color w:val="auto"/>
              </w:rPr>
            </w:pPr>
            <w:r>
              <w:rPr>
                <w:rFonts w:ascii="Arial" w:cs="Arial" w:eastAsia="Arial" w:hAnsi="Arial"/>
                <w:sz w:val="14"/>
                <w:szCs w:val="14"/>
                <w:color w:val="auto"/>
              </w:rPr>
              <w:t>Construction in progress</w:t>
            </w:r>
          </w:p>
        </w:tc>
        <w:tc>
          <w:tcPr>
            <w:tcW w:w="180" w:type="dxa"/>
            <w:vAlign w:val="bottom"/>
          </w:tcPr>
          <w:p>
            <w:pPr>
              <w:spacing w:after="0"/>
              <w:rPr>
                <w:sz w:val="22"/>
                <w:szCs w:val="22"/>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b w:val="1"/>
                <w:bCs w:val="1"/>
                <w:color w:val="auto"/>
              </w:rPr>
              <w:t>231,589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100,420</w:t>
            </w:r>
          </w:p>
        </w:tc>
      </w:tr>
      <w:tr>
        <w:trPr>
          <w:trHeight w:val="276"/>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13,917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9,807</w:t>
            </w:r>
          </w:p>
        </w:tc>
      </w:tr>
      <w:tr>
        <w:trPr>
          <w:trHeight w:val="264"/>
        </w:trPr>
        <w:tc>
          <w:tcPr>
            <w:tcW w:w="6940" w:type="dxa"/>
            <w:vAlign w:val="bottom"/>
          </w:tcPr>
          <w:p>
            <w:pPr>
              <w:ind w:left="20"/>
              <w:spacing w:after="0"/>
              <w:rPr>
                <w:sz w:val="20"/>
                <w:szCs w:val="20"/>
                <w:color w:val="auto"/>
              </w:rPr>
            </w:pPr>
            <w:r>
              <w:rPr>
                <w:rFonts w:ascii="Arial" w:cs="Arial" w:eastAsia="Arial" w:hAnsi="Arial"/>
                <w:sz w:val="14"/>
                <w:szCs w:val="14"/>
                <w:color w:val="auto"/>
              </w:rPr>
              <w:t>Terminal machinery and equipment</w:t>
            </w:r>
          </w:p>
        </w:tc>
        <w:tc>
          <w:tcPr>
            <w:tcW w:w="180" w:type="dxa"/>
            <w:vAlign w:val="bottom"/>
          </w:tcPr>
          <w:p>
            <w:pPr>
              <w:spacing w:after="0"/>
              <w:rPr>
                <w:sz w:val="22"/>
                <w:szCs w:val="22"/>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b w:val="1"/>
                <w:bCs w:val="1"/>
                <w:color w:val="auto"/>
              </w:rPr>
              <w:t>344,025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299,444</w:t>
            </w:r>
          </w:p>
        </w:tc>
      </w:tr>
      <w:tr>
        <w:trPr>
          <w:trHeight w:val="276"/>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Track and track related assets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35,338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35,371</w:t>
            </w:r>
          </w:p>
        </w:tc>
      </w:tr>
      <w:tr>
        <w:trPr>
          <w:trHeight w:val="264"/>
        </w:trPr>
        <w:tc>
          <w:tcPr>
            <w:tcW w:w="6940" w:type="dxa"/>
            <w:vAlign w:val="bottom"/>
          </w:tcPr>
          <w:p>
            <w:pPr>
              <w:ind w:left="20"/>
              <w:spacing w:after="0"/>
              <w:rPr>
                <w:sz w:val="20"/>
                <w:szCs w:val="20"/>
                <w:color w:val="auto"/>
              </w:rPr>
            </w:pPr>
            <w:r>
              <w:rPr>
                <w:rFonts w:ascii="Arial" w:cs="Arial" w:eastAsia="Arial" w:hAnsi="Arial"/>
                <w:sz w:val="14"/>
                <w:szCs w:val="14"/>
                <w:color w:val="auto"/>
              </w:rPr>
              <w:t>Railroad equipment</w:t>
            </w:r>
          </w:p>
        </w:tc>
        <w:tc>
          <w:tcPr>
            <w:tcW w:w="180" w:type="dxa"/>
            <w:vAlign w:val="bottom"/>
          </w:tcPr>
          <w:p>
            <w:pPr>
              <w:spacing w:after="0"/>
              <w:rPr>
                <w:sz w:val="22"/>
                <w:szCs w:val="22"/>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b w:val="1"/>
                <w:bCs w:val="1"/>
                <w:color w:val="auto"/>
              </w:rPr>
              <w:t>5,187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1,057</w:t>
            </w:r>
          </w:p>
        </w:tc>
      </w:tr>
      <w:tr>
        <w:trPr>
          <w:trHeight w:val="276"/>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Railcars and locomotives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3,658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3,429</w:t>
            </w:r>
          </w:p>
        </w:tc>
      </w:tr>
      <w:tr>
        <w:trPr>
          <w:trHeight w:val="264"/>
        </w:trPr>
        <w:tc>
          <w:tcPr>
            <w:tcW w:w="6940" w:type="dxa"/>
            <w:vAlign w:val="bottom"/>
          </w:tcPr>
          <w:p>
            <w:pPr>
              <w:ind w:left="20"/>
              <w:spacing w:after="0"/>
              <w:rPr>
                <w:sz w:val="20"/>
                <w:szCs w:val="20"/>
                <w:color w:val="auto"/>
              </w:rPr>
            </w:pPr>
            <w:r>
              <w:rPr>
                <w:rFonts w:ascii="Arial" w:cs="Arial" w:eastAsia="Arial" w:hAnsi="Arial"/>
                <w:sz w:val="14"/>
                <w:szCs w:val="14"/>
                <w:color w:val="auto"/>
              </w:rPr>
              <w:t>Computer hardware and software</w:t>
            </w:r>
          </w:p>
        </w:tc>
        <w:tc>
          <w:tcPr>
            <w:tcW w:w="180" w:type="dxa"/>
            <w:vAlign w:val="bottom"/>
          </w:tcPr>
          <w:p>
            <w:pPr>
              <w:spacing w:after="0"/>
              <w:rPr>
                <w:sz w:val="22"/>
                <w:szCs w:val="22"/>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b w:val="1"/>
                <w:bCs w:val="1"/>
                <w:color w:val="auto"/>
              </w:rPr>
              <w:t>3,793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3,105</w:t>
            </w:r>
          </w:p>
        </w:tc>
      </w:tr>
      <w:tr>
        <w:trPr>
          <w:trHeight w:val="276"/>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570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544</w:t>
            </w:r>
          </w:p>
        </w:tc>
      </w:tr>
      <w:tr>
        <w:trPr>
          <w:trHeight w:val="264"/>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Vehicles</w:t>
            </w: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1,527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1,480</w:t>
            </w:r>
          </w:p>
        </w:tc>
      </w:tr>
      <w:tr>
        <w:trPr>
          <w:trHeight w:val="256"/>
        </w:trPr>
        <w:tc>
          <w:tcPr>
            <w:tcW w:w="69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713,968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528,925</w:t>
            </w:r>
          </w:p>
        </w:tc>
      </w:tr>
      <w:tr>
        <w:trPr>
          <w:trHeight w:val="264"/>
        </w:trPr>
        <w:tc>
          <w:tcPr>
            <w:tcW w:w="6940" w:type="dxa"/>
            <w:vAlign w:val="bottom"/>
          </w:tcPr>
          <w:p>
            <w:pPr>
              <w:ind w:left="20"/>
              <w:spacing w:after="0"/>
              <w:rPr>
                <w:sz w:val="20"/>
                <w:szCs w:val="20"/>
                <w:color w:val="auto"/>
              </w:rPr>
            </w:pPr>
            <w:r>
              <w:rPr>
                <w:rFonts w:ascii="Arial" w:cs="Arial" w:eastAsia="Arial" w:hAnsi="Arial"/>
                <w:sz w:val="14"/>
                <w:szCs w:val="14"/>
                <w:color w:val="auto"/>
              </w:rPr>
              <w:t>Less: accumulated depreciation</w:t>
            </w:r>
          </w:p>
        </w:tc>
        <w:tc>
          <w:tcPr>
            <w:tcW w:w="1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(56,027)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(40,605)</w:t>
            </w:r>
          </w:p>
        </w:tc>
      </w:tr>
      <w:tr>
        <w:trPr>
          <w:trHeight w:val="270"/>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Spare parts</w:t>
            </w:r>
          </w:p>
        </w:tc>
        <w:tc>
          <w:tcPr>
            <w:tcW w:w="1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1,519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1,629</w:t>
            </w:r>
          </w:p>
        </w:tc>
      </w:tr>
      <w:tr>
        <w:trPr>
          <w:trHeight w:val="243"/>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659,460</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489,949</w:t>
            </w:r>
          </w:p>
        </w:tc>
      </w:tr>
      <w:tr>
        <w:trPr>
          <w:trHeight w:val="20"/>
        </w:trPr>
        <w:tc>
          <w:tcPr>
            <w:tcW w:w="6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During the nine months ended September 30, 2018, we acquired property, plant and equipment of $184,934, which primarily consists of terminal machinery and equipment placed in service or under development at Jefferson Terminal and Repauno, and an investment in a joint venture of a natural gas production asset at Long Ridge.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Depreciation expense for property, plant and equipment is summarized as follows: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4400" w:type="dxa"/>
            <w:vAlign w:val="bottom"/>
          </w:tcPr>
          <w:p>
            <w:pPr>
              <w:spacing w:after="0"/>
              <w:rPr>
                <w:sz w:val="17"/>
                <w:szCs w:val="17"/>
                <w:color w:val="auto"/>
              </w:rPr>
            </w:pPr>
          </w:p>
        </w:tc>
        <w:tc>
          <w:tcPr>
            <w:tcW w:w="324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284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400" w:type="dxa"/>
            <w:vAlign w:val="bottom"/>
            <w:tcBorders>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256"/>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 for property, plant and equipment</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5,273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4,092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15,435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10,749</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1" w:right="239" w:bottom="1440" w:gutter="0" w:footer="0" w:header="0"/>
          <w:type w:val="continuous"/>
        </w:sectPr>
      </w:pPr>
    </w:p>
    <w:bookmarkStart w:id="17" w:name="page18"/>
    <w:bookmarkEnd w:id="17"/>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6. INVESTMENTS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ownership interests and carrying values of our investments: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4"/>
          </w:tcPr>
          <w:p>
            <w:pPr>
              <w:jc w:val="right"/>
              <w:ind w:right="1368"/>
              <w:spacing w:after="0"/>
              <w:rPr>
                <w:sz w:val="20"/>
                <w:szCs w:val="20"/>
                <w:color w:val="auto"/>
              </w:rPr>
            </w:pPr>
            <w:r>
              <w:rPr>
                <w:rFonts w:ascii="Arial" w:cs="Arial" w:eastAsia="Arial" w:hAnsi="Arial"/>
                <w:sz w:val="14"/>
                <w:szCs w:val="14"/>
                <w:b w:val="1"/>
                <w:bCs w:val="1"/>
                <w:color w:val="auto"/>
              </w:rPr>
              <w:t>Carrying Value</w:t>
            </w:r>
          </w:p>
        </w:tc>
      </w:tr>
      <w:tr>
        <w:trPr>
          <w:trHeight w:val="264"/>
        </w:trPr>
        <w:tc>
          <w:tcPr>
            <w:tcW w:w="258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Borders>
              <w:bottom w:val="single" w:sz="8" w:color="CCEEFF"/>
            </w:tcBorders>
          </w:tcPr>
          <w:p>
            <w:pPr>
              <w:spacing w:after="0"/>
              <w:rPr>
                <w:sz w:val="22"/>
                <w:szCs w:val="22"/>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Ownership Percentage</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19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rPr>
              <w:t>Equity method</w:t>
            </w:r>
          </w:p>
        </w:tc>
        <w:tc>
          <w:tcPr>
            <w:tcW w:w="2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7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13,182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13,724</w:t>
            </w:r>
          </w:p>
        </w:tc>
      </w:tr>
      <w:tr>
        <w:trPr>
          <w:trHeight w:val="264"/>
        </w:trPr>
        <w:tc>
          <w:tcPr>
            <w:tcW w:w="2580" w:type="dxa"/>
            <w:vAlign w:val="bottom"/>
          </w:tcPr>
          <w:p>
            <w:pPr>
              <w:ind w:left="20"/>
              <w:spacing w:after="0"/>
              <w:rPr>
                <w:sz w:val="20"/>
                <w:szCs w:val="20"/>
                <w:color w:val="auto"/>
              </w:rPr>
            </w:pPr>
            <w:r>
              <w:rPr>
                <w:rFonts w:ascii="Arial" w:cs="Arial" w:eastAsia="Arial" w:hAnsi="Arial"/>
                <w:sz w:val="14"/>
                <w:szCs w:val="14"/>
                <w:color w:val="auto"/>
              </w:rPr>
              <w:t>JGP Energy Partners LLC</w:t>
            </w:r>
          </w:p>
        </w:tc>
        <w:tc>
          <w:tcPr>
            <w:tcW w:w="1940" w:type="dxa"/>
            <w:vAlign w:val="bottom"/>
            <w:gridSpan w:val="2"/>
          </w:tcPr>
          <w:p>
            <w:pPr>
              <w:jc w:val="center"/>
              <w:ind w:right="140"/>
              <w:spacing w:after="0"/>
              <w:rPr>
                <w:sz w:val="20"/>
                <w:szCs w:val="20"/>
                <w:color w:val="auto"/>
              </w:rPr>
            </w:pPr>
            <w:r>
              <w:rPr>
                <w:rFonts w:ascii="Arial" w:cs="Arial" w:eastAsia="Arial" w:hAnsi="Arial"/>
                <w:sz w:val="14"/>
                <w:szCs w:val="14"/>
                <w:color w:val="auto"/>
              </w:rPr>
              <w:t>Equity method</w:t>
            </w:r>
          </w:p>
        </w:tc>
        <w:tc>
          <w:tcPr>
            <w:tcW w:w="2140" w:type="dxa"/>
            <w:vAlign w:val="bottom"/>
          </w:tcPr>
          <w:p>
            <w:pPr>
              <w:jc w:val="center"/>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jc w:val="right"/>
              <w:ind w:right="8"/>
              <w:spacing w:after="0"/>
              <w:rPr>
                <w:sz w:val="20"/>
                <w:szCs w:val="20"/>
                <w:color w:val="auto"/>
              </w:rPr>
            </w:pPr>
            <w:r>
              <w:rPr>
                <w:rFonts w:ascii="Arial" w:cs="Arial" w:eastAsia="Arial" w:hAnsi="Arial"/>
                <w:sz w:val="14"/>
                <w:szCs w:val="14"/>
                <w:b w:val="1"/>
                <w:bCs w:val="1"/>
                <w:color w:val="auto"/>
              </w:rPr>
              <w:t>25,584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24,920</w:t>
            </w:r>
          </w:p>
        </w:tc>
      </w:tr>
      <w:tr>
        <w:trPr>
          <w:trHeight w:val="270"/>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Intermodal Finance I, Ltd.</w:t>
            </w:r>
          </w:p>
        </w:tc>
        <w:tc>
          <w:tcPr>
            <w:tcW w:w="19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rPr>
              <w:t>Equity method</w:t>
            </w:r>
          </w:p>
        </w:tc>
        <w:tc>
          <w:tcPr>
            <w:tcW w:w="2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3,417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3,894</w:t>
            </w:r>
          </w:p>
        </w:tc>
      </w:tr>
      <w:tr>
        <w:trPr>
          <w:trHeight w:val="243"/>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Investments</w:t>
            </w: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42,183</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42,538</w:t>
            </w:r>
          </w:p>
        </w:tc>
      </w:tr>
      <w:tr>
        <w:trPr>
          <w:trHeight w:val="20"/>
        </w:trPr>
        <w:tc>
          <w:tcPr>
            <w:tcW w:w="2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did not recognize any other-than-temporary impairments for the three and nine months ended September 30, 2018 and 2017.</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Equity Method Investments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our proportionate share of equity in income (losses):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3980" w:type="dxa"/>
            <w:vAlign w:val="bottom"/>
          </w:tcPr>
          <w:p>
            <w:pPr>
              <w:spacing w:after="0"/>
              <w:rPr>
                <w:sz w:val="17"/>
                <w:szCs w:val="17"/>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80" w:type="dxa"/>
            <w:vAlign w:val="bottom"/>
            <w:tcBorders>
              <w:bottom w:val="single" w:sz="8" w:color="auto"/>
            </w:tcBorders>
            <w:gridSpan w:val="5"/>
          </w:tcPr>
          <w:p>
            <w:pPr>
              <w:jc w:val="right"/>
              <w:ind w:right="36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398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r>
      <w:tr>
        <w:trPr>
          <w:trHeight w:val="256"/>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(192)</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w:t>
            </w:r>
          </w:p>
        </w:tc>
      </w:tr>
      <w:tr>
        <w:trPr>
          <w:trHeight w:val="264"/>
        </w:trPr>
        <w:tc>
          <w:tcPr>
            <w:tcW w:w="3980" w:type="dxa"/>
            <w:vAlign w:val="bottom"/>
          </w:tcPr>
          <w:p>
            <w:pPr>
              <w:ind w:left="20"/>
              <w:spacing w:after="0"/>
              <w:rPr>
                <w:sz w:val="20"/>
                <w:szCs w:val="20"/>
                <w:color w:val="auto"/>
              </w:rPr>
            </w:pPr>
            <w:r>
              <w:rPr>
                <w:rFonts w:ascii="Arial" w:cs="Arial" w:eastAsia="Arial" w:hAnsi="Arial"/>
                <w:sz w:val="14"/>
                <w:szCs w:val="14"/>
                <w:color w:val="auto"/>
              </w:rPr>
              <w:t>JGP Energy Partners LLC</w:t>
            </w:r>
          </w:p>
        </w:tc>
        <w:tc>
          <w:tcPr>
            <w:tcW w:w="1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(363)</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(450)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270"/>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Intermodal Finance I, Ltd.</w:t>
            </w:r>
          </w:p>
        </w:tc>
        <w:tc>
          <w:tcPr>
            <w:tcW w:w="110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113</w:t>
            </w:r>
          </w:p>
        </w:tc>
        <w:tc>
          <w:tcPr>
            <w:tcW w:w="12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359</w:t>
            </w:r>
          </w:p>
        </w:tc>
        <w:tc>
          <w:tcPr>
            <w:tcW w:w="12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394</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w:t>
            </w:r>
          </w:p>
        </w:tc>
      </w:tr>
      <w:tr>
        <w:trPr>
          <w:trHeight w:val="243"/>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(442)</w:t>
            </w:r>
          </w:p>
        </w:tc>
        <w:tc>
          <w:tcPr>
            <w:tcW w:w="120" w:type="dxa"/>
            <w:vAlign w:val="bottom"/>
          </w:tcPr>
          <w:p>
            <w:pPr>
              <w:spacing w:after="0"/>
              <w:rPr>
                <w:sz w:val="21"/>
                <w:szCs w:val="21"/>
                <w:color w:val="auto"/>
              </w:rPr>
            </w:pPr>
          </w:p>
        </w:tc>
        <w:tc>
          <w:tcPr>
            <w:tcW w:w="118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1"/>
                <w:szCs w:val="21"/>
                <w:color w:val="auto"/>
              </w:rPr>
            </w:pPr>
          </w:p>
        </w:tc>
        <w:tc>
          <w:tcPr>
            <w:tcW w:w="10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(598)</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(1,461)</w:t>
            </w:r>
          </w:p>
        </w:tc>
      </w:tr>
      <w:tr>
        <w:trPr>
          <w:trHeight w:val="20"/>
        </w:trPr>
        <w:tc>
          <w:tcPr>
            <w:tcW w:w="39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Advanced Engine Repair JV</w:t>
      </w:r>
    </w:p>
    <w:p>
      <w:pPr>
        <w:spacing w:after="0" w:line="183" w:lineRule="exact"/>
        <w:rPr>
          <w:sz w:val="20"/>
          <w:szCs w:val="20"/>
          <w:color w:val="auto"/>
        </w:rPr>
      </w:pPr>
    </w:p>
    <w:p>
      <w:pPr>
        <w:jc w:val="both"/>
        <w:ind w:left="340"/>
        <w:spacing w:after="0" w:line="258" w:lineRule="auto"/>
        <w:rPr>
          <w:sz w:val="20"/>
          <w:szCs w:val="20"/>
          <w:color w:val="auto"/>
        </w:rPr>
      </w:pPr>
      <w:r>
        <w:rPr>
          <w:rFonts w:ascii="Arial" w:cs="Arial" w:eastAsia="Arial" w:hAnsi="Arial"/>
          <w:sz w:val="16"/>
          <w:szCs w:val="16"/>
          <w:color w:val="auto"/>
        </w:rPr>
        <w:t>In December 2016, we invested $15,000 for 25% interest in an advanced engine repair joint venture. We will initially focus on developing new costs savings programs for engine repairs. We exercise significant influence over this investment and account for this investment as an equity method investment.</w:t>
      </w:r>
    </w:p>
    <w:p>
      <w:pPr>
        <w:spacing w:after="0" w:line="31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JGP</w:t>
      </w:r>
    </w:p>
    <w:p>
      <w:pPr>
        <w:spacing w:after="0" w:line="183"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In 2016, we initiated activities in a 50% non-controlling interest in JGP, a joint venture. JGP is governed by a designated operating committee selected by the members in proportion to their equity interests. JGP is solely reliant on its members to finance its activities and therefore is a variable interest entity. We concluded that we are not the primary beneficiary of JGP as the members share equally in the risks and rewards and decision making authority of the entity; therefore, we do not consolidate JGP and instead account for this investment in accordance with the equity method.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Intermodal Finance I, Ltd.</w:t>
      </w:r>
    </w:p>
    <w:p>
      <w:pPr>
        <w:spacing w:after="0" w:line="183" w:lineRule="exact"/>
        <w:rPr>
          <w:sz w:val="20"/>
          <w:szCs w:val="20"/>
          <w:color w:val="auto"/>
        </w:rPr>
      </w:pPr>
    </w:p>
    <w:p>
      <w:pPr>
        <w:jc w:val="both"/>
        <w:ind w:left="340"/>
        <w:spacing w:after="0" w:line="249" w:lineRule="auto"/>
        <w:rPr>
          <w:sz w:val="20"/>
          <w:szCs w:val="20"/>
          <w:color w:val="auto"/>
        </w:rPr>
      </w:pPr>
      <w:r>
        <w:rPr>
          <w:rFonts w:ascii="Arial" w:cs="Arial" w:eastAsia="Arial" w:hAnsi="Arial"/>
          <w:sz w:val="16"/>
          <w:szCs w:val="16"/>
          <w:color w:val="auto"/>
        </w:rPr>
        <w:t>In 2012, we acquired a 51% non-controlling interest in Intermodal Finance I, Ltd. (“Intermodal”), a joint venture. Intermodal is governed by a board of directors, and its shareholders have voting rights through their equity interests. As such, Intermodal is not within the scope of ASC 810-20 and should be evaluated for consolidation under the voting interest model. Due to the existence of substantive participating rights of the 49% equity investor, including the joint approval of material operating and capital decisions, such as material contracts and capital expenditures consistent with ASC 810-10-25-11, we do not have unilateral rights over this investment; therefore, we do not consolidate Intermodal but account for this investment in accordance with the equity method. We do not have a variable interest in this investment as none of the criteria of ASC 810-10-15-14 were met.</w:t>
      </w:r>
    </w:p>
    <w:p>
      <w:pPr>
        <w:spacing w:after="0" w:line="151"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As of September 30, 2018, Intermodal owns a portfolio of multiple finance leases, representing three customers and comprising approximately 23,000 shipping containers, as well as a portfolio of approximately 6,000 shipping containers subject to multiple operating leases.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ind w:right="346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table below presents summarized financial information for our equity method investments: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3980" w:type="dxa"/>
            <w:vAlign w:val="bottom"/>
          </w:tcPr>
          <w:p>
            <w:pPr>
              <w:spacing w:after="0"/>
              <w:rPr>
                <w:sz w:val="17"/>
                <w:szCs w:val="17"/>
                <w:color w:val="auto"/>
              </w:rPr>
            </w:pPr>
          </w:p>
        </w:tc>
        <w:tc>
          <w:tcPr>
            <w:tcW w:w="3460" w:type="dxa"/>
            <w:vAlign w:val="bottom"/>
            <w:gridSpan w:val="6"/>
          </w:tcPr>
          <w:p>
            <w:pPr>
              <w:ind w:left="4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7"/>
                <w:szCs w:val="17"/>
                <w:color w:val="auto"/>
              </w:rPr>
            </w:pPr>
          </w:p>
        </w:tc>
        <w:tc>
          <w:tcPr>
            <w:tcW w:w="300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3980" w:type="dxa"/>
            <w:vAlign w:val="bottom"/>
            <w:tcBorders>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r>
      <w:tr>
        <w:trPr>
          <w:trHeight w:val="256"/>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2,046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2,029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8,931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5,446</w:t>
            </w:r>
          </w:p>
        </w:tc>
      </w:tr>
      <w:tr>
        <w:trPr>
          <w:trHeight w:val="264"/>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Expenses</w:t>
            </w:r>
          </w:p>
        </w:tc>
        <w:tc>
          <w:tcPr>
            <w:tcW w:w="10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3,402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2,172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11,495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10,740</w:t>
            </w:r>
          </w:p>
        </w:tc>
      </w:tr>
      <w:tr>
        <w:trPr>
          <w:trHeight w:val="243"/>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(5,294)</w:t>
            </w:r>
          </w:p>
        </w:tc>
      </w:tr>
      <w:tr>
        <w:trPr>
          <w:trHeight w:val="20"/>
        </w:trPr>
        <w:tc>
          <w:tcPr>
            <w:tcW w:w="3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05"/>
        </w:trPr>
        <w:tc>
          <w:tcPr>
            <w:tcW w:w="3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7"/>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Company’s portion</w:t>
            </w:r>
            <w:r>
              <w:rPr>
                <w:rFonts w:ascii="Arial" w:cs="Arial" w:eastAsia="Arial" w:hAnsi="Arial"/>
                <w:sz w:val="17"/>
                <w:szCs w:val="17"/>
                <w:b w:val="1"/>
                <w:bCs w:val="1"/>
                <w:color w:val="auto"/>
                <w:vertAlign w:val="superscript"/>
              </w:rPr>
              <w:t>(1)</w:t>
            </w: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(1,613)</w:t>
            </w:r>
          </w:p>
        </w:tc>
      </w:tr>
      <w:tr>
        <w:trPr>
          <w:trHeight w:val="20"/>
        </w:trPr>
        <w:tc>
          <w:tcPr>
            <w:tcW w:w="3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340"/>
        <w:spacing w:after="0"/>
        <w:rPr>
          <w:sz w:val="20"/>
          <w:szCs w:val="20"/>
          <w:color w:val="auto"/>
        </w:rPr>
      </w:pPr>
      <w:r>
        <w:rPr>
          <w:rFonts w:ascii="Arial" w:cs="Arial" w:eastAsia="Arial" w:hAnsi="Arial"/>
          <w:sz w:val="17"/>
          <w:szCs w:val="17"/>
          <w:color w:val="auto"/>
          <w:vertAlign w:val="superscript"/>
        </w:rPr>
        <w:t>(1)</w:t>
      </w:r>
      <w:r>
        <w:rPr>
          <w:rFonts w:ascii="Arial" w:cs="Arial" w:eastAsia="Arial" w:hAnsi="Arial"/>
          <w:sz w:val="14"/>
          <w:szCs w:val="14"/>
          <w:color w:val="auto"/>
        </w:rPr>
        <w:t xml:space="preserve"> Includes interest on certain notes.</w:t>
      </w:r>
    </w:p>
    <w:p>
      <w:pPr>
        <w:spacing w:after="0" w:line="11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2"/>
          <w:szCs w:val="22"/>
          <w:b w:val="1"/>
          <w:bCs w:val="1"/>
          <w:color w:val="00497F"/>
        </w:rPr>
      </w:pPr>
      <w:r>
        <w:rPr>
          <w:rFonts w:ascii="Arial" w:cs="Arial" w:eastAsia="Arial" w:hAnsi="Arial"/>
          <w:sz w:val="22"/>
          <w:szCs w:val="22"/>
          <w:b w:val="1"/>
          <w:bCs w:val="1"/>
          <w:color w:val="00497F"/>
        </w:rPr>
        <w:t>INTANGIBLE ASSETS AND LIABILITIES, NET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Intangible assets and liabilities, net are summarized as follows: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4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September 30, 2018</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64"/>
        </w:trPr>
        <w:tc>
          <w:tcPr>
            <w:tcW w:w="4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Aviation Leasing</w:t>
            </w:r>
          </w:p>
        </w:tc>
        <w:tc>
          <w:tcPr>
            <w:tcW w:w="1580" w:type="dxa"/>
            <w:vAlign w:val="bottom"/>
            <w:gridSpan w:val="3"/>
          </w:tcPr>
          <w:p>
            <w:pPr>
              <w:ind w:left="100"/>
              <w:spacing w:after="0"/>
              <w:rPr>
                <w:sz w:val="20"/>
                <w:szCs w:val="20"/>
                <w:color w:val="auto"/>
              </w:rPr>
            </w:pPr>
            <w:r>
              <w:rPr>
                <w:rFonts w:ascii="Arial" w:cs="Arial" w:eastAsia="Arial" w:hAnsi="Arial"/>
                <w:sz w:val="14"/>
                <w:szCs w:val="14"/>
                <w:b w:val="1"/>
                <w:bCs w:val="1"/>
                <w:color w:val="auto"/>
              </w:rPr>
              <w:t>Jefferson Terminal</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Railroad</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270"/>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140" w:type="dxa"/>
            <w:vAlign w:val="bottom"/>
            <w:tcBorders>
              <w:top w:val="single" w:sz="8" w:color="auto"/>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4"/>
        </w:trPr>
        <w:tc>
          <w:tcPr>
            <w:tcW w:w="438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ind w:right="28"/>
              <w:spacing w:after="0"/>
              <w:rPr>
                <w:sz w:val="20"/>
                <w:szCs w:val="20"/>
                <w:color w:val="auto"/>
              </w:rPr>
            </w:pPr>
            <w:r>
              <w:rPr>
                <w:rFonts w:ascii="Arial" w:cs="Arial" w:eastAsia="Arial" w:hAnsi="Arial"/>
                <w:sz w:val="14"/>
                <w:szCs w:val="14"/>
                <w:b w:val="1"/>
                <w:bCs w:val="1"/>
                <w:color w:val="auto"/>
              </w:rPr>
              <w:t>41,786</w:t>
            </w:r>
          </w:p>
        </w:tc>
        <w:tc>
          <w:tcPr>
            <w:tcW w:w="12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41,786</w:t>
            </w:r>
          </w:p>
        </w:tc>
      </w:tr>
      <w:tr>
        <w:trPr>
          <w:trHeight w:val="270"/>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(27,182)</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(27,182)</w:t>
            </w:r>
          </w:p>
        </w:tc>
      </w:tr>
      <w:tr>
        <w:trPr>
          <w:trHeight w:val="25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14,604</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14,604</w:t>
            </w:r>
          </w:p>
        </w:tc>
      </w:tr>
      <w:tr>
        <w:trPr>
          <w:trHeight w:val="25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35,513</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35,738</w:t>
            </w:r>
          </w:p>
        </w:tc>
      </w:tr>
      <w:tr>
        <w:trPr>
          <w:trHeight w:val="264"/>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(14,490)</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(14,689)</w:t>
            </w:r>
          </w:p>
        </w:tc>
      </w:tr>
      <w:tr>
        <w:trPr>
          <w:trHeight w:val="250"/>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1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21,023</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21,049</w:t>
            </w:r>
          </w:p>
        </w:tc>
      </w:tr>
      <w:tr>
        <w:trPr>
          <w:trHeight w:val="283"/>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14,604</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21,023</w:t>
            </w:r>
          </w:p>
        </w:tc>
        <w:tc>
          <w:tcPr>
            <w:tcW w:w="100" w:type="dxa"/>
            <w:vAlign w:val="bottom"/>
            <w:tcBorders>
              <w:bottom w:val="single" w:sz="8" w:color="CCEEFF"/>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35,653</w:t>
            </w:r>
          </w:p>
        </w:tc>
      </w:tr>
      <w:tr>
        <w:trPr>
          <w:trHeight w:val="278"/>
        </w:trPr>
        <w:tc>
          <w:tcPr>
            <w:tcW w:w="4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4"/>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1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2,732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2,732</w:t>
            </w:r>
          </w:p>
        </w:tc>
      </w:tr>
      <w:tr>
        <w:trPr>
          <w:trHeight w:val="264"/>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(1,962)</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(1,962)</w:t>
            </w:r>
          </w:p>
        </w:tc>
      </w:tr>
      <w:tr>
        <w:trPr>
          <w:trHeight w:val="243"/>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770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770</w:t>
            </w:r>
          </w:p>
        </w:tc>
      </w:tr>
      <w:tr>
        <w:trPr>
          <w:trHeight w:val="20"/>
        </w:trPr>
        <w:tc>
          <w:tcPr>
            <w:tcW w:w="4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80"/>
        </w:trPr>
        <w:tc>
          <w:tcPr>
            <w:tcW w:w="4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December 31, 2017</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64"/>
        </w:trPr>
        <w:tc>
          <w:tcPr>
            <w:tcW w:w="4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Aviation Leasing</w:t>
            </w:r>
          </w:p>
        </w:tc>
        <w:tc>
          <w:tcPr>
            <w:tcW w:w="1580" w:type="dxa"/>
            <w:vAlign w:val="bottom"/>
            <w:gridSpan w:val="3"/>
          </w:tcPr>
          <w:p>
            <w:pPr>
              <w:ind w:left="100"/>
              <w:spacing w:after="0"/>
              <w:rPr>
                <w:sz w:val="20"/>
                <w:szCs w:val="20"/>
                <w:color w:val="auto"/>
              </w:rPr>
            </w:pPr>
            <w:r>
              <w:rPr>
                <w:rFonts w:ascii="Arial" w:cs="Arial" w:eastAsia="Arial" w:hAnsi="Arial"/>
                <w:sz w:val="14"/>
                <w:szCs w:val="14"/>
                <w:b w:val="1"/>
                <w:bCs w:val="1"/>
                <w:color w:val="auto"/>
              </w:rPr>
              <w:t>Jefferson Terminal</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Railroad</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270"/>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140" w:type="dxa"/>
            <w:vAlign w:val="bottom"/>
            <w:tcBorders>
              <w:top w:val="single" w:sz="8" w:color="auto"/>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4"/>
        </w:trPr>
        <w:tc>
          <w:tcPr>
            <w:tcW w:w="438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36,747</w:t>
            </w:r>
          </w:p>
        </w:tc>
        <w:tc>
          <w:tcPr>
            <w:tcW w:w="12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36,747</w:t>
            </w:r>
          </w:p>
        </w:tc>
      </w:tr>
      <w:tr>
        <w:trPr>
          <w:trHeight w:val="27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(20,452)</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(20,452)</w:t>
            </w:r>
          </w:p>
        </w:tc>
      </w:tr>
      <w:tr>
        <w:trPr>
          <w:trHeight w:val="244"/>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16,295</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16,295</w:t>
            </w:r>
          </w:p>
        </w:tc>
      </w:tr>
      <w:tr>
        <w:trPr>
          <w:trHeight w:val="25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35,513</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35,738</w:t>
            </w:r>
          </w:p>
        </w:tc>
      </w:tr>
      <w:tr>
        <w:trPr>
          <w:trHeight w:val="264"/>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(11,825)</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(11,990)</w:t>
            </w:r>
          </w:p>
        </w:tc>
      </w:tr>
      <w:tr>
        <w:trPr>
          <w:trHeight w:val="25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14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23,688</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23,748</w:t>
            </w:r>
          </w:p>
        </w:tc>
      </w:tr>
      <w:tr>
        <w:trPr>
          <w:trHeight w:val="277"/>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16,295</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23,688</w:t>
            </w:r>
          </w:p>
        </w:tc>
        <w:tc>
          <w:tcPr>
            <w:tcW w:w="100" w:type="dxa"/>
            <w:vAlign w:val="bottom"/>
            <w:tcBorders>
              <w:bottom w:val="single" w:sz="8" w:color="CCEEFF"/>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40,043</w:t>
            </w:r>
          </w:p>
        </w:tc>
      </w:tr>
      <w:tr>
        <w:trPr>
          <w:trHeight w:val="278"/>
        </w:trPr>
        <w:tc>
          <w:tcPr>
            <w:tcW w:w="4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4"/>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1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2,732</w:t>
            </w:r>
          </w:p>
        </w:tc>
      </w:tr>
      <w:tr>
        <w:trPr>
          <w:trHeight w:val="264"/>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(1,374)</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(1,374)</w:t>
            </w:r>
          </w:p>
        </w:tc>
      </w:tr>
      <w:tr>
        <w:trPr>
          <w:trHeight w:val="243"/>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1,358</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1,358</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60"/>
          </w:cols>
          <w:pgMar w:left="240" w:top="121" w:right="599" w:bottom="1440" w:gutter="0" w:footer="0" w:header="0"/>
        </w:sectPr>
      </w:pPr>
    </w:p>
    <w:p>
      <w:pPr>
        <w:spacing w:after="0" w:line="45"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060"/>
          </w:cols>
          <w:pgMar w:left="240" w:top="121" w:right="599" w:bottom="1440" w:gutter="0" w:footer="0" w:header="0"/>
          <w:type w:val="continuous"/>
        </w:sectPr>
      </w:pPr>
    </w:p>
    <w:bookmarkStart w:id="19" w:name="page20"/>
    <w:bookmarkEnd w:id="19"/>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ind w:left="340" w:right="20"/>
        <w:spacing w:after="0" w:line="260" w:lineRule="auto"/>
        <w:rPr>
          <w:sz w:val="20"/>
          <w:szCs w:val="20"/>
          <w:color w:val="auto"/>
        </w:rPr>
      </w:pPr>
      <w:r>
        <w:rPr>
          <w:rFonts w:ascii="Arial" w:cs="Arial" w:eastAsia="Arial" w:hAnsi="Arial"/>
          <w:sz w:val="16"/>
          <w:szCs w:val="16"/>
          <w:color w:val="auto"/>
        </w:rPr>
        <w:t>Intangible liabilities relate to unfavorable lease intangibles and are included as a component of other liabilities in the accompanying Consolidated Balance Sheets.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of intangible assets and liabilities is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3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Classification in Consolidated</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6"/>
        </w:trPr>
        <w:tc>
          <w:tcPr>
            <w:tcW w:w="2240" w:type="dxa"/>
            <w:vAlign w:val="bottom"/>
          </w:tcPr>
          <w:p>
            <w:pPr>
              <w:spacing w:after="0"/>
              <w:rPr>
                <w:sz w:val="17"/>
                <w:szCs w:val="17"/>
                <w:color w:val="auto"/>
              </w:rPr>
            </w:pPr>
          </w:p>
        </w:tc>
        <w:tc>
          <w:tcPr>
            <w:tcW w:w="3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Statements of Operations</w:t>
            </w:r>
          </w:p>
        </w:tc>
        <w:tc>
          <w:tcPr>
            <w:tcW w:w="120" w:type="dxa"/>
            <w:vAlign w:val="bottom"/>
          </w:tcPr>
          <w:p>
            <w:pPr>
              <w:spacing w:after="0"/>
              <w:rPr>
                <w:sz w:val="17"/>
                <w:szCs w:val="17"/>
                <w:color w:val="auto"/>
              </w:rPr>
            </w:pPr>
          </w:p>
        </w:tc>
        <w:tc>
          <w:tcPr>
            <w:tcW w:w="266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50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2240" w:type="dxa"/>
            <w:vAlign w:val="bottom"/>
            <w:tcBorders>
              <w:bottom w:val="single" w:sz="8" w:color="CCEEFF"/>
            </w:tcBorders>
          </w:tcPr>
          <w:p>
            <w:pPr>
              <w:spacing w:after="0"/>
              <w:rPr>
                <w:sz w:val="22"/>
                <w:szCs w:val="22"/>
                <w:color w:val="auto"/>
              </w:rPr>
            </w:pPr>
          </w:p>
        </w:tc>
        <w:tc>
          <w:tcPr>
            <w:tcW w:w="290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r>
      <w:tr>
        <w:trPr>
          <w:trHeight w:val="256"/>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intangibles</w:t>
            </w:r>
          </w:p>
        </w:tc>
        <w:tc>
          <w:tcPr>
            <w:tcW w:w="3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Equipment leasing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2,087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6,143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3,494</w:t>
            </w:r>
          </w:p>
        </w:tc>
      </w:tr>
      <w:tr>
        <w:trPr>
          <w:trHeight w:val="264"/>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Customer relationships</w:t>
            </w:r>
          </w:p>
        </w:tc>
        <w:tc>
          <w:tcPr>
            <w:tcW w:w="30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Depreciation and amortization</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900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2,699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2,699</w:t>
            </w:r>
          </w:p>
        </w:tc>
      </w:tr>
      <w:tr>
        <w:trPr>
          <w:trHeight w:val="243"/>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8,842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6,193</w:t>
            </w:r>
          </w:p>
        </w:tc>
      </w:tr>
      <w:tr>
        <w:trPr>
          <w:trHeight w:val="20"/>
        </w:trPr>
        <w:tc>
          <w:tcPr>
            <w:tcW w:w="22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30, 2018, estimated net annual amortization of intangibles is as follows:</w:t>
      </w:r>
    </w:p>
    <w:p>
      <w:pPr>
        <w:spacing w:after="0" w:line="30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2018</w:t>
            </w:r>
          </w:p>
        </w:tc>
        <w:tc>
          <w:tcPr>
            <w:tcW w:w="64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2,979</w:t>
            </w:r>
          </w:p>
        </w:tc>
      </w:tr>
      <w:tr>
        <w:trPr>
          <w:trHeight w:val="210"/>
        </w:trPr>
        <w:tc>
          <w:tcPr>
            <w:tcW w:w="8980" w:type="dxa"/>
            <w:vAlign w:val="bottom"/>
          </w:tcPr>
          <w:p>
            <w:pPr>
              <w:ind w:left="20"/>
              <w:spacing w:after="0"/>
              <w:rPr>
                <w:sz w:val="20"/>
                <w:szCs w:val="20"/>
                <w:color w:val="auto"/>
              </w:rPr>
            </w:pPr>
            <w:r>
              <w:rPr>
                <w:rFonts w:ascii="Arial" w:cs="Arial" w:eastAsia="Arial" w:hAnsi="Arial"/>
                <w:sz w:val="14"/>
                <w:szCs w:val="14"/>
                <w:color w:val="auto"/>
              </w:rPr>
              <w:t>2019</w:t>
            </w:r>
          </w:p>
        </w:tc>
        <w:tc>
          <w:tcPr>
            <w:tcW w:w="640" w:type="dxa"/>
            <w:vAlign w:val="bottom"/>
          </w:tcPr>
          <w:p>
            <w:pPr>
              <w:spacing w:after="0"/>
              <w:rPr>
                <w:sz w:val="18"/>
                <w:szCs w:val="18"/>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9,425</w:t>
            </w:r>
          </w:p>
        </w:tc>
      </w:tr>
      <w:tr>
        <w:trPr>
          <w:trHeight w:val="222"/>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7,469</w:t>
            </w:r>
          </w:p>
        </w:tc>
      </w:tr>
      <w:tr>
        <w:trPr>
          <w:trHeight w:val="210"/>
        </w:trPr>
        <w:tc>
          <w:tcPr>
            <w:tcW w:w="8980" w:type="dxa"/>
            <w:vAlign w:val="bottom"/>
          </w:tcPr>
          <w:p>
            <w:pPr>
              <w:ind w:left="20"/>
              <w:spacing w:after="0"/>
              <w:rPr>
                <w:sz w:val="20"/>
                <w:szCs w:val="20"/>
                <w:color w:val="auto"/>
              </w:rPr>
            </w:pPr>
            <w:r>
              <w:rPr>
                <w:rFonts w:ascii="Arial" w:cs="Arial" w:eastAsia="Arial" w:hAnsi="Arial"/>
                <w:sz w:val="14"/>
                <w:szCs w:val="14"/>
                <w:color w:val="auto"/>
              </w:rPr>
              <w:t>2021</w:t>
            </w:r>
          </w:p>
        </w:tc>
        <w:tc>
          <w:tcPr>
            <w:tcW w:w="640" w:type="dxa"/>
            <w:vAlign w:val="bottom"/>
          </w:tcPr>
          <w:p>
            <w:pPr>
              <w:spacing w:after="0"/>
              <w:rPr>
                <w:sz w:val="18"/>
                <w:szCs w:val="18"/>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5,482</w:t>
            </w:r>
          </w:p>
        </w:tc>
      </w:tr>
      <w:tr>
        <w:trPr>
          <w:trHeight w:val="222"/>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3,592</w:t>
            </w:r>
          </w:p>
        </w:tc>
      </w:tr>
      <w:tr>
        <w:trPr>
          <w:trHeight w:val="210"/>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5,936</w:t>
            </w:r>
          </w:p>
        </w:tc>
      </w:tr>
      <w:tr>
        <w:trPr>
          <w:trHeight w:val="216"/>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64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34,883</w:t>
            </w:r>
          </w:p>
        </w:tc>
      </w:tr>
      <w:tr>
        <w:trPr>
          <w:trHeight w:val="20"/>
        </w:trPr>
        <w:tc>
          <w:tcPr>
            <w:tcW w:w="89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820" w:hanging="488"/>
        <w:spacing w:after="0"/>
        <w:tabs>
          <w:tab w:leader="none" w:pos="820" w:val="left"/>
        </w:tabs>
        <w:numPr>
          <w:ilvl w:val="0"/>
          <w:numId w:val="8"/>
        </w:numPr>
        <w:rPr>
          <w:rFonts w:ascii="Arial" w:cs="Arial" w:eastAsia="Arial" w:hAnsi="Arial"/>
          <w:sz w:val="22"/>
          <w:szCs w:val="22"/>
          <w:b w:val="1"/>
          <w:bCs w:val="1"/>
          <w:color w:val="00497F"/>
        </w:rPr>
      </w:pPr>
      <w:r>
        <w:rPr>
          <w:rFonts w:ascii="Arial" w:cs="Arial" w:eastAsia="Arial" w:hAnsi="Arial"/>
          <w:sz w:val="22"/>
          <w:szCs w:val="22"/>
          <w:b w:val="1"/>
          <w:bCs w:val="1"/>
          <w:color w:val="00497F"/>
        </w:rPr>
        <w:t>DEBT, NET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debt, net is summarized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2018</w:t>
            </w:r>
          </w:p>
        </w:tc>
        <w:tc>
          <w:tcPr>
            <w:tcW w:w="260" w:type="dxa"/>
            <w:vAlign w:val="bottom"/>
          </w:tcPr>
          <w:p>
            <w:pPr>
              <w:spacing w:after="0"/>
              <w:rPr>
                <w:sz w:val="17"/>
                <w:szCs w:val="17"/>
                <w:color w:val="auto"/>
              </w:rPr>
            </w:pPr>
          </w:p>
        </w:tc>
        <w:tc>
          <w:tcPr>
            <w:tcW w:w="1880" w:type="dxa"/>
            <w:vAlign w:val="bottom"/>
          </w:tcPr>
          <w:p>
            <w:pPr>
              <w:jc w:val="right"/>
              <w:ind w:right="348"/>
              <w:spacing w:after="0"/>
              <w:rPr>
                <w:sz w:val="20"/>
                <w:szCs w:val="20"/>
                <w:color w:val="auto"/>
              </w:rPr>
            </w:pPr>
            <w:r>
              <w:rPr>
                <w:rFonts w:ascii="Arial" w:cs="Arial" w:eastAsia="Arial" w:hAnsi="Arial"/>
                <w:sz w:val="14"/>
                <w:szCs w:val="14"/>
                <w:b w:val="1"/>
                <w:bCs w:val="1"/>
                <w:color w:val="auto"/>
              </w:rPr>
              <w:t>December 31, 2017</w:t>
            </w: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Loans payable</w:t>
            </w:r>
          </w:p>
        </w:tc>
        <w:tc>
          <w:tcPr>
            <w:tcW w:w="260" w:type="dxa"/>
            <w:vAlign w:val="bottom"/>
            <w:tcBorders>
              <w:top w:val="single" w:sz="8" w:color="auto"/>
            </w:tcBorders>
          </w:tcPr>
          <w:p>
            <w:pPr>
              <w:spacing w:after="0"/>
              <w:rPr>
                <w:sz w:val="22"/>
                <w:szCs w:val="22"/>
                <w:color w:val="auto"/>
              </w:rPr>
            </w:pPr>
          </w:p>
        </w:tc>
        <w:tc>
          <w:tcPr>
            <w:tcW w:w="1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880" w:type="dxa"/>
            <w:vAlign w:val="bottom"/>
            <w:tcBorders>
              <w:top w:val="single" w:sz="8" w:color="auto"/>
            </w:tcBorders>
          </w:tcPr>
          <w:p>
            <w:pPr>
              <w:spacing w:after="0"/>
              <w:rPr>
                <w:sz w:val="22"/>
                <w:szCs w:val="22"/>
                <w:color w:val="auto"/>
              </w:rPr>
            </w:pPr>
          </w:p>
        </w:tc>
      </w:tr>
      <w:tr>
        <w:trPr>
          <w:trHeight w:val="276"/>
        </w:trPr>
        <w:tc>
          <w:tcPr>
            <w:tcW w:w="69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FTAI Pride Credit Agreement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49,306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53,993</w:t>
            </w:r>
          </w:p>
        </w:tc>
      </w:tr>
      <w:tr>
        <w:trPr>
          <w:trHeight w:val="264"/>
        </w:trPr>
        <w:tc>
          <w:tcPr>
            <w:tcW w:w="6980" w:type="dxa"/>
            <w:vAlign w:val="bottom"/>
          </w:tcPr>
          <w:p>
            <w:pPr>
              <w:ind w:left="500"/>
              <w:spacing w:after="0"/>
              <w:rPr>
                <w:sz w:val="20"/>
                <w:szCs w:val="20"/>
                <w:color w:val="auto"/>
              </w:rPr>
            </w:pPr>
            <w:r>
              <w:rPr>
                <w:rFonts w:ascii="Arial" w:cs="Arial" w:eastAsia="Arial" w:hAnsi="Arial"/>
                <w:sz w:val="14"/>
                <w:szCs w:val="14"/>
                <w:color w:val="auto"/>
              </w:rPr>
              <w:t>CMQR Credit Agreement</w:t>
            </w:r>
          </w:p>
        </w:tc>
        <w:tc>
          <w:tcPr>
            <w:tcW w:w="260" w:type="dxa"/>
            <w:vAlign w:val="bottom"/>
          </w:tcPr>
          <w:p>
            <w:pPr>
              <w:spacing w:after="0"/>
              <w:rPr>
                <w:sz w:val="22"/>
                <w:szCs w:val="22"/>
                <w:color w:val="auto"/>
              </w:rPr>
            </w:pPr>
          </w:p>
        </w:tc>
        <w:tc>
          <w:tcPr>
            <w:tcW w:w="1920" w:type="dxa"/>
            <w:vAlign w:val="bottom"/>
          </w:tcPr>
          <w:p>
            <w:pPr>
              <w:jc w:val="right"/>
              <w:ind w:right="48"/>
              <w:spacing w:after="0"/>
              <w:rPr>
                <w:sz w:val="20"/>
                <w:szCs w:val="20"/>
                <w:color w:val="auto"/>
              </w:rPr>
            </w:pPr>
            <w:r>
              <w:rPr>
                <w:rFonts w:ascii="Arial" w:cs="Arial" w:eastAsia="Arial" w:hAnsi="Arial"/>
                <w:sz w:val="14"/>
                <w:szCs w:val="14"/>
                <w:b w:val="1"/>
                <w:bCs w:val="1"/>
                <w:color w:val="auto"/>
              </w:rPr>
              <w:t>21,925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80" w:type="dxa"/>
            <w:vAlign w:val="bottom"/>
          </w:tcPr>
          <w:p>
            <w:pPr>
              <w:jc w:val="right"/>
              <w:ind w:right="28"/>
              <w:spacing w:after="0"/>
              <w:rPr>
                <w:sz w:val="20"/>
                <w:szCs w:val="20"/>
                <w:color w:val="auto"/>
              </w:rPr>
            </w:pPr>
            <w:r>
              <w:rPr>
                <w:rFonts w:ascii="Arial" w:cs="Arial" w:eastAsia="Arial" w:hAnsi="Arial"/>
                <w:sz w:val="14"/>
                <w:szCs w:val="14"/>
                <w:color w:val="auto"/>
              </w:rPr>
              <w:t>22,800</w:t>
            </w:r>
          </w:p>
        </w:tc>
      </w:tr>
      <w:tr>
        <w:trPr>
          <w:trHeight w:val="276"/>
        </w:trPr>
        <w:tc>
          <w:tcPr>
            <w:tcW w:w="69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Revolving Credit Facility</w:t>
            </w:r>
          </w:p>
        </w:tc>
        <w:tc>
          <w:tcPr>
            <w:tcW w:w="26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9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Jefferson Revolver</w:t>
            </w: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50,000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69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loans payable</w:t>
            </w:r>
          </w:p>
        </w:tc>
        <w:tc>
          <w:tcPr>
            <w:tcW w:w="260" w:type="dxa"/>
            <w:vAlign w:val="bottom"/>
            <w:shd w:val="clear" w:color="auto" w:fill="CCEEFF"/>
          </w:tcPr>
          <w:p>
            <w:pPr>
              <w:spacing w:after="0"/>
              <w:rPr>
                <w:sz w:val="22"/>
                <w:szCs w:val="22"/>
                <w:color w:val="auto"/>
              </w:rPr>
            </w:pPr>
          </w:p>
        </w:tc>
        <w:tc>
          <w:tcPr>
            <w:tcW w:w="1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121,231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76,793</w:t>
            </w: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Bonds payable</w:t>
            </w:r>
          </w:p>
        </w:tc>
        <w:tc>
          <w:tcPr>
            <w:tcW w:w="2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76"/>
        </w:trPr>
        <w:tc>
          <w:tcPr>
            <w:tcW w:w="69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Series 2012 Bonds</w:t>
            </w:r>
            <w:r>
              <w:rPr>
                <w:rFonts w:ascii="Arial" w:cs="Arial" w:eastAsia="Arial" w:hAnsi="Arial"/>
                <w:sz w:val="17"/>
                <w:szCs w:val="17"/>
                <w:color w:val="auto"/>
                <w:vertAlign w:val="superscript"/>
              </w:rPr>
              <w:t>(1)</w:t>
            </w:r>
          </w:p>
        </w:tc>
        <w:tc>
          <w:tcPr>
            <w:tcW w:w="26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42,812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44,404</w:t>
            </w:r>
          </w:p>
        </w:tc>
      </w:tr>
      <w:tr>
        <w:trPr>
          <w:trHeight w:val="264"/>
        </w:trPr>
        <w:tc>
          <w:tcPr>
            <w:tcW w:w="6980" w:type="dxa"/>
            <w:vAlign w:val="bottom"/>
          </w:tcPr>
          <w:p>
            <w:pPr>
              <w:ind w:left="500"/>
              <w:spacing w:after="0"/>
              <w:rPr>
                <w:sz w:val="20"/>
                <w:szCs w:val="20"/>
                <w:color w:val="auto"/>
              </w:rPr>
            </w:pPr>
            <w:r>
              <w:rPr>
                <w:rFonts w:ascii="Arial" w:cs="Arial" w:eastAsia="Arial" w:hAnsi="Arial"/>
                <w:sz w:val="14"/>
                <w:szCs w:val="14"/>
                <w:color w:val="auto"/>
              </w:rPr>
              <w:t>Series 2016 Bonds</w:t>
            </w:r>
          </w:p>
        </w:tc>
        <w:tc>
          <w:tcPr>
            <w:tcW w:w="260" w:type="dxa"/>
            <w:vAlign w:val="bottom"/>
          </w:tcPr>
          <w:p>
            <w:pPr>
              <w:spacing w:after="0"/>
              <w:rPr>
                <w:sz w:val="22"/>
                <w:szCs w:val="22"/>
                <w:color w:val="auto"/>
              </w:rPr>
            </w:pPr>
          </w:p>
        </w:tc>
        <w:tc>
          <w:tcPr>
            <w:tcW w:w="1920" w:type="dxa"/>
            <w:vAlign w:val="bottom"/>
          </w:tcPr>
          <w:p>
            <w:pPr>
              <w:jc w:val="right"/>
              <w:ind w:right="48"/>
              <w:spacing w:after="0"/>
              <w:rPr>
                <w:sz w:val="20"/>
                <w:szCs w:val="20"/>
                <w:color w:val="auto"/>
              </w:rPr>
            </w:pPr>
            <w:r>
              <w:rPr>
                <w:rFonts w:ascii="Arial" w:cs="Arial" w:eastAsia="Arial" w:hAnsi="Arial"/>
                <w:sz w:val="14"/>
                <w:szCs w:val="14"/>
                <w:b w:val="1"/>
                <w:bCs w:val="1"/>
                <w:color w:val="auto"/>
              </w:rPr>
              <w:t>144,200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80" w:type="dxa"/>
            <w:vAlign w:val="bottom"/>
          </w:tcPr>
          <w:p>
            <w:pPr>
              <w:jc w:val="right"/>
              <w:ind w:right="28"/>
              <w:spacing w:after="0"/>
              <w:rPr>
                <w:sz w:val="20"/>
                <w:szCs w:val="20"/>
                <w:color w:val="auto"/>
              </w:rPr>
            </w:pPr>
            <w:r>
              <w:rPr>
                <w:rFonts w:ascii="Arial" w:cs="Arial" w:eastAsia="Arial" w:hAnsi="Arial"/>
                <w:sz w:val="14"/>
                <w:szCs w:val="14"/>
                <w:color w:val="auto"/>
              </w:rPr>
              <w:t>144,200</w:t>
            </w:r>
          </w:p>
        </w:tc>
      </w:tr>
      <w:tr>
        <w:trPr>
          <w:trHeight w:val="276"/>
        </w:trPr>
        <w:tc>
          <w:tcPr>
            <w:tcW w:w="69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Senior Notes due 2022</w:t>
            </w:r>
            <w:r>
              <w:rPr>
                <w:rFonts w:ascii="Arial" w:cs="Arial" w:eastAsia="Arial" w:hAnsi="Arial"/>
                <w:sz w:val="17"/>
                <w:szCs w:val="17"/>
                <w:color w:val="auto"/>
                <w:vertAlign w:val="superscript"/>
              </w:rPr>
              <w:t>(2)</w:t>
            </w:r>
          </w:p>
        </w:tc>
        <w:tc>
          <w:tcPr>
            <w:tcW w:w="26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549,373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449,290</w:t>
            </w:r>
          </w:p>
        </w:tc>
      </w:tr>
      <w:tr>
        <w:trPr>
          <w:trHeight w:val="270"/>
        </w:trPr>
        <w:tc>
          <w:tcPr>
            <w:tcW w:w="69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Senior Notes due 2025</w:t>
            </w:r>
            <w:r>
              <w:rPr>
                <w:rFonts w:ascii="Arial" w:cs="Arial" w:eastAsia="Arial" w:hAnsi="Arial"/>
                <w:sz w:val="17"/>
                <w:szCs w:val="17"/>
                <w:color w:val="auto"/>
                <w:vertAlign w:val="superscript"/>
              </w:rPr>
              <w:t>(3)</w:t>
            </w:r>
          </w:p>
        </w:tc>
        <w:tc>
          <w:tcPr>
            <w:tcW w:w="26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295,516</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69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bonds payable</w:t>
            </w:r>
          </w:p>
        </w:tc>
        <w:tc>
          <w:tcPr>
            <w:tcW w:w="26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1,031,901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637,894</w:t>
            </w:r>
          </w:p>
        </w:tc>
      </w:tr>
      <w:tr>
        <w:trPr>
          <w:trHeight w:val="270"/>
        </w:trPr>
        <w:tc>
          <w:tcPr>
            <w:tcW w:w="69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spacing w:after="0"/>
              <w:rPr>
                <w:sz w:val="23"/>
                <w:szCs w:val="23"/>
                <w:color w:val="auto"/>
              </w:rPr>
            </w:pPr>
          </w:p>
        </w:tc>
      </w:tr>
      <w:tr>
        <w:trPr>
          <w:trHeight w:val="25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Debt</w:t>
            </w:r>
          </w:p>
        </w:tc>
        <w:tc>
          <w:tcPr>
            <w:tcW w:w="26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1,153,132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714,687</w:t>
            </w:r>
          </w:p>
        </w:tc>
      </w:tr>
      <w:tr>
        <w:trPr>
          <w:trHeight w:val="264"/>
        </w:trPr>
        <w:tc>
          <w:tcPr>
            <w:tcW w:w="69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Less: Debt issuance costs</w:t>
            </w: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(15,265)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(11,423)</w:t>
            </w:r>
          </w:p>
        </w:tc>
      </w:tr>
      <w:tr>
        <w:trPr>
          <w:trHeight w:val="243"/>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debt, net</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1,137,867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703,264</w:t>
            </w:r>
          </w:p>
        </w:tc>
      </w:tr>
      <w:tr>
        <w:trPr>
          <w:trHeight w:val="20"/>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78"/>
        </w:trPr>
        <w:tc>
          <w:tcPr>
            <w:tcW w:w="6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debt due within one year</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72,901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7,795</w:t>
            </w:r>
          </w:p>
        </w:tc>
      </w:tr>
      <w:tr>
        <w:trPr>
          <w:trHeight w:val="20"/>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Includes unamortized premium of $1,592 and $1,639 at September 30, 2018 and December 31, 2017, respectively.</w:t>
      </w:r>
    </w:p>
    <w:p>
      <w:pPr>
        <w:spacing w:after="0" w:line="97" w:lineRule="exact"/>
        <w:rPr>
          <w:rFonts w:ascii="Arial" w:cs="Arial" w:eastAsia="Arial" w:hAnsi="Arial"/>
          <w:sz w:val="18"/>
          <w:szCs w:val="18"/>
          <w:color w:val="auto"/>
          <w:vertAlign w:val="superscript"/>
        </w:rPr>
      </w:pPr>
    </w:p>
    <w:p>
      <w:pPr>
        <w:ind w:left="180" w:hanging="172"/>
        <w:spacing w:after="0" w:line="218" w:lineRule="auto"/>
        <w:tabs>
          <w:tab w:leader="none" w:pos="186"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Includes unamortized discount of $5,502 and $6,506 at September 30, 2018 and December 31, 2017, respectively, and an unamortized premium of $4,875 and $5,796 at September 30, 2018 and December 31, 2017, respectively.</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Includes unamortized discount of $4,484 and $0 at September 30, 2018 and December 31, 2017, respectively.</w:t>
      </w:r>
    </w:p>
    <w:p>
      <w:pPr>
        <w:sectPr>
          <w:pgSz w:w="11900" w:h="16838" w:orient="portrait"/>
          <w:cols w:equalWidth="0" w:num="1">
            <w:col w:w="11420"/>
          </w:cols>
          <w:pgMar w:left="240" w:top="120"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0" w:right="239" w:bottom="1440" w:gutter="0" w:footer="0" w:header="0"/>
          <w:type w:val="continuous"/>
        </w:sectPr>
      </w:pPr>
    </w:p>
    <w:bookmarkStart w:id="20" w:name="page21"/>
    <w:bookmarkEnd w:id="20"/>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4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00497F"/>
        </w:rPr>
        <w:t>FTAI Pride Credit Agreement</w:t>
      </w:r>
      <w:r>
        <w:rPr>
          <w:rFonts w:ascii="Arial" w:cs="Arial" w:eastAsia="Arial" w:hAnsi="Arial"/>
          <w:sz w:val="16"/>
          <w:szCs w:val="16"/>
          <w:color w:val="00497F"/>
        </w:rPr>
        <w:t>—</w:t>
      </w:r>
      <w:r>
        <w:rPr>
          <w:rFonts w:ascii="Arial" w:cs="Arial" w:eastAsia="Arial" w:hAnsi="Arial"/>
          <w:sz w:val="16"/>
          <w:szCs w:val="16"/>
          <w:color w:val="000000"/>
        </w:rPr>
        <w:t>On September 15, 2014, FTAI Pride, LLC, (“FTAI Pride”), our subsidiary, entered into a credit agreement (the “FTAI Pride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Credit Agreement”) with a financial institution for a term loan in an aggregate amount of $75,000. The loan proceeds were used in connection with the acquisition of an offshore construction vessel. The FTAI Pride Credit Agreement requires quarterly payments of interest and scheduled principal payments of $1,562 beginning in the quarter ending December 31, 2015, through its maturity in September 2019, and can be prepaid without penalty at any time. The FTAI Pride Credit Agreement is secured on a first priority basis by the offshore construction vessel. Borrowings under the FTAI Pride Credit Agreement bear interest at the LIBOR rate plus a spread of 4.50%.</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FTAI Pride Credit Agreement contains affirmative and negative covenants which limit certain actions of the borrower and a financial covenant requiring the borrower to maintain a Fixed Charges Coverage Ratio, as defined, of not less than 1.15:1.00 in any twelve month period ending December 31, 2014, or thereafter.</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00497F"/>
        </w:rPr>
        <w:t>CMQR Credit Agreement</w:t>
      </w:r>
      <w:r>
        <w:rPr>
          <w:rFonts w:ascii="Arial" w:cs="Arial" w:eastAsia="Arial" w:hAnsi="Arial"/>
          <w:sz w:val="16"/>
          <w:szCs w:val="16"/>
          <w:color w:val="00497F"/>
        </w:rPr>
        <w:t>—</w:t>
      </w:r>
      <w:r>
        <w:rPr>
          <w:rFonts w:ascii="Arial" w:cs="Arial" w:eastAsia="Arial" w:hAnsi="Arial"/>
          <w:sz w:val="16"/>
          <w:szCs w:val="16"/>
          <w:color w:val="000000"/>
        </w:rPr>
        <w:t>On June 30, 2017, CMQR amended its credit agreement (the “CMQR Credit Agreement”) with a financial institution for a revolving</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line of credit to increase the aggregate amount from $20,000 to $25,000 and to extend the maturity date to September 18, 2019. Borrowings under the CMQR Credit Agreement bear interest at either (i) Adjusted LIBOR plus a spread of 2.50% or 4.50%, (ii) the U.S. or Canadian Base Rate plus a spread of 1.50% or 3.50%, or (iii) the Canadian Fixed Rate plus a spread of 2.50% or 4.50%, as defined by the CMQR Credit Agreement. The weighted-average effective interest rate as of September 30, 2018 and December 31, 2017 was 4.61% and 3.95%, respectively.</w:t>
      </w:r>
    </w:p>
    <w:p>
      <w:pPr>
        <w:spacing w:after="0" w:line="9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CMQR Credit Agreement is also indirectly supported by the Company as sponsor. In the event of a default under the credit agreement, CMQR’s lenders can cause CMQR to call up to a total of $29,000 in capital from the Company, and in the event of CMQR’s bankruptcy, the lenders can put the debt back to the Company. The CMQR Credit Agreement contains affirmative and negative covenants which limit certain actions of CMQR.</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00497F"/>
        </w:rPr>
        <w:t>Series 2012 Bonds</w:t>
      </w:r>
      <w:r>
        <w:rPr>
          <w:rFonts w:ascii="Arial" w:cs="Arial" w:eastAsia="Arial" w:hAnsi="Arial"/>
          <w:sz w:val="16"/>
          <w:szCs w:val="16"/>
          <w:color w:val="00497F"/>
        </w:rPr>
        <w:t>—</w:t>
      </w:r>
      <w:r>
        <w:rPr>
          <w:rFonts w:ascii="Arial" w:cs="Arial" w:eastAsia="Arial" w:hAnsi="Arial"/>
          <w:sz w:val="16"/>
          <w:szCs w:val="16"/>
          <w:color w:val="000000"/>
        </w:rPr>
        <w:t>On August 1, 2012, Jefferson County Development Corporation issued $46,875 of tax-exempt industrial bonds (“Series 2012 Bonds”), to</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specifically fund construction and operation of an intermodal transfer facility for crude oil and refined petroleum products. The proceeds of this issuance were loaned to Jefferson Terminal, to be held in trust, as restricted cash, to ensure adherence to the restrictions of use of the funds. Use of the proceeds requires approval from a trustee prior to release of funds. Such restricted cash may only be released to us after payment of applicable reserves, including a six-month interest reserve, and expenses, as determined by the trustee. The Series 2012 Bonds have a stated maturity of July 1, 2032, bear interest at 8.25%, and require scheduled principal payments. The principal of the Series 2012 Bonds is payable annually at varying amounts.</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our acquisition of Jefferson Terminal, the Series 2012 Bonds were recorded at a fair value of $48,554, which represented a premium of $1,823 as compared to their face value at the date of acquisition; such premium is being amortized using the effective interest method over the remaining contractual term of the Series 2012 Bonds.</w:t>
      </w:r>
    </w:p>
    <w:p>
      <w:pPr>
        <w:spacing w:after="0" w:line="14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Series 2012 Bond agreement contains a financial covenant requiring a subsidiary of ours to maintain a long-term debt service coverage ratio, as defined in the agreement, of 1.25 to 1, in each fiscal year.</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00497F"/>
        </w:rPr>
        <w:t>Series 2016 Bonds</w:t>
      </w:r>
      <w:r>
        <w:rPr>
          <w:rFonts w:ascii="Arial" w:cs="Arial" w:eastAsia="Arial" w:hAnsi="Arial"/>
          <w:sz w:val="16"/>
          <w:szCs w:val="16"/>
          <w:color w:val="00497F"/>
        </w:rPr>
        <w:t>—</w:t>
      </w:r>
      <w:r>
        <w:rPr>
          <w:rFonts w:ascii="Arial" w:cs="Arial" w:eastAsia="Arial" w:hAnsi="Arial"/>
          <w:sz w:val="16"/>
          <w:szCs w:val="16"/>
          <w:color w:val="000000"/>
        </w:rPr>
        <w:t>On March 7, 2016, the Port of Beaumont Navigation District of Jefferson County, Texas (the “District”) issued $144,200 of Dock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Wharf Facility Revenue Bonds, Series 2016 (Jefferson Energy Companies Project) (the “Series 2016 Bonds”). Proceeds from the issuance of the Series 2016 Bonds were used, in part, to reimburse Jefferson Railport Terminal II, LLC (“Jefferson Railport II”) for certain costs related to the development, construction and acquisition of certain facilities for the transport, loading, unloading, and storage of petroleum products (the “Facilities”) on behalf of the District, and settle the Jefferson Terminal Credit Agreement. Construction of the Facilities has occurred on property leased by the District to Jefferson Railport II pursuant to a First Amended and Restated Ground Lease between Jefferson Railport II, as lessee, and the District, as lessor. All such Facilities will be leased by the District to Jefferson Railport II pursuant to a Lease and Development Agreement between the District and Jefferson Railport II.</w:t>
      </w:r>
    </w:p>
    <w:p>
      <w:pPr>
        <w:spacing w:after="0" w:line="14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transaction described above did not qualify for sale-leaseback accounting due to our continuing involvement resulting from the mandatory tender feature and, as a result, the leases were classified as a financing transaction in our consolidated financial statements. Under the financing method, the assets constructed or to be constructed will remain on the consolidated balance sheet and the net proceeds received by us are recorded as financial debt. Payments under these leases are recorded as interest expense and reduction of principal in accordance with the terms of the bond agreement with annual interest payments and a principal repayment at February 13, 2020 barring a remarketing of the bond on new terms.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a Capital Call Agreement, we have agreed to make funds available to Jefferson Holdings in order to satisfy our obligation under the Standby Bond Purchase Agreement. The Capital Call Agreement contains certain covenants, including a negative lien covenant regarding Aviation Assets, as defined therein, as well as maintenance of a minimum total asset value of Aviation Assets and minimum total equity. In connection with the above, and related to the Series 2016 Bonds, a subsidiary of ours and an affiliate of our Manager entered into a Fee and Support Agreement with FTAI Energy Partners LLC and certain of its subsidiaries. The Fee and Support Agreement provides that both such subsidiary of ours and affiliate of the Manager will effectively guarantee a pro rata portion of the obligations under the Standby Bond Purchase Agreement in return for a guarantee fee of $6,873 (shared on the same pro rata basis). This fee will be amortized as interest expense to the earlier of the redemption date or February 13, 2020.</w:t>
      </w:r>
    </w:p>
    <w:p>
      <w:pPr>
        <w:spacing w:after="0" w:line="15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Series 2016 Bonds bear interest at an initial rate of 7.25% and require scheduled interest payments. The Series 2016 Bonds have a stated maturity of February 1, 2036 but are subject to mandatory tender for purchase at par on February 13, 2020 if they have not been repurchased from proceeds of a remarketing of the Series 2016 Bonds or redeemed prior to such date. In the event all of the Series 2016 Bonds are not repurchased from proceeds of a remarketing or redeemed at February 13, 2020, Jefferson Railport and Jefferson Railport Terminal II Holdings LLC (“Jefferson Holdings”), a Delaware limited liability company and parent of Jefferson Railport II, have agreed to purchase the Series 2016 Bonds from the Holders thereof at par pursuant to a Standby Bond Purchase Agreement. In addition, pursuant to the Standby Purchase Agreement, Jefferson Holdings will guarantee the payment of all Rent (as defined in the Facilities Lease), and all principal of and premium and interest on the Series 2016 Bonds payable prior to repurchase or redemption at February 13, 2020.</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00497F"/>
        </w:rPr>
        <w:t>Term Loan</w:t>
      </w:r>
      <w:r>
        <w:rPr>
          <w:rFonts w:ascii="Arial" w:cs="Arial" w:eastAsia="Arial" w:hAnsi="Arial"/>
          <w:sz w:val="16"/>
          <w:szCs w:val="16"/>
          <w:color w:val="00497F"/>
        </w:rPr>
        <w:t>—</w:t>
      </w:r>
      <w:r>
        <w:rPr>
          <w:rFonts w:ascii="Arial" w:cs="Arial" w:eastAsia="Arial" w:hAnsi="Arial"/>
          <w:sz w:val="16"/>
          <w:szCs w:val="16"/>
          <w:color w:val="000000"/>
        </w:rPr>
        <w:t>On January 23, 2017, we entered into an unsecured credit agreement under which we, through our wholly owned subsidiaries, including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Partnership and WWTAI Finance Ltd., an exempted company incorporated with limited liability under the laws of Bermuda, borrowed $100,000 in term loans denominated in U.S. dollars (the “Term Loans”). The proceeds of the Term Loan are to be used for general corporate purposes, including future acquisitions by us and our subsidiaries of certain aviation and infrastructure assets. The Term Loans bear interest at the Base Rate (determined in accordance with the agreement) plus 2.75% per annum, or at the Adjusted Eurodollar Rate (determined in accordance with the agreement) plus 3.75% per annum, if we choose to make Eurodollar Rate borrowings. The Term Loans mature on January 22, 2018, subject to our right to elect a one year extension, and require amortization payments in the amount of $250 on the last day of each fiscal quarter beginning on March 31, 2017. On March 15, 2017, all amounts outstanding under the Term Loan were repaid in full and the agreement was terminated. Accordingly, during the nine months ended September 30, 2017, we recorded a loss on extinguishment of debt of $2,456.</w:t>
      </w:r>
    </w:p>
    <w:p>
      <w:pPr>
        <w:spacing w:after="0" w:line="13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00497F"/>
        </w:rPr>
        <w:t>Senior Notes due 2022</w:t>
      </w:r>
      <w:r>
        <w:rPr>
          <w:rFonts w:ascii="Arial" w:cs="Arial" w:eastAsia="Arial" w:hAnsi="Arial"/>
          <w:sz w:val="16"/>
          <w:szCs w:val="16"/>
          <w:color w:val="00497F"/>
        </w:rPr>
        <w:t>—</w:t>
      </w:r>
      <w:r>
        <w:rPr>
          <w:rFonts w:ascii="Arial" w:cs="Arial" w:eastAsia="Arial" w:hAnsi="Arial"/>
          <w:sz w:val="16"/>
          <w:szCs w:val="16"/>
          <w:color w:val="000000"/>
        </w:rPr>
        <w:t>On March 15, 2017, we issued $250,000 aggregate principal amount of 6.75% senior unsecured notes due 2022 (the “2022</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Notes”). The 2022 Notes were issued pursuant to an indenture, dated as of March 15, 2017, between us and U.S. Bank National Association, as trustee. On August 23, 2017, we issued an additional $100,000 of 2022 Notes. The additional notes were issued at an offering price of 102.75% of the principal amount plus accrued interest from March 15, 2017 to the date of issuance. On December 20, 2017, we issued an additional $100,000 of 2022 Notes. The additional notes issued on December 20, 2017 were issued at an offering price of 103.25% of the principal amount plus accrued interest from September 15, 2017. On May 31, 2018, we issued an additional $100,000 of 2022 Notes at an offering price of 100.00% of the principal amount plus accrued interest from March 15, 2018.</w:t>
      </w:r>
    </w:p>
    <w:p>
      <w:pPr>
        <w:spacing w:after="0" w:line="34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2022 Notes bear interest at a rate of 6.75% per annum, payable semi-annually in arrears on March 15 and September 15 of each year, commencing on September 15, 2017, to persons who are registered holders of the 2022 Notes on the immediately preceding March 1 and September 1, respectively.</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2022 Notes mature on March 15, 2022. Prior to March 15, 2020, we may redeem some or all of the 2022 Notes at a redemption price equal to 100.00% of the principal amount of the 2022 Notes redeemed, plus accrued and unpaid interest, if any, to, but not including, the applicable redemption date, plus a “make-whole” premium. On or after March 15, 2020, we may redeem some or all of the 2022 Notes at any time at declining redemption prices equal to (i) 105.063% beginning on March 15, 2020, and (ii) 100.000% beginning on March 15, 2021 and thereafter, plus, in each case, accrued and unpaid interest, if any, to, but not including, the applicable redemption date. In addition, at any time on or prior to March 15, 2020, we may at any time redeem up to 40% of the aggregate principal amount of the 2022 Notes using net proceeds from certain equity offerings at a redemption price equal to 106.75% of the principal amount of the 2022 Notes redeemed, plus accrued and unpaid interest, if any, to, but not including, the applicable redemption date.</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used a portion of the proceeds to fully repay all outstanding indebtedness under our Term Loan in the amount of $100,000, payment of fees related to the issuance of 2022 Notes, and to fund the purchase of additional investments. We intend to use the remainder of the proceeds for general corporate purposes, including the funding of future investments.</w:t>
      </w:r>
    </w:p>
    <w:p>
      <w:pPr>
        <w:spacing w:after="0" w:line="12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00497F"/>
        </w:rPr>
        <w:t>Senior Notes due 2025</w:t>
      </w:r>
      <w:r>
        <w:rPr>
          <w:rFonts w:ascii="Arial" w:cs="Arial" w:eastAsia="Arial" w:hAnsi="Arial"/>
          <w:sz w:val="16"/>
          <w:szCs w:val="16"/>
          <w:color w:val="00497F"/>
        </w:rPr>
        <w:t>—</w:t>
      </w:r>
      <w:r>
        <w:rPr>
          <w:rFonts w:ascii="Arial" w:cs="Arial" w:eastAsia="Arial" w:hAnsi="Arial"/>
          <w:sz w:val="16"/>
          <w:szCs w:val="16"/>
          <w:color w:val="000000"/>
        </w:rPr>
        <w:t>On September 18, 2018, we issued $300,000 aggregate principal amount of 6.50% senior unsecured notes due 2025 (the “2025</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Notes”).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2025 Notes bear interest at a rate of 6.50% per annum, payable semi-annually in arrears on April 1 and October 1 of each year, commencing on April 1, 2019, to persons who are registered holders on the immediately preceding March 15 and September 15, respectively.</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2025 Notes will mature on October 1, 2025. Prior to October 1, 2021, we may redeem some or all of the 2025 Notes at a redemption price equal to 100.00% of the principal amount of the 2025 Notes redeemed, plus accrued and unpaid interest, if any, to, but not including, the applicable redemption date, plus a “make-whole” premium. On or after October 1, 2021, we may redeem some or all of the 2025 Notes at declining redemption prices equal to (i) 103.250% beginning on October 1, 2021, (ii) 101.625% beginning on October 1, 2022 and (iii) 100.000% beginning on October 1, 2023 and thereafter, plus, in each case, accrued and unpaid interest, if any, to, but not including, the applicable redemption date. In addition, at any time on or prior to October 1, 2021, we may redeem up to 40% of the aggregate principal amount of the 2025 Notes using net proceeds from certain equity offerings at a redemption price equal to 106.50% of the principal amount of the 2025 Notes redeemed, plus accrued and unpaid interest, if any, to, but not including, the applicable redemption date.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00497F"/>
        </w:rPr>
        <w:t>Revolving Credit Facility</w:t>
      </w:r>
      <w:r>
        <w:rPr>
          <w:rFonts w:ascii="Arial" w:cs="Arial" w:eastAsia="Arial" w:hAnsi="Arial"/>
          <w:sz w:val="16"/>
          <w:szCs w:val="16"/>
          <w:color w:val="00497F"/>
        </w:rPr>
        <w:t>—</w:t>
      </w:r>
      <w:r>
        <w:rPr>
          <w:rFonts w:ascii="Arial" w:cs="Arial" w:eastAsia="Arial" w:hAnsi="Arial"/>
          <w:sz w:val="16"/>
          <w:szCs w:val="16"/>
          <w:color w:val="000000"/>
        </w:rPr>
        <w:t>On June 16, 2017, we entered into a revolving credit facility (the “Revolving Credit Facility”) with certain lenders. On August 2,</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2018, we entered into an amendment to the Revolving Credit Facility. The amendment, among other things, (i) increases the aggregate revolving commitments by $50,000 from $75,000 to $125,000 and (ii) extends the maturity date of the revolving loans and commitments under the Existing Credit Agreement by one year from June 16, 2020 to June 16, 2021. The Revolving Credit Facility provides for revolving loans in the aggregate principal amount of up to $125,000, of which $25,000 may be utilized for the issuance of letters of credit. The proceeds drawn on this facility will be used for working capital and general corporate purposes, including, without limitation, permitted acquisitions and other investments. The Revolving Credit Facility is secured by the capital stock of certain direct subsidiaries of ours as defined in the related credit agreement.</w:t>
      </w:r>
    </w:p>
    <w:p>
      <w:pPr>
        <w:spacing w:after="0" w:line="148"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Borrowings outstanding under the Revolving Credit Facility bear interest at the Adjusted Eurodollar Rate (determined in accordance with the credit agreement) plus 3.00% per annum, if we choose to make Eurodollar Rate borrowings, or at the Base Rate (determined in accordance with the credit agreement) plus 2.00% per annum. We will also be required to pay a quarterly commitment fee at a rate per annum equal to 0.50% on the average daily unused portion of the Revolving Credit Facility, as well as customary letter of credit fees and agency fees.</w:t>
      </w:r>
    </w:p>
    <w:p>
      <w:pPr>
        <w:spacing w:after="0" w:line="14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Any amount borrowed under the Revolving Credit Facility may be voluntarily prepaid without penalty or premium, other than customary breakage costs related to prepayments of Eurodollar Rate borrowings.</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Revolving Credit Facility includes financial covenants requiring the maintenance of (1) a minimum ratio of the appraised value of certain aviation assets to the aggregate commitments under the revolving credit facility of 3.00 to 1.00 and (2) a maximum ratio of debt to total equity (before reduction for minority interests) for us and our subsidiaries of 1.65 to 1.00 per the terms of the credit agreement.</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Jefferson Revolving Credit Facility</w:t>
      </w:r>
      <w:r>
        <w:rPr>
          <w:rFonts w:ascii="Arial" w:cs="Arial" w:eastAsia="Arial" w:hAnsi="Arial"/>
          <w:sz w:val="16"/>
          <w:szCs w:val="16"/>
          <w:color w:val="00497F"/>
        </w:rPr>
        <w:t>—</w:t>
      </w:r>
      <w:r>
        <w:rPr>
          <w:rFonts w:ascii="Arial" w:cs="Arial" w:eastAsia="Arial" w:hAnsi="Arial"/>
          <w:sz w:val="16"/>
          <w:szCs w:val="16"/>
          <w:color w:val="000000"/>
        </w:rPr>
        <w:t>On March 7, 2018, our subsidiary entered into a revolving credit facility (the “Jefferson Revolver”) with certain lenders.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Jefferson Revolver provides for revolving loans in the aggregate principal amount of up to $50,000. The proceeds drawn on this facility will be used for working capital and general purposes. The Jefferson Revolver is secured by the capital stock of certain of our direct subsidiaries as defined in the related credit agreement.</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Borrowings outstanding under the Jefferson Revolver bear interest at the Base Rate (determined in accordance with the credit agreement) plus 1.50% per annum, or if we choose to make Eurodollar Rate borrowings, at the Base Rate (determined in accordance with the credit agreement) plus 2.50% per annum. We will also be required to pay a quarterly commitment fee at a rate per annum equal to 0.50% on the average daily unused portion of the Jefferson Revolver, as well as customary letter of credit fees and agency fees.</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Jefferson Revolver will mature, and commitments in respect to the Jefferson Revolver will terminate on March 7, 2021. Any amount borrowed under the Jefferson Revolver may be voluntarily prepaid without penalty or premium, other than customary breakage costs related to prepayments of Eurodollar Rate borrowings.</w:t>
      </w:r>
    </w:p>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Jefferson Revolver includes financial covenants requiring the maintenance of a maximum ratio of debt to total equity (before reduction for minority interests) for us and our subsidiaries of 1.65 to 1.00.</w:t>
      </w:r>
    </w:p>
    <w:p>
      <w:pPr>
        <w:spacing w:after="0" w:line="15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the event of a credit agreement default by our subsidiary, including bankruptcy or insolvency, financial covenant default, or the failure to make a capital call under the relevant agreement, we have agreed to contribute capital to satisfy up to 120% of the aggregate outstanding obligations.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all debt covenants as of September 30, 2018.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0" w:right="239" w:bottom="1440" w:gutter="0" w:footer="0" w:header="0"/>
        </w:sectPr>
      </w:pPr>
    </w:p>
    <w:bookmarkStart w:id="23" w:name="page24"/>
    <w:bookmarkEnd w:id="23"/>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9. FAIR VALUE MEASUREMENTS</w:t>
      </w:r>
    </w:p>
    <w:p>
      <w:pPr>
        <w:spacing w:after="0" w:line="187" w:lineRule="exact"/>
        <w:rPr>
          <w:sz w:val="20"/>
          <w:szCs w:val="20"/>
          <w:color w:val="auto"/>
        </w:rPr>
      </w:pPr>
    </w:p>
    <w:p>
      <w:pPr>
        <w:ind w:left="340" w:right="20"/>
        <w:spacing w:after="0" w:line="260" w:lineRule="auto"/>
        <w:rPr>
          <w:sz w:val="20"/>
          <w:szCs w:val="20"/>
          <w:color w:val="auto"/>
        </w:rPr>
      </w:pPr>
      <w:r>
        <w:rPr>
          <w:rFonts w:ascii="Arial" w:cs="Arial" w:eastAsia="Arial" w:hAnsi="Arial"/>
          <w:sz w:val="16"/>
          <w:szCs w:val="16"/>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14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167"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2: Inputs other than quoted prices included within Level 1 that are observable, either directly or indirectly, such as quoted prices for similar assets or liabilities or market corroborated inputs.</w:t>
      </w:r>
    </w:p>
    <w:p>
      <w:pPr>
        <w:spacing w:after="0" w:line="141" w:lineRule="exact"/>
        <w:rPr>
          <w:rFonts w:ascii="Arial" w:cs="Arial" w:eastAsia="Arial" w:hAnsi="Arial"/>
          <w:sz w:val="16"/>
          <w:szCs w:val="16"/>
          <w:color w:val="auto"/>
        </w:rPr>
      </w:pPr>
    </w:p>
    <w:p>
      <w:pPr>
        <w:ind w:left="660" w:right="20" w:hanging="328"/>
        <w:spacing w:after="0" w:line="260"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us to develop our own assumptions about how market participants price the asset or liability.</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valuation techniques that may be used to measure fair value are as follows:</w:t>
      </w:r>
    </w:p>
    <w:p>
      <w:pPr>
        <w:spacing w:after="0" w:line="16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Market approach—Uses prices and other relevant information generated by market transactions involving identical or comparable assets or liabilities.</w:t>
      </w:r>
    </w:p>
    <w:p>
      <w:pPr>
        <w:spacing w:after="0" w:line="167"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Income approach—Uses valuation techniques to convert future amounts to a single present amount based on current market expectations about those future amounts.</w:t>
      </w:r>
    </w:p>
    <w:p>
      <w:pPr>
        <w:spacing w:after="0" w:line="141"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Cost approach—Based on the amount that currently would be required to replace the service capacity of an asset (replacement cost).</w:t>
      </w:r>
    </w:p>
    <w:p>
      <w:pPr>
        <w:spacing w:after="0" w:line="167"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following tables set forth our financial assets measured at fair value on a recurring basis as of September 30, 2018 and December 31, 2017, by level within the fair value hierarchy. Assets measured at fair value are classified in their entirety based on the lowest level of input that is significant to their fair value measurement.</w:t>
      </w:r>
    </w:p>
    <w:p>
      <w:pPr>
        <w:spacing w:after="0" w:line="348"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 Value as of</w:t>
            </w:r>
          </w:p>
        </w:tc>
        <w:tc>
          <w:tcPr>
            <w:tcW w:w="160" w:type="dxa"/>
            <w:vAlign w:val="bottom"/>
          </w:tcPr>
          <w:p>
            <w:pPr>
              <w:spacing w:after="0"/>
              <w:rPr>
                <w:sz w:val="16"/>
                <w:szCs w:val="16"/>
                <w:color w:val="auto"/>
              </w:rPr>
            </w:pPr>
          </w:p>
        </w:tc>
        <w:tc>
          <w:tcPr>
            <w:tcW w:w="4200" w:type="dxa"/>
            <w:vAlign w:val="bottom"/>
            <w:gridSpan w:val="7"/>
          </w:tcPr>
          <w:p>
            <w:pPr>
              <w:jc w:val="center"/>
              <w:ind w:right="48"/>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76"/>
        </w:trPr>
        <w:tc>
          <w:tcPr>
            <w:tcW w:w="25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2018</w:t>
            </w: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64"/>
        </w:trPr>
        <w:tc>
          <w:tcPr>
            <w:tcW w:w="2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2"/>
                <w:szCs w:val="22"/>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2"/>
                <w:szCs w:val="22"/>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2"/>
                <w:szCs w:val="22"/>
                <w:color w:val="auto"/>
              </w:rPr>
            </w:pPr>
          </w:p>
        </w:tc>
        <w:tc>
          <w:tcPr>
            <w:tcW w:w="1100" w:type="dxa"/>
            <w:vAlign w:val="bottom"/>
          </w:tcPr>
          <w:p>
            <w:pPr>
              <w:jc w:val="right"/>
              <w:ind w:right="368"/>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Valuation Technique</w:t>
            </w:r>
          </w:p>
        </w:tc>
      </w:tr>
      <w:tr>
        <w:trPr>
          <w:trHeight w:val="270"/>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700" w:type="dxa"/>
            <w:vAlign w:val="bottom"/>
            <w:tcBorders>
              <w:top w:val="single" w:sz="8" w:color="auto"/>
            </w:tcBorders>
            <w:shd w:val="clear" w:color="auto" w:fill="CCEEFF"/>
          </w:tcPr>
          <w:p>
            <w:pPr>
              <w:spacing w:after="0"/>
              <w:rPr>
                <w:sz w:val="23"/>
                <w:szCs w:val="23"/>
                <w:color w:val="auto"/>
              </w:rPr>
            </w:pPr>
          </w:p>
        </w:tc>
      </w:tr>
      <w:tr>
        <w:trPr>
          <w:trHeight w:val="264"/>
        </w:trPr>
        <w:tc>
          <w:tcPr>
            <w:tcW w:w="2580" w:type="dxa"/>
            <w:vAlign w:val="bottom"/>
          </w:tcPr>
          <w:p>
            <w:pPr>
              <w:ind w:left="26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28"/>
              <w:spacing w:after="0"/>
              <w:rPr>
                <w:sz w:val="20"/>
                <w:szCs w:val="20"/>
                <w:color w:val="auto"/>
              </w:rPr>
            </w:pPr>
            <w:r>
              <w:rPr>
                <w:rFonts w:ascii="Arial" w:cs="Arial" w:eastAsia="Arial" w:hAnsi="Arial"/>
                <w:sz w:val="14"/>
                <w:szCs w:val="14"/>
                <w:b w:val="1"/>
                <w:bCs w:val="1"/>
                <w:color w:val="auto"/>
              </w:rPr>
              <w:t>163,145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b w:val="1"/>
                <w:bCs w:val="1"/>
                <w:color w:val="auto"/>
              </w:rPr>
              <w:t>163,145</w:t>
            </w:r>
          </w:p>
        </w:tc>
        <w:tc>
          <w:tcPr>
            <w:tcW w:w="12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ind w:left="8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Market</w:t>
            </w:r>
          </w:p>
        </w:tc>
      </w:tr>
      <w:tr>
        <w:trPr>
          <w:trHeight w:val="276"/>
        </w:trPr>
        <w:tc>
          <w:tcPr>
            <w:tcW w:w="2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Restricted cash</w:t>
            </w:r>
          </w:p>
        </w:tc>
        <w:tc>
          <w:tcPr>
            <w:tcW w:w="1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22,355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22,355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r>
      <w:tr>
        <w:trPr>
          <w:trHeight w:val="264"/>
        </w:trPr>
        <w:tc>
          <w:tcPr>
            <w:tcW w:w="25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Derivative assets</w:t>
            </w:r>
          </w:p>
        </w:tc>
        <w:tc>
          <w:tcPr>
            <w:tcW w:w="1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1,215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1,215</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Income</w:t>
            </w:r>
          </w:p>
        </w:tc>
      </w:tr>
      <w:tr>
        <w:trPr>
          <w:trHeight w:val="250"/>
        </w:trPr>
        <w:tc>
          <w:tcPr>
            <w:tcW w:w="2580" w:type="dxa"/>
            <w:vAlign w:val="bottom"/>
            <w:shd w:val="clear" w:color="auto" w:fill="CCEEFF"/>
          </w:tcPr>
          <w:p>
            <w:pPr>
              <w:ind w:left="26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186,715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185,500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1,215</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97"/>
        </w:trPr>
        <w:tc>
          <w:tcPr>
            <w:tcW w:w="25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0"/>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16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4"/>
        </w:trPr>
        <w:tc>
          <w:tcPr>
            <w:tcW w:w="25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Derivative liabilities</w:t>
            </w:r>
          </w:p>
        </w:tc>
        <w:tc>
          <w:tcPr>
            <w:tcW w:w="1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(760)</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Income</w:t>
            </w:r>
          </w:p>
        </w:tc>
      </w:tr>
      <w:tr>
        <w:trPr>
          <w:trHeight w:val="250"/>
        </w:trPr>
        <w:tc>
          <w:tcPr>
            <w:tcW w:w="2580" w:type="dxa"/>
            <w:vAlign w:val="bottom"/>
            <w:shd w:val="clear" w:color="auto" w:fill="CCEEFF"/>
          </w:tcPr>
          <w:p>
            <w:pPr>
              <w:ind w:left="26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(760)</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555"/>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 Value as of</w:t>
            </w:r>
          </w:p>
        </w:tc>
        <w:tc>
          <w:tcPr>
            <w:tcW w:w="160" w:type="dxa"/>
            <w:vAlign w:val="bottom"/>
          </w:tcPr>
          <w:p>
            <w:pPr>
              <w:spacing w:after="0"/>
              <w:rPr>
                <w:sz w:val="24"/>
                <w:szCs w:val="24"/>
                <w:color w:val="auto"/>
              </w:rPr>
            </w:pPr>
          </w:p>
        </w:tc>
        <w:tc>
          <w:tcPr>
            <w:tcW w:w="4200" w:type="dxa"/>
            <w:vAlign w:val="bottom"/>
            <w:gridSpan w:val="7"/>
          </w:tcPr>
          <w:p>
            <w:pPr>
              <w:jc w:val="center"/>
              <w:ind w:right="48"/>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6"/>
        </w:trPr>
        <w:tc>
          <w:tcPr>
            <w:tcW w:w="25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December 31, 2017</w:t>
            </w: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64"/>
        </w:trPr>
        <w:tc>
          <w:tcPr>
            <w:tcW w:w="2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2"/>
                <w:szCs w:val="22"/>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2"/>
                <w:szCs w:val="22"/>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2"/>
                <w:szCs w:val="22"/>
                <w:color w:val="auto"/>
              </w:rPr>
            </w:pPr>
          </w:p>
        </w:tc>
        <w:tc>
          <w:tcPr>
            <w:tcW w:w="1100" w:type="dxa"/>
            <w:vAlign w:val="bottom"/>
          </w:tcPr>
          <w:p>
            <w:pPr>
              <w:jc w:val="right"/>
              <w:ind w:right="368"/>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Valuation Technique</w:t>
            </w:r>
          </w:p>
        </w:tc>
      </w:tr>
      <w:tr>
        <w:trPr>
          <w:trHeight w:val="270"/>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700" w:type="dxa"/>
            <w:vAlign w:val="bottom"/>
            <w:tcBorders>
              <w:top w:val="single" w:sz="8" w:color="auto"/>
            </w:tcBorders>
            <w:shd w:val="clear" w:color="auto" w:fill="CCEEFF"/>
          </w:tcPr>
          <w:p>
            <w:pPr>
              <w:spacing w:after="0"/>
              <w:rPr>
                <w:sz w:val="23"/>
                <w:szCs w:val="23"/>
                <w:color w:val="auto"/>
              </w:rPr>
            </w:pPr>
          </w:p>
        </w:tc>
      </w:tr>
      <w:tr>
        <w:trPr>
          <w:trHeight w:val="264"/>
        </w:trPr>
        <w:tc>
          <w:tcPr>
            <w:tcW w:w="2580" w:type="dxa"/>
            <w:vAlign w:val="bottom"/>
          </w:tcPr>
          <w:p>
            <w:pPr>
              <w:ind w:left="26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59,400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59,400</w:t>
            </w:r>
          </w:p>
        </w:tc>
        <w:tc>
          <w:tcPr>
            <w:tcW w:w="12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Market</w:t>
            </w:r>
          </w:p>
        </w:tc>
      </w:tr>
      <w:tr>
        <w:trPr>
          <w:trHeight w:val="276"/>
        </w:trPr>
        <w:tc>
          <w:tcPr>
            <w:tcW w:w="2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Restricted cash</w:t>
            </w:r>
          </w:p>
        </w:tc>
        <w:tc>
          <w:tcPr>
            <w:tcW w:w="1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33,406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33,406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r>
      <w:tr>
        <w:trPr>
          <w:trHeight w:val="264"/>
        </w:trPr>
        <w:tc>
          <w:tcPr>
            <w:tcW w:w="25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Derivative assets</w:t>
            </w:r>
          </w:p>
        </w:tc>
        <w:tc>
          <w:tcPr>
            <w:tcW w:w="1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1,022</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Income</w:t>
            </w:r>
          </w:p>
        </w:tc>
      </w:tr>
      <w:tr>
        <w:trPr>
          <w:trHeight w:val="243"/>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93,828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92,806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1,022</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2017, we had no liabilities that were measured at fair value on a recurring basis.</w:t>
      </w:r>
    </w:p>
    <w:p>
      <w:pPr>
        <w:spacing w:after="0" w:line="167"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Our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w:t>
      </w:r>
    </w:p>
    <w:p>
      <w:pPr>
        <w:sectPr>
          <w:pgSz w:w="11900" w:h="16838" w:orient="portrait"/>
          <w:cols w:equalWidth="0" w:num="1">
            <w:col w:w="11420"/>
          </w:cols>
          <w:pgMar w:left="240" w:top="121" w:right="239" w:bottom="1440" w:gutter="0" w:footer="0" w:header="0"/>
        </w:sect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4" w:name="page25"/>
    <w:bookmarkEnd w:id="24"/>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Except as discussed below, our financial instruments other than cash and cash equivalents and restricted cash consist principally of accounts receivable, accounts payable and accrued liabilities, loans payable, bonds payable, security deposits, maintenance deposits and management fees payable, whose fair value approximates their carrying value based on an evaluation of pricing data, vendor quotes, and historical trading activity or due to their short maturity profiles.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fair value of our bonds and notes payable reported as debt, net in the Consolidated Balance Sheets are presented in the table below:</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2018</w:t>
            </w:r>
          </w:p>
        </w:tc>
        <w:tc>
          <w:tcPr>
            <w:tcW w:w="260" w:type="dxa"/>
            <w:vAlign w:val="bottom"/>
          </w:tcPr>
          <w:p>
            <w:pPr>
              <w:spacing w:after="0"/>
              <w:rPr>
                <w:sz w:val="17"/>
                <w:szCs w:val="17"/>
                <w:color w:val="auto"/>
              </w:rPr>
            </w:pPr>
          </w:p>
        </w:tc>
        <w:tc>
          <w:tcPr>
            <w:tcW w:w="1860" w:type="dxa"/>
            <w:vAlign w:val="bottom"/>
          </w:tcPr>
          <w:p>
            <w:pPr>
              <w:jc w:val="right"/>
              <w:ind w:right="328"/>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Series 2012 Bonds</w:t>
            </w:r>
            <w:r>
              <w:rPr>
                <w:rFonts w:ascii="Arial" w:cs="Arial" w:eastAsia="Arial" w:hAnsi="Arial"/>
                <w:sz w:val="17"/>
                <w:szCs w:val="17"/>
                <w:color w:val="auto"/>
                <w:vertAlign w:val="superscript"/>
              </w:rPr>
              <w:t>(1)</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42,603</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45,691</w:t>
            </w:r>
          </w:p>
        </w:tc>
      </w:tr>
      <w:tr>
        <w:trPr>
          <w:trHeight w:val="270"/>
        </w:trPr>
        <w:tc>
          <w:tcPr>
            <w:tcW w:w="6320" w:type="dxa"/>
            <w:vAlign w:val="bottom"/>
          </w:tcPr>
          <w:p>
            <w:pPr>
              <w:ind w:left="20"/>
              <w:spacing w:after="0"/>
              <w:rPr>
                <w:sz w:val="20"/>
                <w:szCs w:val="20"/>
                <w:color w:val="auto"/>
              </w:rPr>
            </w:pPr>
            <w:r>
              <w:rPr>
                <w:rFonts w:ascii="Arial" w:cs="Arial" w:eastAsia="Arial" w:hAnsi="Arial"/>
                <w:sz w:val="14"/>
                <w:szCs w:val="14"/>
                <w:color w:val="auto"/>
              </w:rPr>
              <w:t>Series 2016 Bonds</w:t>
            </w:r>
            <w:r>
              <w:rPr>
                <w:rFonts w:ascii="Arial" w:cs="Arial" w:eastAsia="Arial" w:hAnsi="Arial"/>
                <w:sz w:val="17"/>
                <w:szCs w:val="17"/>
                <w:color w:val="auto"/>
                <w:vertAlign w:val="superscript"/>
              </w:rPr>
              <w:t>(1)</w:t>
            </w:r>
          </w:p>
        </w:tc>
        <w:tc>
          <w:tcPr>
            <w:tcW w:w="240" w:type="dxa"/>
            <w:vAlign w:val="bottom"/>
          </w:tcPr>
          <w:p>
            <w:pPr>
              <w:spacing w:after="0"/>
              <w:rPr>
                <w:sz w:val="23"/>
                <w:szCs w:val="23"/>
                <w:color w:val="auto"/>
              </w:rPr>
            </w:pPr>
          </w:p>
        </w:tc>
        <w:tc>
          <w:tcPr>
            <w:tcW w:w="1900" w:type="dxa"/>
            <w:vAlign w:val="bottom"/>
          </w:tcPr>
          <w:p>
            <w:pPr>
              <w:jc w:val="right"/>
              <w:ind w:right="28"/>
              <w:spacing w:after="0"/>
              <w:rPr>
                <w:sz w:val="20"/>
                <w:szCs w:val="20"/>
                <w:color w:val="auto"/>
              </w:rPr>
            </w:pPr>
            <w:r>
              <w:rPr>
                <w:rFonts w:ascii="Arial" w:cs="Arial" w:eastAsia="Arial" w:hAnsi="Arial"/>
                <w:sz w:val="14"/>
                <w:szCs w:val="14"/>
                <w:b w:val="1"/>
                <w:bCs w:val="1"/>
                <w:color w:val="auto"/>
              </w:rPr>
              <w:t>147,903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60" w:type="dxa"/>
            <w:vAlign w:val="bottom"/>
          </w:tcPr>
          <w:p>
            <w:pPr>
              <w:jc w:val="right"/>
              <w:ind w:right="8"/>
              <w:spacing w:after="0"/>
              <w:rPr>
                <w:sz w:val="20"/>
                <w:szCs w:val="20"/>
                <w:color w:val="auto"/>
              </w:rPr>
            </w:pPr>
            <w:r>
              <w:rPr>
                <w:rFonts w:ascii="Arial" w:cs="Arial" w:eastAsia="Arial" w:hAnsi="Arial"/>
                <w:sz w:val="14"/>
                <w:szCs w:val="14"/>
                <w:color w:val="auto"/>
              </w:rPr>
              <w:t>150,329</w:t>
            </w:r>
          </w:p>
        </w:tc>
      </w:tr>
      <w:tr>
        <w:trPr>
          <w:trHeight w:val="270"/>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2022</w:t>
            </w:r>
          </w:p>
        </w:tc>
        <w:tc>
          <w:tcPr>
            <w:tcW w:w="240" w:type="dxa"/>
            <w:vAlign w:val="bottom"/>
            <w:shd w:val="clear" w:color="auto" w:fill="CCEEFF"/>
          </w:tcPr>
          <w:p>
            <w:pPr>
              <w:spacing w:after="0"/>
              <w:rPr>
                <w:sz w:val="23"/>
                <w:szCs w:val="23"/>
                <w:color w:val="auto"/>
              </w:rPr>
            </w:pPr>
          </w:p>
        </w:tc>
        <w:tc>
          <w:tcPr>
            <w:tcW w:w="1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565,329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449,290</w:t>
            </w:r>
          </w:p>
        </w:tc>
      </w:tr>
      <w:tr>
        <w:trPr>
          <w:trHeight w:val="258"/>
        </w:trPr>
        <w:tc>
          <w:tcPr>
            <w:tcW w:w="6320" w:type="dxa"/>
            <w:vAlign w:val="bottom"/>
          </w:tcPr>
          <w:p>
            <w:pPr>
              <w:ind w:left="20"/>
              <w:spacing w:after="0"/>
              <w:rPr>
                <w:sz w:val="20"/>
                <w:szCs w:val="20"/>
                <w:color w:val="auto"/>
              </w:rPr>
            </w:pPr>
            <w:r>
              <w:rPr>
                <w:rFonts w:ascii="Arial" w:cs="Arial" w:eastAsia="Arial" w:hAnsi="Arial"/>
                <w:sz w:val="14"/>
                <w:szCs w:val="14"/>
                <w:color w:val="auto"/>
              </w:rPr>
              <w:t>Senior Notes due 2025</w:t>
            </w:r>
          </w:p>
        </w:tc>
        <w:tc>
          <w:tcPr>
            <w:tcW w:w="240" w:type="dxa"/>
            <w:vAlign w:val="bottom"/>
          </w:tcPr>
          <w:p>
            <w:pPr>
              <w:spacing w:after="0"/>
              <w:rPr>
                <w:sz w:val="22"/>
                <w:szCs w:val="22"/>
                <w:color w:val="auto"/>
              </w:rPr>
            </w:pPr>
          </w:p>
        </w:tc>
        <w:tc>
          <w:tcPr>
            <w:tcW w:w="1900" w:type="dxa"/>
            <w:vAlign w:val="bottom"/>
          </w:tcPr>
          <w:p>
            <w:pPr>
              <w:jc w:val="right"/>
              <w:ind w:right="28"/>
              <w:spacing w:after="0"/>
              <w:rPr>
                <w:sz w:val="20"/>
                <w:szCs w:val="20"/>
                <w:color w:val="auto"/>
              </w:rPr>
            </w:pPr>
            <w:r>
              <w:rPr>
                <w:rFonts w:ascii="Arial" w:cs="Arial" w:eastAsia="Arial" w:hAnsi="Arial"/>
                <w:sz w:val="14"/>
                <w:szCs w:val="14"/>
                <w:b w:val="1"/>
                <w:bCs w:val="1"/>
                <w:color w:val="auto"/>
              </w:rPr>
              <w:t>298,776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60" w:type="dxa"/>
            <w:vAlign w:val="bottom"/>
          </w:tcPr>
          <w:p>
            <w:pPr>
              <w:jc w:val="right"/>
              <w:ind w:right="8"/>
              <w:spacing w:after="0"/>
              <w:rPr>
                <w:sz w:val="20"/>
                <w:szCs w:val="20"/>
                <w:color w:val="auto"/>
              </w:rPr>
            </w:pPr>
            <w:r>
              <w:rPr>
                <w:rFonts w:ascii="Arial" w:cs="Arial" w:eastAsia="Arial" w:hAnsi="Arial"/>
                <w:sz w:val="14"/>
                <w:szCs w:val="14"/>
                <w:color w:val="auto"/>
              </w:rPr>
              <w:t>—</w:t>
            </w: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90" w:lineRule="exact"/>
        <w:rPr>
          <w:sz w:val="20"/>
          <w:szCs w:val="20"/>
          <w:color w:val="auto"/>
        </w:rPr>
      </w:pPr>
    </w:p>
    <w:p>
      <w:pPr>
        <w:ind w:left="480" w:hanging="148"/>
        <w:spacing w:after="0"/>
        <w:tabs>
          <w:tab w:leader="none" w:pos="48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Fair value is based upon market prices for similar municipal securities.</w:t>
      </w:r>
    </w:p>
    <w:p>
      <w:pPr>
        <w:spacing w:after="0" w:line="149"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The fair value of all other items reported as debt, net in the Consolidated Balance Sheet approximate their carrying values due to their bearing market rates of interest, and are classified as Level 2 within the fair value hierarchy.</w:t>
      </w:r>
    </w:p>
    <w:p>
      <w:pPr>
        <w:spacing w:after="0" w:line="142"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We measure the fair value of certain assets and liabilities on a non-recurring basis when GAAP requires the application of fair value, including events or changes in circumstances that indicate that the carrying amounts of assets may not be recoverable. Assets subject to these measurements include goodwill, intangible assets, property, plant and equipment and leasing equipment. We record such assets at fair value when it is determined the carrying value may not be recoverable. Fair value measurements for assets subject to impairment tests are based on an income approach which uses Level 3 inputs, which include our assumptions as to future cash flows from operation of the underlying businesses and the leasing and eventual sale of assets.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10. REVENUES</w:t>
      </w:r>
    </w:p>
    <w:p>
      <w:pPr>
        <w:spacing w:after="0" w:line="187" w:lineRule="exact"/>
        <w:rPr>
          <w:sz w:val="20"/>
          <w:szCs w:val="20"/>
          <w:color w:val="auto"/>
        </w:rPr>
      </w:pPr>
    </w:p>
    <w:p>
      <w:pPr>
        <w:jc w:val="both"/>
        <w:ind w:left="340" w:right="20"/>
        <w:spacing w:after="0" w:line="253" w:lineRule="auto"/>
        <w:rPr>
          <w:sz w:val="20"/>
          <w:szCs w:val="20"/>
          <w:color w:val="auto"/>
        </w:rPr>
      </w:pPr>
      <w:r>
        <w:rPr>
          <w:rFonts w:ascii="Arial" w:cs="Arial" w:eastAsia="Arial" w:hAnsi="Arial"/>
          <w:sz w:val="16"/>
          <w:szCs w:val="16"/>
          <w:color w:val="auto"/>
        </w:rPr>
        <w:t>We disaggregate our revenue from contracts with customers by products and services provided for each of our segments, as we believe it best depicts the nature, amount, timing and uncertainty of our revenue. Revenues attributed to our Equipment Leasing business unit are within the scope of ASC 840, while revenues attributed to our Infrastructure business unit are within the scope of ASC 606, unless otherwise noted.</w:t>
      </w:r>
    </w:p>
    <w:p>
      <w:pPr>
        <w:spacing w:after="0" w:line="34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8"/>
          </w:tcPr>
          <w:p>
            <w:pPr>
              <w:ind w:left="120"/>
              <w:spacing w:after="0"/>
              <w:rPr>
                <w:sz w:val="20"/>
                <w:szCs w:val="20"/>
                <w:color w:val="auto"/>
              </w:rPr>
            </w:pPr>
            <w:r>
              <w:rPr>
                <w:rFonts w:ascii="Arial" w:cs="Arial" w:eastAsia="Arial" w:hAnsi="Arial"/>
                <w:sz w:val="14"/>
                <w:szCs w:val="14"/>
                <w:b w:val="1"/>
                <w:bCs w:val="1"/>
                <w:color w:val="auto"/>
              </w:rPr>
              <w:t>Three Months Ended September 30, 2018</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264"/>
        </w:trPr>
        <w:tc>
          <w:tcPr>
            <w:tcW w:w="25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175"/>
        </w:trPr>
        <w:tc>
          <w:tcPr>
            <w:tcW w:w="2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Aviation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2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Leasing</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Railroad</w:t>
            </w:r>
          </w:p>
        </w:tc>
        <w:tc>
          <w:tcPr>
            <w:tcW w:w="14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r>
      <w:tr>
        <w:trPr>
          <w:trHeight w:val="270"/>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4"/>
        </w:trPr>
        <w:tc>
          <w:tcPr>
            <w:tcW w:w="2580" w:type="dxa"/>
            <w:vAlign w:val="bottom"/>
          </w:tcPr>
          <w:p>
            <w:pPr>
              <w:ind w:left="380"/>
              <w:spacing w:after="0"/>
              <w:rPr>
                <w:sz w:val="20"/>
                <w:szCs w:val="20"/>
                <w:color w:val="auto"/>
              </w:rPr>
            </w:pPr>
            <w:r>
              <w:rPr>
                <w:rFonts w:ascii="Arial" w:cs="Arial" w:eastAsia="Arial" w:hAnsi="Arial"/>
                <w:sz w:val="14"/>
                <w:szCs w:val="14"/>
                <w:color w:val="auto"/>
              </w:rPr>
              <w:t>Lease income</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40,329</w:t>
            </w:r>
          </w:p>
        </w:tc>
        <w:tc>
          <w:tcPr>
            <w:tcW w:w="3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582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ind w:left="6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40,911</w:t>
            </w:r>
          </w:p>
        </w:tc>
      </w:tr>
      <w:tr>
        <w:trPr>
          <w:trHeight w:val="276"/>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Maintenance revenue</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28,286</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28,286</w:t>
            </w:r>
          </w:p>
        </w:tc>
      </w:tr>
      <w:tr>
        <w:trPr>
          <w:trHeight w:val="264"/>
        </w:trPr>
        <w:tc>
          <w:tcPr>
            <w:tcW w:w="2580" w:type="dxa"/>
            <w:vAlign w:val="bottom"/>
          </w:tcPr>
          <w:p>
            <w:pPr>
              <w:ind w:left="380"/>
              <w:spacing w:after="0"/>
              <w:rPr>
                <w:sz w:val="20"/>
                <w:szCs w:val="20"/>
                <w:color w:val="auto"/>
              </w:rPr>
            </w:pPr>
            <w:r>
              <w:rPr>
                <w:rFonts w:ascii="Arial" w:cs="Arial" w:eastAsia="Arial" w:hAnsi="Arial"/>
                <w:sz w:val="14"/>
                <w:szCs w:val="14"/>
                <w:color w:val="auto"/>
              </w:rPr>
              <w:t>Finance lease income</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800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364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ind w:left="6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1,164</w:t>
            </w:r>
          </w:p>
        </w:tc>
      </w:tr>
      <w:tr>
        <w:trPr>
          <w:trHeight w:val="276"/>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revenue</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376</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529</w:t>
            </w:r>
          </w:p>
        </w:tc>
      </w:tr>
      <w:tr>
        <w:trPr>
          <w:trHeight w:val="156"/>
        </w:trPr>
        <w:tc>
          <w:tcPr>
            <w:tcW w:w="2580" w:type="dxa"/>
            <w:vAlign w:val="bottom"/>
          </w:tcPr>
          <w:p>
            <w:pPr>
              <w:ind w:left="380"/>
              <w:spacing w:after="0" w:line="156" w:lineRule="exact"/>
              <w:rPr>
                <w:sz w:val="20"/>
                <w:szCs w:val="20"/>
                <w:color w:val="auto"/>
              </w:rPr>
            </w:pPr>
            <w:r>
              <w:rPr>
                <w:rFonts w:ascii="Arial" w:cs="Arial" w:eastAsia="Arial" w:hAnsi="Arial"/>
                <w:sz w:val="14"/>
                <w:szCs w:val="14"/>
                <w:b w:val="1"/>
                <w:bCs w:val="1"/>
                <w:color w:val="auto"/>
              </w:rPr>
              <w:t>Total equipment leasing</w:t>
            </w: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r>
      <w:tr>
        <w:trPr>
          <w:trHeight w:val="196"/>
        </w:trPr>
        <w:tc>
          <w:tcPr>
            <w:tcW w:w="2580" w:type="dxa"/>
            <w:vAlign w:val="bottom"/>
          </w:tcPr>
          <w:p>
            <w:pPr>
              <w:ind w:left="38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69,791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1,099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ind w:left="6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70,890</w:t>
            </w:r>
          </w:p>
        </w:tc>
      </w:tr>
      <w:tr>
        <w:trPr>
          <w:trHeight w:val="270"/>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4"/>
        </w:trPr>
        <w:tc>
          <w:tcPr>
            <w:tcW w:w="2580" w:type="dxa"/>
            <w:vAlign w:val="bottom"/>
          </w:tcPr>
          <w:p>
            <w:pPr>
              <w:ind w:left="380"/>
              <w:spacing w:after="0"/>
              <w:rPr>
                <w:sz w:val="20"/>
                <w:szCs w:val="20"/>
                <w:color w:val="auto"/>
              </w:rPr>
            </w:pPr>
            <w:r>
              <w:rPr>
                <w:rFonts w:ascii="Arial" w:cs="Arial" w:eastAsia="Arial" w:hAnsi="Arial"/>
                <w:sz w:val="14"/>
                <w:szCs w:val="14"/>
                <w:color w:val="auto"/>
              </w:rPr>
              <w:t>Lease income</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040" w:type="dxa"/>
            <w:vAlign w:val="bottom"/>
            <w:gridSpan w:val="2"/>
          </w:tcPr>
          <w:p>
            <w:pPr>
              <w:ind w:left="6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273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273</w:t>
            </w:r>
          </w:p>
        </w:tc>
      </w:tr>
      <w:tr>
        <w:trPr>
          <w:trHeight w:val="276"/>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Rail revenues</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8,907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8,907</w:t>
            </w:r>
          </w:p>
        </w:tc>
      </w:tr>
      <w:tr>
        <w:trPr>
          <w:trHeight w:val="264"/>
        </w:trPr>
        <w:tc>
          <w:tcPr>
            <w:tcW w:w="2580" w:type="dxa"/>
            <w:vAlign w:val="bottom"/>
          </w:tcPr>
          <w:p>
            <w:pPr>
              <w:ind w:left="380"/>
              <w:spacing w:after="0"/>
              <w:rPr>
                <w:sz w:val="20"/>
                <w:szCs w:val="20"/>
                <w:color w:val="auto"/>
              </w:rPr>
            </w:pPr>
            <w:r>
              <w:rPr>
                <w:rFonts w:ascii="Arial" w:cs="Arial" w:eastAsia="Arial" w:hAnsi="Arial"/>
                <w:sz w:val="14"/>
                <w:szCs w:val="14"/>
                <w:color w:val="auto"/>
              </w:rPr>
              <w:t>Terminal services revenues</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040" w:type="dxa"/>
            <w:vAlign w:val="bottom"/>
            <w:gridSpan w:val="2"/>
          </w:tcPr>
          <w:p>
            <w:pPr>
              <w:ind w:left="6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2,522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2,522</w:t>
            </w:r>
          </w:p>
        </w:tc>
      </w:tr>
      <w:tr>
        <w:trPr>
          <w:trHeight w:val="270"/>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revenue</w:t>
            </w: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15,314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3,249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18,563</w:t>
            </w:r>
          </w:p>
        </w:tc>
      </w:tr>
      <w:tr>
        <w:trPr>
          <w:trHeight w:val="250"/>
        </w:trPr>
        <w:tc>
          <w:tcPr>
            <w:tcW w:w="2580" w:type="dxa"/>
            <w:vAlign w:val="bottom"/>
            <w:tcBorders>
              <w:bottom w:val="single" w:sz="8" w:color="CCEEFF"/>
            </w:tcBorders>
          </w:tcPr>
          <w:p>
            <w:pPr>
              <w:ind w:left="380"/>
              <w:spacing w:after="0"/>
              <w:rPr>
                <w:sz w:val="20"/>
                <w:szCs w:val="20"/>
                <w:color w:val="auto"/>
              </w:rPr>
            </w:pPr>
            <w:r>
              <w:rPr>
                <w:rFonts w:ascii="Arial" w:cs="Arial" w:eastAsia="Arial" w:hAnsi="Arial"/>
                <w:sz w:val="14"/>
                <w:szCs w:val="14"/>
                <w:b w:val="1"/>
                <w:bCs w:val="1"/>
                <w:color w:val="auto"/>
              </w:rPr>
              <w:t>Total infrastructure revenues</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17,836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8,907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3,522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30,265</w:t>
            </w:r>
          </w:p>
        </w:tc>
      </w:tr>
      <w:tr>
        <w:trPr>
          <w:trHeight w:val="243"/>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69,791</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1,099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17,836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8,907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3,522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101,155</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ind w:right="34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rPr>
              <w:t>Three Months Ended September 30, 2017</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264"/>
        </w:trPr>
        <w:tc>
          <w:tcPr>
            <w:tcW w:w="25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175"/>
        </w:trPr>
        <w:tc>
          <w:tcPr>
            <w:tcW w:w="2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Aviation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2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Leasing</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Railroad</w:t>
            </w:r>
          </w:p>
        </w:tc>
        <w:tc>
          <w:tcPr>
            <w:tcW w:w="14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r>
      <w:tr>
        <w:trPr>
          <w:trHeight w:val="270"/>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4"/>
        </w:trPr>
        <w:tc>
          <w:tcPr>
            <w:tcW w:w="2580" w:type="dxa"/>
            <w:vAlign w:val="bottom"/>
          </w:tcPr>
          <w:p>
            <w:pPr>
              <w:ind w:left="380"/>
              <w:spacing w:after="0"/>
              <w:rPr>
                <w:sz w:val="20"/>
                <w:szCs w:val="20"/>
                <w:color w:val="auto"/>
              </w:rPr>
            </w:pPr>
            <w:r>
              <w:rPr>
                <w:rFonts w:ascii="Arial" w:cs="Arial" w:eastAsia="Arial" w:hAnsi="Arial"/>
                <w:sz w:val="14"/>
                <w:szCs w:val="14"/>
                <w:color w:val="auto"/>
              </w:rPr>
              <w:t>Lease income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25,941</w:t>
            </w:r>
          </w:p>
        </w:tc>
        <w:tc>
          <w:tcPr>
            <w:tcW w:w="3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3,800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29,741</w:t>
            </w:r>
          </w:p>
        </w:tc>
      </w:tr>
      <w:tr>
        <w:trPr>
          <w:trHeight w:val="276"/>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Maintenance revenue</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17,533</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17,533</w:t>
            </w:r>
          </w:p>
        </w:tc>
      </w:tr>
      <w:tr>
        <w:trPr>
          <w:trHeight w:val="264"/>
        </w:trPr>
        <w:tc>
          <w:tcPr>
            <w:tcW w:w="2580" w:type="dxa"/>
            <w:vAlign w:val="bottom"/>
          </w:tcPr>
          <w:p>
            <w:pPr>
              <w:ind w:left="380"/>
              <w:spacing w:after="0"/>
              <w:rPr>
                <w:sz w:val="20"/>
                <w:szCs w:val="20"/>
                <w:color w:val="auto"/>
              </w:rPr>
            </w:pPr>
            <w:r>
              <w:rPr>
                <w:rFonts w:ascii="Arial" w:cs="Arial" w:eastAsia="Arial" w:hAnsi="Arial"/>
                <w:sz w:val="14"/>
                <w:szCs w:val="14"/>
                <w:color w:val="auto"/>
              </w:rPr>
              <w:t>Finance lease income</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385</w:t>
            </w:r>
          </w:p>
        </w:tc>
      </w:tr>
      <w:tr>
        <w:trPr>
          <w:trHeight w:val="276"/>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revenue</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1,957</w:t>
            </w:r>
          </w:p>
        </w:tc>
      </w:tr>
      <w:tr>
        <w:trPr>
          <w:trHeight w:val="156"/>
        </w:trPr>
        <w:tc>
          <w:tcPr>
            <w:tcW w:w="2580" w:type="dxa"/>
            <w:vAlign w:val="bottom"/>
          </w:tcPr>
          <w:p>
            <w:pPr>
              <w:ind w:left="380"/>
              <w:spacing w:after="0" w:line="156" w:lineRule="exact"/>
              <w:rPr>
                <w:sz w:val="20"/>
                <w:szCs w:val="20"/>
                <w:color w:val="auto"/>
              </w:rPr>
            </w:pPr>
            <w:r>
              <w:rPr>
                <w:rFonts w:ascii="Arial" w:cs="Arial" w:eastAsia="Arial" w:hAnsi="Arial"/>
                <w:sz w:val="14"/>
                <w:szCs w:val="14"/>
                <w:b w:val="1"/>
                <w:bCs w:val="1"/>
                <w:color w:val="auto"/>
              </w:rPr>
              <w:t>Total equipment leasing</w:t>
            </w: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r>
      <w:tr>
        <w:trPr>
          <w:trHeight w:val="196"/>
        </w:trPr>
        <w:tc>
          <w:tcPr>
            <w:tcW w:w="2580" w:type="dxa"/>
            <w:vAlign w:val="bottom"/>
          </w:tcPr>
          <w:p>
            <w:pPr>
              <w:ind w:left="38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43,474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6,117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49,616</w:t>
            </w:r>
          </w:p>
        </w:tc>
      </w:tr>
      <w:tr>
        <w:trPr>
          <w:trHeight w:val="270"/>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4"/>
        </w:trPr>
        <w:tc>
          <w:tcPr>
            <w:tcW w:w="2580" w:type="dxa"/>
            <w:vAlign w:val="bottom"/>
          </w:tcPr>
          <w:p>
            <w:pPr>
              <w:ind w:left="380"/>
              <w:spacing w:after="0"/>
              <w:rPr>
                <w:sz w:val="20"/>
                <w:szCs w:val="20"/>
                <w:color w:val="auto"/>
              </w:rPr>
            </w:pPr>
            <w:r>
              <w:rPr>
                <w:rFonts w:ascii="Arial" w:cs="Arial" w:eastAsia="Arial" w:hAnsi="Arial"/>
                <w:sz w:val="14"/>
                <w:szCs w:val="14"/>
                <w:color w:val="auto"/>
              </w:rPr>
              <w:t>Lease income</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455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455</w:t>
            </w:r>
          </w:p>
        </w:tc>
      </w:tr>
      <w:tr>
        <w:trPr>
          <w:trHeight w:val="276"/>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Rail revenues</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8,258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8,258</w:t>
            </w:r>
          </w:p>
        </w:tc>
      </w:tr>
      <w:tr>
        <w:trPr>
          <w:trHeight w:val="264"/>
        </w:trPr>
        <w:tc>
          <w:tcPr>
            <w:tcW w:w="2580" w:type="dxa"/>
            <w:vAlign w:val="bottom"/>
          </w:tcPr>
          <w:p>
            <w:pPr>
              <w:ind w:left="380"/>
              <w:spacing w:after="0"/>
              <w:rPr>
                <w:sz w:val="20"/>
                <w:szCs w:val="20"/>
                <w:color w:val="auto"/>
              </w:rPr>
            </w:pPr>
            <w:r>
              <w:rPr>
                <w:rFonts w:ascii="Arial" w:cs="Arial" w:eastAsia="Arial" w:hAnsi="Arial"/>
                <w:sz w:val="14"/>
                <w:szCs w:val="14"/>
                <w:color w:val="auto"/>
              </w:rPr>
              <w:t>Terminal services revenues</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1,730</w:t>
            </w:r>
          </w:p>
        </w:tc>
      </w:tr>
      <w:tr>
        <w:trPr>
          <w:trHeight w:val="276"/>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revenue</w:t>
            </w: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303</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303</w:t>
            </w:r>
          </w:p>
        </w:tc>
      </w:tr>
      <w:tr>
        <w:trPr>
          <w:trHeight w:val="244"/>
        </w:trPr>
        <w:tc>
          <w:tcPr>
            <w:tcW w:w="2580" w:type="dxa"/>
            <w:vAlign w:val="bottom"/>
            <w:tcBorders>
              <w:bottom w:val="single" w:sz="8" w:color="CCEEFF"/>
            </w:tcBorders>
          </w:tcPr>
          <w:p>
            <w:pPr>
              <w:ind w:left="380"/>
              <w:spacing w:after="0"/>
              <w:rPr>
                <w:sz w:val="20"/>
                <w:szCs w:val="20"/>
                <w:color w:val="auto"/>
              </w:rPr>
            </w:pPr>
            <w:r>
              <w:rPr>
                <w:rFonts w:ascii="Arial" w:cs="Arial" w:eastAsia="Arial" w:hAnsi="Arial"/>
                <w:sz w:val="14"/>
                <w:szCs w:val="14"/>
                <w:b w:val="1"/>
                <w:bCs w:val="1"/>
                <w:color w:val="auto"/>
              </w:rPr>
              <w:t>Total infrastructure revenues</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8,258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10,746</w:t>
            </w:r>
          </w:p>
        </w:tc>
      </w:tr>
      <w:tr>
        <w:trPr>
          <w:trHeight w:val="243"/>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43,474</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60,362</w:t>
            </w:r>
          </w:p>
        </w:tc>
      </w:tr>
      <w:tr>
        <w:trPr>
          <w:trHeight w:val="20"/>
        </w:trPr>
        <w:tc>
          <w:tcPr>
            <w:tcW w:w="2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542"/>
        </w:trPr>
        <w:tc>
          <w:tcPr>
            <w:tcW w:w="2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rPr>
              <w:t>Nine Months Ended September 30, 2018</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64"/>
        </w:trPr>
        <w:tc>
          <w:tcPr>
            <w:tcW w:w="25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175"/>
        </w:trPr>
        <w:tc>
          <w:tcPr>
            <w:tcW w:w="2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Aviation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2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Leasing</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Railroad</w:t>
            </w:r>
          </w:p>
        </w:tc>
        <w:tc>
          <w:tcPr>
            <w:tcW w:w="14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r>
      <w:tr>
        <w:trPr>
          <w:trHeight w:val="270"/>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4"/>
        </w:trPr>
        <w:tc>
          <w:tcPr>
            <w:tcW w:w="2580" w:type="dxa"/>
            <w:vAlign w:val="bottom"/>
          </w:tcPr>
          <w:p>
            <w:pPr>
              <w:ind w:left="380"/>
              <w:spacing w:after="0"/>
              <w:rPr>
                <w:sz w:val="20"/>
                <w:szCs w:val="20"/>
                <w:color w:val="auto"/>
              </w:rPr>
            </w:pPr>
            <w:r>
              <w:rPr>
                <w:rFonts w:ascii="Arial" w:cs="Arial" w:eastAsia="Arial" w:hAnsi="Arial"/>
                <w:sz w:val="14"/>
                <w:szCs w:val="14"/>
                <w:color w:val="auto"/>
              </w:rPr>
              <w:t>Lease income</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103,262</w:t>
            </w:r>
          </w:p>
        </w:tc>
        <w:tc>
          <w:tcPr>
            <w:tcW w:w="36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4,699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107,961</w:t>
            </w:r>
          </w:p>
        </w:tc>
      </w:tr>
      <w:tr>
        <w:trPr>
          <w:trHeight w:val="276"/>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Maintenance revenue</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73,401</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73,401</w:t>
            </w:r>
          </w:p>
        </w:tc>
      </w:tr>
      <w:tr>
        <w:trPr>
          <w:trHeight w:val="264"/>
        </w:trPr>
        <w:tc>
          <w:tcPr>
            <w:tcW w:w="2580" w:type="dxa"/>
            <w:vAlign w:val="bottom"/>
          </w:tcPr>
          <w:p>
            <w:pPr>
              <w:ind w:left="380"/>
              <w:spacing w:after="0"/>
              <w:rPr>
                <w:sz w:val="20"/>
                <w:szCs w:val="20"/>
                <w:color w:val="auto"/>
              </w:rPr>
            </w:pPr>
            <w:r>
              <w:rPr>
                <w:rFonts w:ascii="Arial" w:cs="Arial" w:eastAsia="Arial" w:hAnsi="Arial"/>
                <w:sz w:val="14"/>
                <w:szCs w:val="14"/>
                <w:color w:val="auto"/>
              </w:rPr>
              <w:t>Finance lease income</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1,047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1,096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2,143</w:t>
            </w:r>
          </w:p>
        </w:tc>
      </w:tr>
      <w:tr>
        <w:trPr>
          <w:trHeight w:val="276"/>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revenue</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934</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2,499</w:t>
            </w:r>
          </w:p>
        </w:tc>
      </w:tr>
      <w:tr>
        <w:trPr>
          <w:trHeight w:val="156"/>
        </w:trPr>
        <w:tc>
          <w:tcPr>
            <w:tcW w:w="2580" w:type="dxa"/>
            <w:vAlign w:val="bottom"/>
          </w:tcPr>
          <w:p>
            <w:pPr>
              <w:ind w:left="380"/>
              <w:spacing w:after="0" w:line="156" w:lineRule="exact"/>
              <w:rPr>
                <w:sz w:val="20"/>
                <w:szCs w:val="20"/>
                <w:color w:val="auto"/>
              </w:rPr>
            </w:pPr>
            <w:r>
              <w:rPr>
                <w:rFonts w:ascii="Arial" w:cs="Arial" w:eastAsia="Arial" w:hAnsi="Arial"/>
                <w:sz w:val="14"/>
                <w:szCs w:val="14"/>
                <w:b w:val="1"/>
                <w:bCs w:val="1"/>
                <w:color w:val="auto"/>
              </w:rPr>
              <w:t>Total equipment leasing</w:t>
            </w: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r>
      <w:tr>
        <w:trPr>
          <w:trHeight w:val="196"/>
        </w:trPr>
        <w:tc>
          <w:tcPr>
            <w:tcW w:w="2580" w:type="dxa"/>
            <w:vAlign w:val="bottom"/>
          </w:tcPr>
          <w:p>
            <w:pPr>
              <w:ind w:left="38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178,644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7,310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186,004</w:t>
            </w:r>
          </w:p>
        </w:tc>
      </w:tr>
      <w:tr>
        <w:trPr>
          <w:trHeight w:val="270"/>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4"/>
        </w:trPr>
        <w:tc>
          <w:tcPr>
            <w:tcW w:w="2580" w:type="dxa"/>
            <w:vAlign w:val="bottom"/>
          </w:tcPr>
          <w:p>
            <w:pPr>
              <w:ind w:left="380"/>
              <w:spacing w:after="0"/>
              <w:rPr>
                <w:sz w:val="20"/>
                <w:szCs w:val="20"/>
                <w:color w:val="auto"/>
              </w:rPr>
            </w:pPr>
            <w:r>
              <w:rPr>
                <w:rFonts w:ascii="Arial" w:cs="Arial" w:eastAsia="Arial" w:hAnsi="Arial"/>
                <w:sz w:val="14"/>
                <w:szCs w:val="14"/>
                <w:color w:val="auto"/>
              </w:rPr>
              <w:t>Lease income</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1,072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1,072</w:t>
            </w:r>
          </w:p>
        </w:tc>
      </w:tr>
      <w:tr>
        <w:trPr>
          <w:trHeight w:val="276"/>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Rail revenues</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28,742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28,742</w:t>
            </w:r>
          </w:p>
        </w:tc>
      </w:tr>
      <w:tr>
        <w:trPr>
          <w:trHeight w:val="264"/>
        </w:trPr>
        <w:tc>
          <w:tcPr>
            <w:tcW w:w="2580" w:type="dxa"/>
            <w:vAlign w:val="bottom"/>
          </w:tcPr>
          <w:p>
            <w:pPr>
              <w:ind w:left="380"/>
              <w:spacing w:after="0"/>
              <w:rPr>
                <w:sz w:val="20"/>
                <w:szCs w:val="20"/>
                <w:color w:val="auto"/>
              </w:rPr>
            </w:pPr>
            <w:r>
              <w:rPr>
                <w:rFonts w:ascii="Arial" w:cs="Arial" w:eastAsia="Arial" w:hAnsi="Arial"/>
                <w:sz w:val="14"/>
                <w:szCs w:val="14"/>
                <w:color w:val="auto"/>
              </w:rPr>
              <w:t>Terminal services revenues</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6,325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6,325</w:t>
            </w:r>
          </w:p>
        </w:tc>
      </w:tr>
      <w:tr>
        <w:trPr>
          <w:trHeight w:val="270"/>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revenue</w:t>
            </w: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15,314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4,521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19,835</w:t>
            </w:r>
          </w:p>
        </w:tc>
      </w:tr>
      <w:tr>
        <w:trPr>
          <w:trHeight w:val="250"/>
        </w:trPr>
        <w:tc>
          <w:tcPr>
            <w:tcW w:w="2580" w:type="dxa"/>
            <w:vAlign w:val="bottom"/>
            <w:tcBorders>
              <w:bottom w:val="single" w:sz="8" w:color="CCEEFF"/>
            </w:tcBorders>
          </w:tcPr>
          <w:p>
            <w:pPr>
              <w:ind w:left="380"/>
              <w:spacing w:after="0"/>
              <w:rPr>
                <w:sz w:val="20"/>
                <w:szCs w:val="20"/>
                <w:color w:val="auto"/>
              </w:rPr>
            </w:pPr>
            <w:r>
              <w:rPr>
                <w:rFonts w:ascii="Arial" w:cs="Arial" w:eastAsia="Arial" w:hAnsi="Arial"/>
                <w:sz w:val="14"/>
                <w:szCs w:val="14"/>
                <w:b w:val="1"/>
                <w:bCs w:val="1"/>
                <w:color w:val="auto"/>
              </w:rPr>
              <w:t>Total infrastructure revenues</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21,639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28,742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5,593</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55,974</w:t>
            </w:r>
          </w:p>
        </w:tc>
      </w:tr>
      <w:tr>
        <w:trPr>
          <w:trHeight w:val="243"/>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178,644</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7,310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21,639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28,742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5,593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241,978</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020"/>
          </w:cols>
          <w:pgMar w:left="240" w:top="121" w:right="639" w:bottom="1440" w:gutter="0" w:footer="0" w:header="0"/>
        </w:sectPr>
      </w:pPr>
    </w:p>
    <w:bookmarkStart w:id="26" w:name="page27"/>
    <w:bookmarkEnd w:id="26"/>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rPr>
              <w:t>Nine Months Ended September 30, 2017</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264"/>
        </w:trPr>
        <w:tc>
          <w:tcPr>
            <w:tcW w:w="25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175"/>
        </w:trPr>
        <w:tc>
          <w:tcPr>
            <w:tcW w:w="2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Aviation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2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Leasing</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Railroad</w:t>
            </w:r>
          </w:p>
        </w:tc>
        <w:tc>
          <w:tcPr>
            <w:tcW w:w="14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r>
      <w:tr>
        <w:trPr>
          <w:trHeight w:val="270"/>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4"/>
        </w:trPr>
        <w:tc>
          <w:tcPr>
            <w:tcW w:w="2580" w:type="dxa"/>
            <w:vAlign w:val="bottom"/>
          </w:tcPr>
          <w:p>
            <w:pPr>
              <w:ind w:left="380"/>
              <w:spacing w:after="0"/>
              <w:rPr>
                <w:sz w:val="20"/>
                <w:szCs w:val="20"/>
                <w:color w:val="auto"/>
              </w:rPr>
            </w:pPr>
            <w:r>
              <w:rPr>
                <w:rFonts w:ascii="Arial" w:cs="Arial" w:eastAsia="Arial" w:hAnsi="Arial"/>
                <w:sz w:val="14"/>
                <w:szCs w:val="14"/>
                <w:color w:val="auto"/>
              </w:rPr>
              <w:t>Lease income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63,577</w:t>
            </w:r>
          </w:p>
        </w:tc>
        <w:tc>
          <w:tcPr>
            <w:tcW w:w="3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7,295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70,872</w:t>
            </w:r>
          </w:p>
        </w:tc>
      </w:tr>
      <w:tr>
        <w:trPr>
          <w:trHeight w:val="276"/>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Maintenance revenue</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46,778</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46,778</w:t>
            </w:r>
          </w:p>
        </w:tc>
      </w:tr>
      <w:tr>
        <w:trPr>
          <w:trHeight w:val="264"/>
        </w:trPr>
        <w:tc>
          <w:tcPr>
            <w:tcW w:w="2580" w:type="dxa"/>
            <w:vAlign w:val="bottom"/>
          </w:tcPr>
          <w:p>
            <w:pPr>
              <w:ind w:left="380"/>
              <w:spacing w:after="0"/>
              <w:rPr>
                <w:sz w:val="20"/>
                <w:szCs w:val="20"/>
                <w:color w:val="auto"/>
              </w:rPr>
            </w:pPr>
            <w:r>
              <w:rPr>
                <w:rFonts w:ascii="Arial" w:cs="Arial" w:eastAsia="Arial" w:hAnsi="Arial"/>
                <w:sz w:val="14"/>
                <w:szCs w:val="14"/>
                <w:color w:val="auto"/>
              </w:rPr>
              <w:t>Finance lease income</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1,156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1,156</w:t>
            </w:r>
          </w:p>
        </w:tc>
      </w:tr>
      <w:tr>
        <w:trPr>
          <w:trHeight w:val="276"/>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revenue</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2,581</w:t>
            </w:r>
          </w:p>
        </w:tc>
      </w:tr>
      <w:tr>
        <w:trPr>
          <w:trHeight w:val="156"/>
        </w:trPr>
        <w:tc>
          <w:tcPr>
            <w:tcW w:w="2580" w:type="dxa"/>
            <w:vAlign w:val="bottom"/>
          </w:tcPr>
          <w:p>
            <w:pPr>
              <w:ind w:left="380"/>
              <w:spacing w:after="0" w:line="156" w:lineRule="exact"/>
              <w:rPr>
                <w:sz w:val="20"/>
                <w:szCs w:val="20"/>
                <w:color w:val="auto"/>
              </w:rPr>
            </w:pPr>
            <w:r>
              <w:rPr>
                <w:rFonts w:ascii="Arial" w:cs="Arial" w:eastAsia="Arial" w:hAnsi="Arial"/>
                <w:sz w:val="14"/>
                <w:szCs w:val="14"/>
                <w:b w:val="1"/>
                <w:bCs w:val="1"/>
                <w:color w:val="auto"/>
              </w:rPr>
              <w:t>Total equipment leasing</w:t>
            </w: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r>
      <w:tr>
        <w:trPr>
          <w:trHeight w:val="196"/>
        </w:trPr>
        <w:tc>
          <w:tcPr>
            <w:tcW w:w="2580" w:type="dxa"/>
            <w:vAlign w:val="bottom"/>
          </w:tcPr>
          <w:p>
            <w:pPr>
              <w:ind w:left="38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110,357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10,955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121,387</w:t>
            </w:r>
          </w:p>
        </w:tc>
      </w:tr>
      <w:tr>
        <w:trPr>
          <w:trHeight w:val="270"/>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4"/>
        </w:trPr>
        <w:tc>
          <w:tcPr>
            <w:tcW w:w="2580" w:type="dxa"/>
            <w:vAlign w:val="bottom"/>
          </w:tcPr>
          <w:p>
            <w:pPr>
              <w:ind w:left="380"/>
              <w:spacing w:after="0"/>
              <w:rPr>
                <w:sz w:val="20"/>
                <w:szCs w:val="20"/>
                <w:color w:val="auto"/>
              </w:rPr>
            </w:pPr>
            <w:r>
              <w:rPr>
                <w:rFonts w:ascii="Arial" w:cs="Arial" w:eastAsia="Arial" w:hAnsi="Arial"/>
                <w:sz w:val="14"/>
                <w:szCs w:val="14"/>
                <w:color w:val="auto"/>
              </w:rPr>
              <w:t>Lease income</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594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594</w:t>
            </w:r>
          </w:p>
        </w:tc>
      </w:tr>
      <w:tr>
        <w:trPr>
          <w:trHeight w:val="276"/>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Rail revenues</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24,323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24,323</w:t>
            </w:r>
          </w:p>
        </w:tc>
      </w:tr>
      <w:tr>
        <w:trPr>
          <w:trHeight w:val="264"/>
        </w:trPr>
        <w:tc>
          <w:tcPr>
            <w:tcW w:w="2580" w:type="dxa"/>
            <w:vAlign w:val="bottom"/>
          </w:tcPr>
          <w:p>
            <w:pPr>
              <w:ind w:left="380"/>
              <w:spacing w:after="0"/>
              <w:rPr>
                <w:sz w:val="20"/>
                <w:szCs w:val="20"/>
                <w:color w:val="auto"/>
              </w:rPr>
            </w:pPr>
            <w:r>
              <w:rPr>
                <w:rFonts w:ascii="Arial" w:cs="Arial" w:eastAsia="Arial" w:hAnsi="Arial"/>
                <w:sz w:val="14"/>
                <w:szCs w:val="14"/>
                <w:color w:val="auto"/>
              </w:rPr>
              <w:t>Terminal services revenues</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9,622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9,622</w:t>
            </w:r>
          </w:p>
        </w:tc>
      </w:tr>
      <w:tr>
        <w:trPr>
          <w:trHeight w:val="276"/>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revenue</w:t>
            </w: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303</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303</w:t>
            </w:r>
          </w:p>
        </w:tc>
      </w:tr>
      <w:tr>
        <w:trPr>
          <w:trHeight w:val="244"/>
        </w:trPr>
        <w:tc>
          <w:tcPr>
            <w:tcW w:w="2580" w:type="dxa"/>
            <w:vAlign w:val="bottom"/>
            <w:tcBorders>
              <w:bottom w:val="single" w:sz="8" w:color="CCEEFF"/>
            </w:tcBorders>
          </w:tcPr>
          <w:p>
            <w:pPr>
              <w:ind w:left="380"/>
              <w:spacing w:after="0"/>
              <w:rPr>
                <w:sz w:val="20"/>
                <w:szCs w:val="20"/>
                <w:color w:val="auto"/>
              </w:rPr>
            </w:pPr>
            <w:r>
              <w:rPr>
                <w:rFonts w:ascii="Arial" w:cs="Arial" w:eastAsia="Arial" w:hAnsi="Arial"/>
                <w:sz w:val="14"/>
                <w:szCs w:val="14"/>
                <w:b w:val="1"/>
                <w:bCs w:val="1"/>
                <w:color w:val="auto"/>
              </w:rPr>
              <w:t>Total infrastructure revenues</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9,622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24,323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34,842</w:t>
            </w:r>
          </w:p>
        </w:tc>
      </w:tr>
      <w:tr>
        <w:trPr>
          <w:trHeight w:val="243"/>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110,357</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10,955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9,622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24,323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156,229</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Presented below are the contracted minimum future annual revenues to be received under existing operating leases across several market sectors as of</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September 30, 2018:</w:t>
      </w:r>
    </w:p>
    <w:p>
      <w:pPr>
        <w:spacing w:after="0" w:line="30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2018</w:t>
            </w: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47,802</w:t>
            </w:r>
          </w:p>
        </w:tc>
      </w:tr>
      <w:tr>
        <w:trPr>
          <w:trHeight w:val="210"/>
        </w:trPr>
        <w:tc>
          <w:tcPr>
            <w:tcW w:w="8880" w:type="dxa"/>
            <w:vAlign w:val="bottom"/>
          </w:tcPr>
          <w:p>
            <w:pPr>
              <w:ind w:left="20"/>
              <w:spacing w:after="0"/>
              <w:rPr>
                <w:sz w:val="20"/>
                <w:szCs w:val="20"/>
                <w:color w:val="auto"/>
              </w:rPr>
            </w:pPr>
            <w:r>
              <w:rPr>
                <w:rFonts w:ascii="Arial" w:cs="Arial" w:eastAsia="Arial" w:hAnsi="Arial"/>
                <w:sz w:val="14"/>
                <w:szCs w:val="14"/>
                <w:color w:val="auto"/>
              </w:rPr>
              <w:t>2019</w:t>
            </w:r>
          </w:p>
        </w:tc>
        <w:tc>
          <w:tcPr>
            <w:tcW w:w="640" w:type="dxa"/>
            <w:vAlign w:val="bottom"/>
          </w:tcPr>
          <w:p>
            <w:pPr>
              <w:spacing w:after="0"/>
              <w:rPr>
                <w:sz w:val="18"/>
                <w:szCs w:val="18"/>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130,689</w:t>
            </w:r>
          </w:p>
        </w:tc>
      </w:tr>
      <w:tr>
        <w:trPr>
          <w:trHeight w:val="222"/>
        </w:trPr>
        <w:tc>
          <w:tcPr>
            <w:tcW w:w="8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81,382</w:t>
            </w:r>
          </w:p>
        </w:tc>
      </w:tr>
      <w:tr>
        <w:trPr>
          <w:trHeight w:val="210"/>
        </w:trPr>
        <w:tc>
          <w:tcPr>
            <w:tcW w:w="8880" w:type="dxa"/>
            <w:vAlign w:val="bottom"/>
          </w:tcPr>
          <w:p>
            <w:pPr>
              <w:ind w:left="20"/>
              <w:spacing w:after="0"/>
              <w:rPr>
                <w:sz w:val="20"/>
                <w:szCs w:val="20"/>
                <w:color w:val="auto"/>
              </w:rPr>
            </w:pPr>
            <w:r>
              <w:rPr>
                <w:rFonts w:ascii="Arial" w:cs="Arial" w:eastAsia="Arial" w:hAnsi="Arial"/>
                <w:sz w:val="14"/>
                <w:szCs w:val="14"/>
                <w:color w:val="auto"/>
              </w:rPr>
              <w:t>2021</w:t>
            </w:r>
          </w:p>
        </w:tc>
        <w:tc>
          <w:tcPr>
            <w:tcW w:w="640" w:type="dxa"/>
            <w:vAlign w:val="bottom"/>
          </w:tcPr>
          <w:p>
            <w:pPr>
              <w:spacing w:after="0"/>
              <w:rPr>
                <w:sz w:val="18"/>
                <w:szCs w:val="18"/>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53,316</w:t>
            </w:r>
          </w:p>
        </w:tc>
      </w:tr>
      <w:tr>
        <w:trPr>
          <w:trHeight w:val="222"/>
        </w:trPr>
        <w:tc>
          <w:tcPr>
            <w:tcW w:w="8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30,403</w:t>
            </w:r>
          </w:p>
        </w:tc>
      </w:tr>
      <w:tr>
        <w:trPr>
          <w:trHeight w:val="210"/>
        </w:trPr>
        <w:tc>
          <w:tcPr>
            <w:tcW w:w="8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24,385</w:t>
            </w:r>
          </w:p>
        </w:tc>
      </w:tr>
      <w:tr>
        <w:trPr>
          <w:trHeight w:val="216"/>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367,977</w:t>
            </w:r>
          </w:p>
        </w:tc>
      </w:tr>
      <w:tr>
        <w:trPr>
          <w:trHeight w:val="20"/>
        </w:trPr>
        <w:tc>
          <w:tcPr>
            <w:tcW w:w="88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11. EQUITY-BASED COMPENSATION</w:t>
      </w:r>
    </w:p>
    <w:p>
      <w:pPr>
        <w:spacing w:after="0" w:line="187"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In 2015, we established a Nonqualified Stock Option and Incentive Award Plan (“Incentive Plan”) which provides for the ability to award equity compensation awards in the form of stock options, stock appreciation rights, restricted stock, and performance awards to eligible employees, consultants, directors, and other individuals who provide services to us, each as determined by the Compensation Committee of the Board of Directors.</w:t>
      </w:r>
    </w:p>
    <w:p>
      <w:pPr>
        <w:spacing w:after="0" w:line="147"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 xml:space="preserve">As of September 30, 2018, the Incentive Plan provides for the issuance of up to 30 million shares. We account for equity-based compensation expense in accordance with Accounting Standards Codification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718”) and is reported within operating expenses and general and administrative in the Consolidated Statements of Operations.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Consolidated Statements of Operations includes the following expense related to our stock-based compensation arrangements:</w:t>
      </w:r>
    </w:p>
    <w:p>
      <w:pPr>
        <w:spacing w:after="0" w:line="328"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1720" w:type="dxa"/>
            <w:vAlign w:val="bottom"/>
          </w:tcPr>
          <w:p>
            <w:pPr>
              <w:spacing w:after="0"/>
              <w:rPr>
                <w:sz w:val="16"/>
                <w:szCs w:val="16"/>
                <w:color w:val="auto"/>
              </w:rPr>
            </w:pPr>
          </w:p>
        </w:tc>
        <w:tc>
          <w:tcPr>
            <w:tcW w:w="26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540" w:type="dxa"/>
            <w:vAlign w:val="bottom"/>
            <w:gridSpan w:val="6"/>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Pr>
          <w:p>
            <w:pPr>
              <w:spacing w:after="0"/>
              <w:rPr>
                <w:sz w:val="16"/>
                <w:szCs w:val="16"/>
                <w:color w:val="auto"/>
              </w:rPr>
            </w:pPr>
          </w:p>
        </w:tc>
        <w:tc>
          <w:tcPr>
            <w:tcW w:w="1900" w:type="dxa"/>
            <w:vAlign w:val="bottom"/>
          </w:tcPr>
          <w:p>
            <w:pPr>
              <w:jc w:val="center"/>
              <w:ind w:right="28"/>
              <w:spacing w:after="0"/>
              <w:rPr>
                <w:sz w:val="20"/>
                <w:szCs w:val="20"/>
                <w:color w:val="auto"/>
              </w:rPr>
            </w:pPr>
            <w:r>
              <w:rPr>
                <w:rFonts w:ascii="Arial" w:cs="Arial" w:eastAsia="Arial" w:hAnsi="Arial"/>
                <w:sz w:val="14"/>
                <w:szCs w:val="14"/>
                <w:b w:val="1"/>
                <w:bCs w:val="1"/>
                <w:color w:val="auto"/>
              </w:rPr>
              <w:t>Remaining Expense To Be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54"/>
        </w:trPr>
        <w:tc>
          <w:tcPr>
            <w:tcW w:w="17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vMerge w:val="restart"/>
          </w:tcPr>
          <w:p>
            <w:pPr>
              <w:jc w:val="center"/>
              <w:ind w:right="48"/>
              <w:spacing w:after="0" w:line="135" w:lineRule="exact"/>
              <w:rPr>
                <w:sz w:val="20"/>
                <w:szCs w:val="20"/>
                <w:color w:val="auto"/>
              </w:rPr>
            </w:pPr>
            <w:r>
              <w:rPr>
                <w:rFonts w:ascii="Arial" w:cs="Arial" w:eastAsia="Arial" w:hAnsi="Arial"/>
                <w:sz w:val="14"/>
                <w:szCs w:val="14"/>
                <w:b w:val="1"/>
                <w:bCs w:val="1"/>
                <w:color w:val="auto"/>
              </w:rPr>
              <w:t>Recognized, If All Vesting</w:t>
            </w:r>
          </w:p>
        </w:tc>
        <w:tc>
          <w:tcPr>
            <w:tcW w:w="182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Remaining Contractual</w:t>
            </w: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00" w:type="dxa"/>
            <w:vAlign w:val="bottom"/>
            <w:vMerge w:val="continue"/>
          </w:tcPr>
          <w:p>
            <w:pPr>
              <w:spacing w:after="0"/>
              <w:rPr>
                <w:sz w:val="5"/>
                <w:szCs w:val="5"/>
                <w:color w:val="auto"/>
              </w:rPr>
            </w:pP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Conditions Are Met</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(in years)</w:t>
            </w:r>
          </w:p>
        </w:tc>
        <w:tc>
          <w:tcPr>
            <w:tcW w:w="0" w:type="dxa"/>
            <w:vAlign w:val="bottom"/>
          </w:tcPr>
          <w:p>
            <w:pPr>
              <w:spacing w:after="0"/>
              <w:rPr>
                <w:sz w:val="1"/>
                <w:szCs w:val="1"/>
                <w:color w:val="auto"/>
              </w:rPr>
            </w:pPr>
          </w:p>
        </w:tc>
      </w:tr>
      <w:tr>
        <w:trPr>
          <w:trHeight w:val="256"/>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w:t>
            </w:r>
          </w:p>
        </w:tc>
        <w:tc>
          <w:tcPr>
            <w:tcW w:w="0" w:type="dxa"/>
            <w:vAlign w:val="bottom"/>
          </w:tcPr>
          <w:p>
            <w:pPr>
              <w:spacing w:after="0"/>
              <w:rPr>
                <w:sz w:val="1"/>
                <w:szCs w:val="1"/>
                <w:color w:val="auto"/>
              </w:rPr>
            </w:pPr>
          </w:p>
        </w:tc>
      </w:tr>
      <w:tr>
        <w:trPr>
          <w:trHeight w:val="264"/>
        </w:trPr>
        <w:tc>
          <w:tcPr>
            <w:tcW w:w="1720" w:type="dxa"/>
            <w:vAlign w:val="bottom"/>
          </w:tcPr>
          <w:p>
            <w:pPr>
              <w:ind w:left="20"/>
              <w:spacing w:after="0"/>
              <w:rPr>
                <w:sz w:val="20"/>
                <w:szCs w:val="20"/>
                <w:color w:val="auto"/>
              </w:rPr>
            </w:pPr>
            <w:r>
              <w:rPr>
                <w:rFonts w:ascii="Arial" w:cs="Arial" w:eastAsia="Arial" w:hAnsi="Arial"/>
                <w:sz w:val="14"/>
                <w:szCs w:val="14"/>
                <w:color w:val="auto"/>
              </w:rPr>
              <w:t>Restricted Shares</w:t>
            </w:r>
          </w:p>
        </w:tc>
        <w:tc>
          <w:tcPr>
            <w:tcW w:w="800" w:type="dxa"/>
            <w:vAlign w:val="bottom"/>
          </w:tcPr>
          <w:p>
            <w:pPr>
              <w:spacing w:after="0"/>
              <w:rPr>
                <w:sz w:val="22"/>
                <w:szCs w:val="22"/>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b w:val="1"/>
                <w:bCs w:val="1"/>
                <w:color w:val="auto"/>
              </w:rPr>
              <w:t>89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269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jc w:val="right"/>
              <w:ind w:right="8"/>
              <w:spacing w:after="0"/>
              <w:rPr>
                <w:sz w:val="20"/>
                <w:szCs w:val="20"/>
                <w:color w:val="auto"/>
              </w:rPr>
            </w:pPr>
            <w:r>
              <w:rPr>
                <w:rFonts w:ascii="Arial" w:cs="Arial" w:eastAsia="Arial" w:hAnsi="Arial"/>
                <w:sz w:val="14"/>
                <w:szCs w:val="14"/>
                <w:color w:val="auto"/>
              </w:rPr>
              <w:t>732</w:t>
            </w:r>
          </w:p>
        </w:tc>
        <w:tc>
          <w:tcPr>
            <w:tcW w:w="1820" w:type="dxa"/>
            <w:vAlign w:val="bottom"/>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70"/>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Units</w:t>
            </w:r>
          </w:p>
        </w:tc>
        <w:tc>
          <w:tcPr>
            <w:tcW w:w="8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916</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43"/>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232</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669</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1,648</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00497F"/>
        </w:rPr>
        <w:t>Stock Options</w:t>
      </w:r>
    </w:p>
    <w:p>
      <w:pPr>
        <w:spacing w:after="0" w:line="187"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During the nine months ended September 30, 2018, we granted equity-based compensation awards of 10,000 stock options to our two new independent directors (5,000 options each) pursuant to the Incentive Plan with a grant date fair value of $9 which immediately vested upon grant and expire after 10 years. The fair value of each option was estimated on the grant date using a Black-Scholes option valuation model using the following weighted average assumptions:</w:t>
      </w:r>
    </w:p>
    <w:p>
      <w:pPr>
        <w:spacing w:after="0" w:line="282" w:lineRule="exact"/>
        <w:rPr>
          <w:sz w:val="20"/>
          <w:szCs w:val="20"/>
          <w:color w:val="auto"/>
        </w:rPr>
      </w:pPr>
    </w:p>
    <w:tbl>
      <w:tblPr>
        <w:tblLayout w:type="fixed"/>
        <w:tblInd w:w="340" w:type="dxa"/>
        <w:tblCellMar>
          <w:top w:w="0" w:type="dxa"/>
          <w:left w:w="0" w:type="dxa"/>
          <w:bottom w:w="0" w:type="dxa"/>
          <w:right w:w="0" w:type="dxa"/>
        </w:tblCellMar>
      </w:tblPr>
      <w:tr>
        <w:trPr>
          <w:trHeight w:val="194"/>
        </w:trPr>
        <w:tc>
          <w:tcPr>
            <w:tcW w:w="1720" w:type="dxa"/>
            <w:vAlign w:val="bottom"/>
            <w:shd w:val="clear" w:color="auto" w:fill="CCEEFF"/>
          </w:tcPr>
          <w:p>
            <w:pPr>
              <w:spacing w:after="0"/>
              <w:rPr>
                <w:sz w:val="16"/>
                <w:szCs w:val="16"/>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The expected stock volatility is based on an assessment of the stock volatility of our publicly traded</w:t>
            </w:r>
          </w:p>
        </w:tc>
        <w:tc>
          <w:tcPr>
            <w:tcW w:w="1480" w:type="dxa"/>
            <w:vAlign w:val="bottom"/>
            <w:shd w:val="clear" w:color="auto" w:fill="CCEEFF"/>
          </w:tcPr>
          <w:p>
            <w:pPr>
              <w:spacing w:after="0"/>
              <w:rPr>
                <w:sz w:val="16"/>
                <w:szCs w:val="16"/>
                <w:color w:val="auto"/>
              </w:rPr>
            </w:pPr>
          </w:p>
        </w:tc>
      </w:tr>
      <w:tr>
        <w:trPr>
          <w:trHeight w:val="184"/>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7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over the preceding 12-month period</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r>
      <w:tr>
        <w:trPr>
          <w:trHeight w:val="194"/>
        </w:trPr>
        <w:tc>
          <w:tcPr>
            <w:tcW w:w="1720" w:type="dxa"/>
            <w:vAlign w:val="bottom"/>
          </w:tcPr>
          <w:p>
            <w:pPr>
              <w:spacing w:after="0"/>
              <w:rPr>
                <w:sz w:val="16"/>
                <w:szCs w:val="16"/>
                <w:color w:val="auto"/>
              </w:rPr>
            </w:pPr>
          </w:p>
        </w:tc>
        <w:tc>
          <w:tcPr>
            <w:tcW w:w="7480" w:type="dxa"/>
            <w:vAlign w:val="bottom"/>
          </w:tcPr>
          <w:p>
            <w:pPr>
              <w:ind w:left="200"/>
              <w:spacing w:after="0"/>
              <w:rPr>
                <w:sz w:val="20"/>
                <w:szCs w:val="20"/>
                <w:color w:val="auto"/>
              </w:rPr>
            </w:pPr>
            <w:r>
              <w:rPr>
                <w:rFonts w:ascii="Arial" w:cs="Arial" w:eastAsia="Arial" w:hAnsi="Arial"/>
                <w:sz w:val="14"/>
                <w:szCs w:val="14"/>
                <w:color w:val="auto"/>
              </w:rPr>
              <w:t>The risk-free rate is determined using the implied yield currently available on U.S. government bonds</w:t>
            </w:r>
          </w:p>
        </w:tc>
        <w:tc>
          <w:tcPr>
            <w:tcW w:w="1480" w:type="dxa"/>
            <w:vAlign w:val="bottom"/>
          </w:tcPr>
          <w:p>
            <w:pPr>
              <w:spacing w:after="0"/>
              <w:rPr>
                <w:sz w:val="16"/>
                <w:szCs w:val="16"/>
                <w:color w:val="auto"/>
              </w:rPr>
            </w:pPr>
          </w:p>
        </w:tc>
      </w:tr>
      <w:tr>
        <w:trPr>
          <w:trHeight w:val="178"/>
        </w:trPr>
        <w:tc>
          <w:tcPr>
            <w:tcW w:w="1720" w:type="dxa"/>
            <w:vAlign w:val="bottom"/>
          </w:tcPr>
          <w:p>
            <w:pPr>
              <w:ind w:left="20"/>
              <w:spacing w:after="0"/>
              <w:rPr>
                <w:sz w:val="20"/>
                <w:szCs w:val="20"/>
                <w:color w:val="auto"/>
              </w:rPr>
            </w:pPr>
            <w:r>
              <w:rPr>
                <w:rFonts w:ascii="Arial" w:cs="Arial" w:eastAsia="Arial" w:hAnsi="Arial"/>
                <w:sz w:val="14"/>
                <w:szCs w:val="14"/>
                <w:color w:val="auto"/>
              </w:rPr>
              <w:t>Risk free interest rate</w:t>
            </w:r>
          </w:p>
        </w:tc>
        <w:tc>
          <w:tcPr>
            <w:tcW w:w="7480" w:type="dxa"/>
            <w:vAlign w:val="bottom"/>
          </w:tcPr>
          <w:p>
            <w:pPr>
              <w:ind w:left="200"/>
              <w:spacing w:after="0"/>
              <w:rPr>
                <w:sz w:val="20"/>
                <w:szCs w:val="20"/>
                <w:color w:val="auto"/>
              </w:rPr>
            </w:pPr>
            <w:r>
              <w:rPr>
                <w:rFonts w:ascii="Arial" w:cs="Arial" w:eastAsia="Arial" w:hAnsi="Arial"/>
                <w:sz w:val="14"/>
                <w:szCs w:val="14"/>
                <w:color w:val="auto"/>
              </w:rPr>
              <w:t>with a term consistent with the expected term on the date of grant</w:t>
            </w:r>
          </w:p>
        </w:tc>
        <w:tc>
          <w:tcPr>
            <w:tcW w:w="148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22"/>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dividend yield</w:t>
            </w:r>
          </w:p>
        </w:tc>
        <w:tc>
          <w:tcPr>
            <w:tcW w:w="7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The expected dividend yield is based on management’s currently expected dividend rate</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r>
      <w:tr>
        <w:trPr>
          <w:trHeight w:val="204"/>
        </w:trPr>
        <w:tc>
          <w:tcPr>
            <w:tcW w:w="1720" w:type="dxa"/>
            <w:vAlign w:val="bottom"/>
          </w:tcPr>
          <w:p>
            <w:pPr>
              <w:ind w:left="20"/>
              <w:spacing w:after="0"/>
              <w:rPr>
                <w:sz w:val="20"/>
                <w:szCs w:val="20"/>
                <w:color w:val="auto"/>
              </w:rPr>
            </w:pPr>
            <w:r>
              <w:rPr>
                <w:rFonts w:ascii="Arial" w:cs="Arial" w:eastAsia="Arial" w:hAnsi="Arial"/>
                <w:sz w:val="14"/>
                <w:szCs w:val="14"/>
                <w:color w:val="auto"/>
              </w:rPr>
              <w:t>Expected term</w:t>
            </w:r>
          </w:p>
        </w:tc>
        <w:tc>
          <w:tcPr>
            <w:tcW w:w="7480" w:type="dxa"/>
            <w:vAlign w:val="bottom"/>
          </w:tcPr>
          <w:p>
            <w:pPr>
              <w:ind w:left="200"/>
              <w:spacing w:after="0"/>
              <w:rPr>
                <w:sz w:val="20"/>
                <w:szCs w:val="20"/>
                <w:color w:val="auto"/>
              </w:rPr>
            </w:pPr>
            <w:r>
              <w:rPr>
                <w:rFonts w:ascii="Arial" w:cs="Arial" w:eastAsia="Arial" w:hAnsi="Arial"/>
                <w:sz w:val="14"/>
                <w:szCs w:val="14"/>
                <w:color w:val="auto"/>
              </w:rPr>
              <w:t>Expected term used represents the period of time the options granted are expected to be outstanding</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5 years</w:t>
            </w:r>
          </w:p>
        </w:tc>
      </w:tr>
    </w:tbl>
    <w:p>
      <w:pPr>
        <w:spacing w:after="0" w:line="15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00497F"/>
        </w:rPr>
        <w:t>Common Units</w:t>
      </w:r>
    </w:p>
    <w:p>
      <w:pPr>
        <w:spacing w:after="0" w:line="106"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In April 2018, we granted equity based compensation in a subsidiary consisting of 670,000 common units that had a grant date fair value of $670 in exchange for services assuming no forfeited amounts. The awards vest in installments of 33.3% in March 2019, March 2020 and March 2021. The awards are equity based with compensation expense recognized ratably over the vesting periods. The fair value of these awards was based on the fair value of the underlying entity as determined on the grant date.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12. INCOME TAXES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current and deferred components of the income tax provision included in the Consolidated Statements of Operations are as follows: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3940" w:type="dxa"/>
            <w:vAlign w:val="bottom"/>
          </w:tcPr>
          <w:p>
            <w:pPr>
              <w:spacing w:after="0"/>
              <w:rPr>
                <w:sz w:val="17"/>
                <w:szCs w:val="17"/>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39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r>
      <w:tr>
        <w:trPr>
          <w:trHeight w:val="270"/>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1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4"/>
        </w:trPr>
        <w:tc>
          <w:tcPr>
            <w:tcW w:w="3940" w:type="dxa"/>
            <w:vAlign w:val="bottom"/>
          </w:tcPr>
          <w:p>
            <w:pPr>
              <w:ind w:left="260"/>
              <w:spacing w:after="0"/>
              <w:rPr>
                <w:sz w:val="20"/>
                <w:szCs w:val="20"/>
                <w:color w:val="auto"/>
              </w:rPr>
            </w:pPr>
            <w:r>
              <w:rPr>
                <w:rFonts w:ascii="Arial" w:cs="Arial" w:eastAsia="Arial" w:hAnsi="Arial"/>
                <w:sz w:val="14"/>
                <w:szCs w:val="14"/>
                <w:color w:val="auto"/>
              </w:rPr>
              <w:t>Federal</w:t>
            </w:r>
          </w:p>
        </w:tc>
        <w:tc>
          <w:tcPr>
            <w:tcW w:w="1140" w:type="dxa"/>
            <w:vAlign w:val="bottom"/>
          </w:tcPr>
          <w:p>
            <w:pPr>
              <w:jc w:val="right"/>
              <w:ind w:right="948"/>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28"/>
              <w:spacing w:after="0"/>
              <w:rPr>
                <w:sz w:val="20"/>
                <w:szCs w:val="20"/>
                <w:color w:val="auto"/>
              </w:rPr>
            </w:pPr>
            <w:r>
              <w:rPr>
                <w:rFonts w:ascii="Arial" w:cs="Arial" w:eastAsia="Arial" w:hAnsi="Arial"/>
                <w:sz w:val="14"/>
                <w:szCs w:val="14"/>
                <w:b w:val="1"/>
                <w:bCs w:val="1"/>
                <w:color w:val="auto"/>
              </w:rPr>
              <w:t>22</w:t>
            </w:r>
          </w:p>
        </w:tc>
        <w:tc>
          <w:tcPr>
            <w:tcW w:w="140" w:type="dxa"/>
            <w:vAlign w:val="bottom"/>
          </w:tcPr>
          <w:p>
            <w:pPr>
              <w:spacing w:after="0"/>
              <w:rPr>
                <w:sz w:val="22"/>
                <w:szCs w:val="22"/>
                <w:color w:val="auto"/>
              </w:rPr>
            </w:pPr>
          </w:p>
        </w:tc>
        <w:tc>
          <w:tcPr>
            <w:tcW w:w="12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841</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b w:val="1"/>
                <w:bCs w:val="1"/>
                <w:color w:val="auto"/>
              </w:rPr>
              <w:t>193</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1,157</w:t>
            </w:r>
          </w:p>
        </w:tc>
      </w:tr>
      <w:tr>
        <w:trPr>
          <w:trHeight w:val="276"/>
        </w:trPr>
        <w:tc>
          <w:tcPr>
            <w:tcW w:w="39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State and local</w:t>
            </w:r>
          </w:p>
        </w:tc>
        <w:tc>
          <w:tcPr>
            <w:tcW w:w="114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w:t>
            </w: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w:t>
            </w:r>
          </w:p>
        </w:tc>
      </w:tr>
      <w:tr>
        <w:trPr>
          <w:trHeight w:val="264"/>
        </w:trPr>
        <w:tc>
          <w:tcPr>
            <w:tcW w:w="39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Foreign</w:t>
            </w:r>
          </w:p>
        </w:tc>
        <w:tc>
          <w:tcPr>
            <w:tcW w:w="11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4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w:t>
            </w:r>
          </w:p>
        </w:tc>
      </w:tr>
      <w:tr>
        <w:trPr>
          <w:trHeight w:val="250"/>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provision</w:t>
            </w:r>
          </w:p>
        </w:tc>
        <w:tc>
          <w:tcPr>
            <w:tcW w:w="114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w:t>
            </w:r>
          </w:p>
        </w:tc>
        <w:tc>
          <w:tcPr>
            <w:tcW w:w="14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907</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283</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1,312</w:t>
            </w:r>
          </w:p>
        </w:tc>
      </w:tr>
      <w:tr>
        <w:trPr>
          <w:trHeight w:val="324"/>
        </w:trPr>
        <w:tc>
          <w:tcPr>
            <w:tcW w:w="3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w:t>
            </w:r>
          </w:p>
        </w:tc>
        <w:tc>
          <w:tcPr>
            <w:tcW w:w="11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4"/>
        </w:trPr>
        <w:tc>
          <w:tcPr>
            <w:tcW w:w="3940" w:type="dxa"/>
            <w:vAlign w:val="bottom"/>
          </w:tcPr>
          <w:p>
            <w:pPr>
              <w:ind w:left="260"/>
              <w:spacing w:after="0"/>
              <w:rPr>
                <w:sz w:val="20"/>
                <w:szCs w:val="20"/>
                <w:color w:val="auto"/>
              </w:rPr>
            </w:pPr>
            <w:r>
              <w:rPr>
                <w:rFonts w:ascii="Arial" w:cs="Arial" w:eastAsia="Arial" w:hAnsi="Arial"/>
                <w:sz w:val="14"/>
                <w:szCs w:val="14"/>
                <w:color w:val="auto"/>
              </w:rPr>
              <w:t>Federal</w:t>
            </w:r>
          </w:p>
        </w:tc>
        <w:tc>
          <w:tcPr>
            <w:tcW w:w="1140" w:type="dxa"/>
            <w:vAlign w:val="bottom"/>
          </w:tcPr>
          <w:p>
            <w:pPr>
              <w:spacing w:after="0"/>
              <w:rPr>
                <w:sz w:val="22"/>
                <w:szCs w:val="22"/>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b w:val="1"/>
                <w:bCs w:val="1"/>
                <w:color w:val="auto"/>
              </w:rPr>
              <w:t>419</w:t>
            </w: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b w:val="1"/>
                <w:bCs w:val="1"/>
                <w:color w:val="auto"/>
              </w:rPr>
              <w:t>1,096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34</w:t>
            </w:r>
          </w:p>
        </w:tc>
      </w:tr>
      <w:tr>
        <w:trPr>
          <w:trHeight w:val="276"/>
        </w:trPr>
        <w:tc>
          <w:tcPr>
            <w:tcW w:w="39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State and local</w:t>
            </w:r>
          </w:p>
        </w:tc>
        <w:tc>
          <w:tcPr>
            <w:tcW w:w="114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62</w:t>
            </w: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264"/>
        </w:trPr>
        <w:tc>
          <w:tcPr>
            <w:tcW w:w="39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Foreign</w:t>
            </w:r>
          </w:p>
        </w:tc>
        <w:tc>
          <w:tcPr>
            <w:tcW w:w="11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39</w:t>
            </w:r>
          </w:p>
        </w:tc>
        <w:tc>
          <w:tcPr>
            <w:tcW w:w="14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257</w:t>
            </w:r>
          </w:p>
        </w:tc>
      </w:tr>
      <w:tr>
        <w:trPr>
          <w:trHeight w:val="250"/>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deferred provision</w:t>
            </w:r>
          </w:p>
        </w:tc>
        <w:tc>
          <w:tcPr>
            <w:tcW w:w="114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520</w:t>
            </w:r>
          </w:p>
        </w:tc>
        <w:tc>
          <w:tcPr>
            <w:tcW w:w="14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1,297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273</w:t>
            </w:r>
          </w:p>
        </w:tc>
      </w:tr>
      <w:tr>
        <w:trPr>
          <w:trHeight w:val="324"/>
        </w:trPr>
        <w:tc>
          <w:tcPr>
            <w:tcW w:w="3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7"/>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provision for income taxes</w:t>
            </w:r>
          </w:p>
        </w:tc>
        <w:tc>
          <w:tcPr>
            <w:tcW w:w="1140" w:type="dxa"/>
            <w:vAlign w:val="bottom"/>
            <w:tcBorders>
              <w:bottom w:val="single" w:sz="8" w:color="auto"/>
            </w:tcBorders>
            <w:shd w:val="clear" w:color="auto" w:fill="CCEEFF"/>
          </w:tcPr>
          <w:p>
            <w:pPr>
              <w:jc w:val="right"/>
              <w:ind w:right="94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551</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909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1,585</w:t>
            </w:r>
          </w:p>
        </w:tc>
      </w:tr>
      <w:tr>
        <w:trPr>
          <w:trHeight w:val="20"/>
        </w:trPr>
        <w:tc>
          <w:tcPr>
            <w:tcW w:w="39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We are taxed as a flow-through entity for U.S. income tax purposes and our taxable income or loss generated is the responsibility of our owners. Taxable income or loss generated by our corporate subsidiaries is subject to U.S. federal, state and foreign corporate income tax in locations where they conduct business.</w:t>
      </w:r>
    </w:p>
    <w:p>
      <w:pPr>
        <w:spacing w:after="0" w:line="147"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Our effective tax rate differs from the U.S. federal tax rate of 21% primarily due to a significant portion of our income not being subject to U.S. corporate tax rates, or being deemed to be foreign sourced and thus either not taxable or taxable at effectively lower tax rates.</w:t>
      </w:r>
    </w:p>
    <w:p>
      <w:pPr>
        <w:spacing w:after="0" w:line="142"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As of and for the nine month period ended September 30, 2018, we had not established a liability for uncertain tax positions as no such positions existed. In general, our tax returns and the tax returns of our corporate subsidiaries are subject to U.S. federal, state, local and foreign income tax examinations by tax authorities. Generally, we are not subject to examination by taxing authorities for tax years prior to 2014. We do not believe that it is reasonably possible that the total amount of unrecognized tax benefits will significantly change within 12 months of the reporting date of September 30, 2018.</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On December 22, 2017, legislation referred to as the “Tax Cuts and Jobs Act” (the “TCJA”) was signed into law. The TCJA significantly revises the U.S. corporate income tax regime by, among other things, lowering corporate income tax rates. We have accounted for the effects of the TCJA for the year ended December 31, 2017 which relates to the remeasurement of deferred tax assets and liabilities due to the reduction in the corporate income tax rate. Due to the significant portion of our income that is not subject to entity level tax and the presence of a significant valuation allowance, the effects of the TCJA have had a minimal impact on the income tax provision for the periods presented.</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13. MANAGEMENT AGREEMENT AND AFFILIATE TRANSACTIONS</w:t>
      </w:r>
    </w:p>
    <w:p>
      <w:pPr>
        <w:spacing w:after="0" w:line="187"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The Manager is paid annual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 In addition, the Manager may be reimbursed for various expenses incurred by the Manager on our behalf, including the costs of legal, accounting and other administrative activities. Additionally, we have entered into certain incentive allocation arrangements with Master GP, which owns 0.05% of the Partnership and is the general partner of the Partnership.</w:t>
      </w:r>
    </w:p>
    <w:p>
      <w:pPr>
        <w:spacing w:after="0" w:line="149"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The Manager is entitled to a management fee, incentive allocations (comprised of income incentive allocation and capital gains incentive allocation, defined below) and reimbursement of certain expenses. The management fee is determined by taking the average value of total equity (excluding non-controlling interests) determined on a consolidated basis in accordance with GAAP at the end of the two most recently completed months multiplied by an annual rate of 1.50%, and is payable monthly in arrears in cash.</w:t>
      </w:r>
    </w:p>
    <w:p>
      <w:pPr>
        <w:spacing w:after="0" w:line="149" w:lineRule="exact"/>
        <w:rPr>
          <w:sz w:val="20"/>
          <w:szCs w:val="20"/>
          <w:color w:val="auto"/>
        </w:rPr>
      </w:pPr>
    </w:p>
    <w:p>
      <w:pPr>
        <w:jc w:val="both"/>
        <w:ind w:left="340"/>
        <w:spacing w:after="0" w:line="249" w:lineRule="auto"/>
        <w:rPr>
          <w:sz w:val="20"/>
          <w:szCs w:val="20"/>
          <w:color w:val="auto"/>
        </w:rPr>
      </w:pPr>
      <w:r>
        <w:rPr>
          <w:rFonts w:ascii="Arial" w:cs="Arial" w:eastAsia="Arial" w:hAnsi="Arial"/>
          <w:sz w:val="16"/>
          <w:szCs w:val="16"/>
          <w:color w:val="auto"/>
        </w:rPr>
        <w:t>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GAAP excluding our pro rata share of (1) realized or unrealized gains and losses, and (2) certain non-cash or one-time items, and (3) any other adjustments as may be approved by our independent directors. Pre-incentive allocation net income does not include any Income Incentive Allocation or Capital Gains Incentive Allocation (described below) paid to the Master GP during the relevant quarter.</w:t>
      </w:r>
    </w:p>
    <w:p>
      <w:pPr>
        <w:spacing w:after="0" w:line="151" w:lineRule="exact"/>
        <w:rPr>
          <w:sz w:val="20"/>
          <w:szCs w:val="20"/>
          <w:color w:val="auto"/>
        </w:rPr>
      </w:pPr>
    </w:p>
    <w:p>
      <w:pPr>
        <w:jc w:val="both"/>
        <w:ind w:left="340"/>
        <w:spacing w:after="0" w:line="249" w:lineRule="auto"/>
        <w:rPr>
          <w:sz w:val="20"/>
          <w:szCs w:val="20"/>
          <w:color w:val="auto"/>
        </w:rPr>
      </w:pPr>
      <w:r>
        <w:rPr>
          <w:rFonts w:ascii="Arial" w:cs="Arial" w:eastAsia="Arial" w:hAnsi="Arial"/>
          <w:sz w:val="16"/>
          <w:szCs w:val="16"/>
          <w:color w:val="auto"/>
        </w:rPr>
        <w:t>A subsidiary of ours allocates and distributes to the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our net equity capital (excluding non-controlling interests) at the end of the two most recently completed calendar quarters, does not exceed 2% for such quarter (8% annualized); (2) 100% of pre-incentive allocation net income with respect to that portion of such pre-incentive allocation net income, if any, that is equal to or exceeds 2% but does not exceed 2.2223% for such quarter; and (3) 10% of the amount of pre-incentive allocation net income, if any, that exceeds 2.2223% for such quarter. These calculations will be prorated for any period of less than three months.</w:t>
      </w:r>
    </w:p>
    <w:p>
      <w:pPr>
        <w:spacing w:after="0" w:line="340"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Capital Gains Incentive Allocation is calculated and distributable in arrears as of the end of each calendar year and is equal to 10% of our pro rata share of cumulative realized gains from the date of the IPO through the end of the applicable calendar year, net of our pro rata share of cumulative realized or unrealized losses, the cumulative non-cash portion of equity-based compensation expenses and all realized gains upon which prior performance-based Capital Gains Incentive Allocation payments were made to the Master GP.</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management fees, income incentive allocation and capital gains incentive allocation:</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4380" w:type="dxa"/>
            <w:vAlign w:val="bottom"/>
          </w:tcPr>
          <w:p>
            <w:pPr>
              <w:spacing w:after="0"/>
              <w:rPr>
                <w:sz w:val="17"/>
                <w:szCs w:val="17"/>
                <w:color w:val="auto"/>
              </w:rPr>
            </w:pPr>
          </w:p>
        </w:tc>
        <w:tc>
          <w:tcPr>
            <w:tcW w:w="322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284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380" w:type="dxa"/>
            <w:vAlign w:val="bottom"/>
            <w:tcBorders>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25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3,866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3,776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11,527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11,524</w:t>
            </w:r>
          </w:p>
        </w:tc>
      </w:tr>
      <w:tr>
        <w:trPr>
          <w:trHeight w:val="264"/>
        </w:trPr>
        <w:tc>
          <w:tcPr>
            <w:tcW w:w="4380" w:type="dxa"/>
            <w:vAlign w:val="bottom"/>
          </w:tcPr>
          <w:p>
            <w:pPr>
              <w:ind w:left="20"/>
              <w:spacing w:after="0"/>
              <w:rPr>
                <w:sz w:val="20"/>
                <w:szCs w:val="20"/>
                <w:color w:val="auto"/>
              </w:rPr>
            </w:pPr>
            <w:r>
              <w:rPr>
                <w:rFonts w:ascii="Arial" w:cs="Arial" w:eastAsia="Arial" w:hAnsi="Arial"/>
                <w:sz w:val="14"/>
                <w:szCs w:val="14"/>
                <w:color w:val="auto"/>
              </w:rPr>
              <w:t>Income incentive allocation</w:t>
            </w:r>
          </w:p>
        </w:tc>
        <w:tc>
          <w:tcPr>
            <w:tcW w:w="100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gains incentive allocation</w:t>
            </w: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553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bl>
    <w:p>
      <w:pPr>
        <w:spacing w:after="0" w:line="164"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We will pay all of our operating expenses, except those specifically required to be borne by the Manager under the Management Agreement. The expenses required to be paid by us include, but are not limited to, issuance and transaction costs incident to the acquisition, disposition and financing of our assets, legal and auditing fees and expenses, the compensation and expenses of our independent directors, the costs associated with the establishment and maintenance of any credit facilities and other indebtedness of ours (including commitment fees, legal fees, closing costs, etc.), expenses associated with other securities offerings of ours, costs and expenses incurred in contracting with third parties (including affiliates of the Manager), the costs of printing and mailing proxies and reports to our shareholders, costs incurred by the Manager or its affiliates for travel on our behalf, costs associated with any computer software or hardware that is used for us, costs to obtain liability insurance to indemnify our directors and officers and the compensation and expenses of our transfer agent.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We will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we will not reimburse the Manager for these expenses.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our reimbursement to the Manager:</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4380" w:type="dxa"/>
            <w:vAlign w:val="bottom"/>
          </w:tcPr>
          <w:p>
            <w:pPr>
              <w:spacing w:after="0"/>
              <w:rPr>
                <w:sz w:val="17"/>
                <w:szCs w:val="17"/>
                <w:color w:val="auto"/>
              </w:rPr>
            </w:pPr>
          </w:p>
        </w:tc>
        <w:tc>
          <w:tcPr>
            <w:tcW w:w="322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284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380" w:type="dxa"/>
            <w:vAlign w:val="bottom"/>
            <w:tcBorders>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270"/>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Classification in the Consolidated Statements of Operations:</w:t>
            </w:r>
          </w:p>
        </w:tc>
        <w:tc>
          <w:tcPr>
            <w:tcW w:w="10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4"/>
        </w:trPr>
        <w:tc>
          <w:tcPr>
            <w:tcW w:w="4380" w:type="dxa"/>
            <w:vAlign w:val="bottom"/>
          </w:tcPr>
          <w:p>
            <w:pPr>
              <w:ind w:left="160"/>
              <w:spacing w:after="0"/>
              <w:rPr>
                <w:sz w:val="20"/>
                <w:szCs w:val="20"/>
                <w:color w:val="auto"/>
              </w:rPr>
            </w:pPr>
            <w:r>
              <w:rPr>
                <w:rFonts w:ascii="Arial" w:cs="Arial" w:eastAsia="Arial" w:hAnsi="Arial"/>
                <w:sz w:val="14"/>
                <w:szCs w:val="14"/>
                <w:color w:val="auto"/>
              </w:rPr>
              <w:t>General and administrative expenses</w:t>
            </w:r>
          </w:p>
        </w:tc>
        <w:tc>
          <w:tcPr>
            <w:tcW w:w="1000" w:type="dxa"/>
            <w:vAlign w:val="bottom"/>
          </w:tcPr>
          <w:p>
            <w:pPr>
              <w:jc w:val="right"/>
              <w:ind w:right="828"/>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rPr>
              <w:t>2,327</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2,046</w:t>
            </w:r>
          </w:p>
        </w:tc>
        <w:tc>
          <w:tcPr>
            <w:tcW w:w="100" w:type="dxa"/>
            <w:vAlign w:val="bottom"/>
          </w:tcPr>
          <w:p>
            <w:pPr>
              <w:spacing w:after="0"/>
              <w:rPr>
                <w:sz w:val="22"/>
                <w:szCs w:val="22"/>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6,935</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5,868</w:t>
            </w:r>
          </w:p>
        </w:tc>
      </w:tr>
      <w:tr>
        <w:trPr>
          <w:trHeight w:val="270"/>
        </w:trPr>
        <w:tc>
          <w:tcPr>
            <w:tcW w:w="4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Acquisition and transaction expenses</w:t>
            </w:r>
          </w:p>
        </w:tc>
        <w:tc>
          <w:tcPr>
            <w:tcW w:w="10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1,375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1,507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4,426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4,220</w:t>
            </w:r>
          </w:p>
        </w:tc>
      </w:tr>
      <w:tr>
        <w:trPr>
          <w:trHeight w:val="243"/>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3,702</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3,553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11,361</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10,088</w:t>
            </w:r>
          </w:p>
        </w:tc>
      </w:tr>
      <w:tr>
        <w:trPr>
          <w:trHeight w:val="20"/>
        </w:trPr>
        <w:tc>
          <w:tcPr>
            <w:tcW w:w="4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left="340"/>
        <w:spacing w:after="0" w:line="249" w:lineRule="auto"/>
        <w:rPr>
          <w:sz w:val="20"/>
          <w:szCs w:val="20"/>
          <w:color w:val="auto"/>
        </w:rPr>
      </w:pPr>
      <w:r>
        <w:rPr>
          <w:rFonts w:ascii="Arial" w:cs="Arial" w:eastAsia="Arial" w:hAnsi="Arial"/>
          <w:sz w:val="16"/>
          <w:szCs w:val="16"/>
          <w:color w:val="auto"/>
        </w:rPr>
        <w:t>If we terminate the Management Agreement, we will generally be required to pay the Manager a termination fee. The termination fee is equal to the amount of the management fee during the 12 months immediately preceding the date of the termination. In addition, an Incentive Allocation Fair Value Amount will be distributable to the Master GP if the Master GP is removed due to the termination of the Management Agreement in certain specified circumstances. The Incentive Allocation Fair Value Amount is an amount equal to the Income Incentive Allocation and the Capital Gains Incentive Allocation that would be paid to the Master GP if our assets were sold for cash at their then current fair market value (as determined by an appraisal, taking into account, among other things, the expected future value of the underlying investments).</w:t>
      </w:r>
    </w:p>
    <w:p>
      <w:pPr>
        <w:spacing w:after="0" w:line="151"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Upon the successful completion of a post-IPO offering of our common shares or other equity securities (including securities issued as consideration in an acquisition), we will grant the Manager options to purchase common shares in an amount equal to 10% of the number of common shares being sold in the offering (or if the issuance relates to equity securities other than our common shares, options to purchase a number of common shares equal to 10% of the gross capital raised in the equity issuance divided by the fair market value of a common share as of the date of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Any ultimate purchaser of common shares for which such options are granted may be an affiliate of Fortress. The Manager was granted 700,000 options as part of the equity offering in the first quarter of 2018 as discussed in Note 15.</w:t>
      </w:r>
    </w:p>
    <w:p>
      <w:pPr>
        <w:spacing w:after="0" w:line="154" w:lineRule="exact"/>
        <w:rPr>
          <w:sz w:val="20"/>
          <w:szCs w:val="20"/>
          <w:color w:val="auto"/>
        </w:rPr>
      </w:pPr>
    </w:p>
    <w:p>
      <w:pPr>
        <w:jc w:val="both"/>
        <w:ind w:left="340" w:right="20"/>
        <w:spacing w:after="0" w:line="260" w:lineRule="auto"/>
        <w:rPr>
          <w:sz w:val="20"/>
          <w:szCs w:val="20"/>
          <w:color w:val="auto"/>
        </w:rPr>
      </w:pPr>
      <w:r>
        <w:rPr>
          <w:rFonts w:ascii="Arial" w:cs="Arial" w:eastAsia="Arial" w:hAnsi="Arial"/>
          <w:sz w:val="16"/>
          <w:szCs w:val="16"/>
          <w:color w:val="auto"/>
        </w:rPr>
        <w:t>The following table summarizes amounts due to the Manager, which are included within accounts payable and accrued liabilities in the Consolidated Balance Sheets:</w:t>
      </w:r>
    </w:p>
    <w:p>
      <w:pPr>
        <w:spacing w:after="0" w:line="343"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2018</w:t>
            </w:r>
          </w:p>
        </w:tc>
        <w:tc>
          <w:tcPr>
            <w:tcW w:w="260" w:type="dxa"/>
            <w:vAlign w:val="bottom"/>
          </w:tcPr>
          <w:p>
            <w:pPr>
              <w:spacing w:after="0"/>
              <w:rPr>
                <w:sz w:val="17"/>
                <w:szCs w:val="17"/>
                <w:color w:val="auto"/>
              </w:rPr>
            </w:pPr>
          </w:p>
        </w:tc>
        <w:tc>
          <w:tcPr>
            <w:tcW w:w="1860" w:type="dxa"/>
            <w:vAlign w:val="bottom"/>
          </w:tcPr>
          <w:p>
            <w:pPr>
              <w:jc w:val="right"/>
              <w:ind w:right="328"/>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management fees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1,246</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1,228</w:t>
            </w:r>
          </w:p>
        </w:tc>
      </w:tr>
      <w:tr>
        <w:trPr>
          <w:trHeight w:val="258"/>
        </w:trPr>
        <w:tc>
          <w:tcPr>
            <w:tcW w:w="6320" w:type="dxa"/>
            <w:vAlign w:val="bottom"/>
          </w:tcPr>
          <w:p>
            <w:pPr>
              <w:ind w:left="20"/>
              <w:spacing w:after="0"/>
              <w:rPr>
                <w:sz w:val="20"/>
                <w:szCs w:val="20"/>
                <w:color w:val="auto"/>
              </w:rPr>
            </w:pPr>
            <w:r>
              <w:rPr>
                <w:rFonts w:ascii="Arial" w:cs="Arial" w:eastAsia="Arial" w:hAnsi="Arial"/>
                <w:sz w:val="14"/>
                <w:szCs w:val="14"/>
                <w:color w:val="auto"/>
              </w:rPr>
              <w:t>Other payables</w:t>
            </w:r>
          </w:p>
        </w:tc>
        <w:tc>
          <w:tcPr>
            <w:tcW w:w="240" w:type="dxa"/>
            <w:vAlign w:val="bottom"/>
          </w:tcPr>
          <w:p>
            <w:pPr>
              <w:spacing w:after="0"/>
              <w:rPr>
                <w:sz w:val="22"/>
                <w:szCs w:val="22"/>
                <w:color w:val="auto"/>
              </w:rPr>
            </w:pPr>
          </w:p>
        </w:tc>
        <w:tc>
          <w:tcPr>
            <w:tcW w:w="1900" w:type="dxa"/>
            <w:vAlign w:val="bottom"/>
          </w:tcPr>
          <w:p>
            <w:pPr>
              <w:jc w:val="right"/>
              <w:ind w:right="28"/>
              <w:spacing w:after="0"/>
              <w:rPr>
                <w:sz w:val="20"/>
                <w:szCs w:val="20"/>
                <w:color w:val="auto"/>
              </w:rPr>
            </w:pPr>
            <w:r>
              <w:rPr>
                <w:rFonts w:ascii="Arial" w:cs="Arial" w:eastAsia="Arial" w:hAnsi="Arial"/>
                <w:sz w:val="14"/>
                <w:szCs w:val="14"/>
                <w:b w:val="1"/>
                <w:bCs w:val="1"/>
                <w:color w:val="auto"/>
              </w:rPr>
              <w:t>1,281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60" w:type="dxa"/>
            <w:vAlign w:val="bottom"/>
          </w:tcPr>
          <w:p>
            <w:pPr>
              <w:jc w:val="right"/>
              <w:ind w:right="8"/>
              <w:spacing w:after="0"/>
              <w:rPr>
                <w:sz w:val="20"/>
                <w:szCs w:val="20"/>
                <w:color w:val="auto"/>
              </w:rPr>
            </w:pPr>
            <w:r>
              <w:rPr>
                <w:rFonts w:ascii="Arial" w:cs="Arial" w:eastAsia="Arial" w:hAnsi="Arial"/>
                <w:sz w:val="14"/>
                <w:szCs w:val="14"/>
                <w:color w:val="auto"/>
              </w:rPr>
              <w:t>2,073</w:t>
            </w:r>
          </w:p>
        </w:tc>
      </w:tr>
    </w:tbl>
    <w:p>
      <w:pPr>
        <w:spacing w:after="0" w:line="1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30, 2018 and December 31, 2017, there were no receivables from the Manager.</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Other Affiliate Transactions</w:t>
      </w:r>
    </w:p>
    <w:p>
      <w:pPr>
        <w:spacing w:after="0" w:line="183"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As of September 30, 2018 and December 31, 2017 an affiliate of our Manager owns an approximately 20% interest in Jefferson Terminal which has been accounted for as a component of non-controlling interest in consolidated subsidiaries in the accompanying consolidated financial statements. The carrying amount of this non-controlling interest at September 30, 2018 and December 31, 2017 was $52,804 and $66,242, respectively.</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amount of this non-controlling interest share of net loss: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4380" w:type="dxa"/>
            <w:vAlign w:val="bottom"/>
          </w:tcPr>
          <w:p>
            <w:pPr>
              <w:spacing w:after="0"/>
              <w:rPr>
                <w:sz w:val="17"/>
                <w:szCs w:val="17"/>
                <w:color w:val="auto"/>
              </w:rPr>
            </w:pPr>
          </w:p>
        </w:tc>
        <w:tc>
          <w:tcPr>
            <w:tcW w:w="322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284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380" w:type="dxa"/>
            <w:vAlign w:val="bottom"/>
            <w:tcBorders>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25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 share of net loss</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3,758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11,771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5,646</w:t>
            </w: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In connection with the Capital Call Agreement related to the Series 2016 Bonds discussed in Note 8, we, and an affiliate of our Manager, entered into a Fee and Support Agreement. The Fee and Support Agreement provides that the affiliate of the Manager is compensated for its guarantee of a portion of the obligations under the Standby Bond Purchase Agreement. This affiliate of the Manager received fees of $1,740, which are amortized as interest expense to the earlier of the redemption date or February 13, 2020.</w:t>
      </w:r>
    </w:p>
    <w:p>
      <w:pPr>
        <w:spacing w:after="0" w:line="149"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On June 21, 2018, we, through a wholly owned subsidiary, completed a private offering with several third parties (the “Holders”) to tender their approximately 20% stake in Jefferson Terminal. We increased our majority interest in Jefferson Terminal in exchange for Class B Units of another wholly owned subsidiary, which provide the right to convert such Class B Units to a fixed amount of our shares, equivalent to approximately 1.9 million shares, at a Holder’s request. We have the option to satisfy any exchange request by delivering either common shares or cash. The Holders are entitled to receive distributions equivalent to the distributions paid to our shareholders. This transaction resulted in a purchase of non-controlling interest shares.</w:t>
      </w:r>
    </w:p>
    <w:p>
      <w:pPr>
        <w:spacing w:after="0" w:line="149"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In the second quarter of 2018, we purchased all shares held by the non-controlling interest holder in our Aviation Leasing segment for a purchase price of $3,700.</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14. SEGMENT INFORMATION</w:t>
      </w:r>
    </w:p>
    <w:p>
      <w:pPr>
        <w:spacing w:after="0" w:line="133"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Our reportable segments represent strategic business units comprised of investments in different types of transportation and infrastructure assets. We have six reportable segments which operate in the Equipment Leasing and Infrastructure businesses across several market sectors. Our reportable segments are (i) Aviation Leasing, (ii) Offshore Energy, (iii) Shipping Containers, (iv) Jefferson Terminal, (v) Railroad, and (vi) Ports and Terminals. Aviation Leasing consists of aircraft and aircraft engines held for lease and are typically held long-term. Offshore Energy consists of vessels and equipment that support offshore oil and gas drilling and production which are typically subject to long-term operating leases. Shipping Containers consists of an investment in an unconsolidated entity engaged in the acquisition and leasing of shipping containers (on both an operating lease and finance lease basis). Jefferson Terminal consists of a multi-modal crude oil and refined products terminal and other related assets. Railroad consists of our CMQR railroad operations. Ports and Terminals consists of Repauno, which is a 1,630 acre deep-water port located along the Delaware river with an underground storage cavern and multiple industrial development opportunities, and Long Ridge, which is a 1,660 acre multi-modal port located along the Ohio River with rail, dock, and multiple industrial development opportunities.</w:t>
      </w:r>
    </w:p>
    <w:p>
      <w:pPr>
        <w:spacing w:after="0" w:line="98"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Corporate consists primarily of unallocated company level general and administrative expenses, and management fees. The accounting policies of the segments are the same as those described in the summary of significant accounting policies; however, financial information presented by segment includes the impact of intercompany eliminations. We evaluate investment performance for each reportable segment primarily based on net income attributable to shareholders and Adjusted Net Income.</w:t>
      </w:r>
    </w:p>
    <w:p>
      <w:pPr>
        <w:spacing w:after="0" w:line="95"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Adjusted Net Income is defined as net income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and equity in earnings (losses) of unconsolidated entities; (b) to include the impact of cash income tax payments, our pro-rata share of the Adjusted Net Income from unconsolidated entities (collectively “Adjusted Net Income”), and (c) to exclude the impact of the non-controlling share of Adjusted Net Income.</w:t>
      </w:r>
    </w:p>
    <w:p>
      <w:pPr>
        <w:spacing w:after="0" w:line="95"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We believe that net income attributable to shareholders, as defined by GAAP, is the most appropriate earnings measurement with which to reconcile Adjusted Net Income. Adjusted Net Income should not be considered as an alternative to net income attributable to shareholders as determined in accordance with GAAP.</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ind w:right="34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set forth certain information for each reportable segment:</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I. For the Three Months Ended September 30, 2018</w:t>
      </w:r>
    </w:p>
    <w:p>
      <w:pPr>
        <w:spacing w:after="0" w:line="38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0" w:type="dxa"/>
            <w:vAlign w:val="bottom"/>
            <w:tcBorders>
              <w:bottom w:val="single" w:sz="8" w:color="auto"/>
            </w:tcBorders>
            <w:gridSpan w:val="11"/>
          </w:tcPr>
          <w:p>
            <w:pPr>
              <w:ind w:left="540"/>
              <w:spacing w:after="0"/>
              <w:rPr>
                <w:sz w:val="20"/>
                <w:szCs w:val="20"/>
                <w:color w:val="auto"/>
              </w:rPr>
            </w:pPr>
            <w:r>
              <w:rPr>
                <w:rFonts w:ascii="Arial" w:cs="Arial" w:eastAsia="Arial" w:hAnsi="Arial"/>
                <w:sz w:val="14"/>
                <w:szCs w:val="14"/>
                <w:b w:val="1"/>
                <w:bCs w:val="1"/>
                <w:color w:val="auto"/>
              </w:rPr>
              <w:t>Three Months Ended September 30, 2018</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Energy</w:t>
            </w: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Terminal</w:t>
            </w:r>
          </w:p>
        </w:tc>
        <w:tc>
          <w:tcPr>
            <w:tcW w:w="14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Railroad</w:t>
            </w:r>
          </w:p>
        </w:tc>
        <w:tc>
          <w:tcPr>
            <w:tcW w:w="12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7"/>
                <w:szCs w:val="17"/>
                <w:color w:val="auto"/>
              </w:rPr>
            </w:pPr>
          </w:p>
        </w:tc>
        <w:tc>
          <w:tcPr>
            <w:tcW w:w="740" w:type="dxa"/>
            <w:vAlign w:val="bottom"/>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69,791</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1,099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70,890</w:t>
            </w:r>
          </w:p>
        </w:tc>
        <w:tc>
          <w:tcPr>
            <w:tcW w:w="0" w:type="dxa"/>
            <w:vAlign w:val="bottom"/>
          </w:tcPr>
          <w:p>
            <w:pPr>
              <w:spacing w:after="0"/>
              <w:rPr>
                <w:sz w:val="1"/>
                <w:szCs w:val="1"/>
                <w:color w:val="auto"/>
              </w:rPr>
            </w:pPr>
          </w:p>
        </w:tc>
      </w:tr>
      <w:tr>
        <w:trPr>
          <w:trHeight w:val="27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17,836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8,907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3,522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30,265</w:t>
            </w:r>
          </w:p>
        </w:tc>
        <w:tc>
          <w:tcPr>
            <w:tcW w:w="0" w:type="dxa"/>
            <w:vAlign w:val="bottom"/>
          </w:tcPr>
          <w:p>
            <w:pPr>
              <w:spacing w:after="0"/>
              <w:rPr>
                <w:sz w:val="1"/>
                <w:szCs w:val="1"/>
                <w:color w:val="auto"/>
              </w:rPr>
            </w:pPr>
          </w:p>
        </w:tc>
      </w:tr>
      <w:tr>
        <w:trPr>
          <w:trHeight w:val="250"/>
        </w:trPr>
        <w:tc>
          <w:tcPr>
            <w:tcW w:w="214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69,791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1,099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17,836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8,907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3,522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101,155</w:t>
            </w:r>
          </w:p>
        </w:tc>
        <w:tc>
          <w:tcPr>
            <w:tcW w:w="0" w:type="dxa"/>
            <w:vAlign w:val="bottom"/>
          </w:tcPr>
          <w:p>
            <w:pPr>
              <w:spacing w:after="0"/>
              <w:rPr>
                <w:sz w:val="1"/>
                <w:szCs w:val="1"/>
                <w:color w:val="auto"/>
              </w:rPr>
            </w:pPr>
          </w:p>
        </w:tc>
      </w:tr>
      <w:tr>
        <w:trPr>
          <w:trHeight w:val="324"/>
        </w:trPr>
        <w:tc>
          <w:tcPr>
            <w:tcW w:w="214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3,751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23,893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8,274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3,634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41,667</w:t>
            </w:r>
          </w:p>
        </w:tc>
        <w:tc>
          <w:tcPr>
            <w:tcW w:w="0" w:type="dxa"/>
            <w:vAlign w:val="bottom"/>
          </w:tcPr>
          <w:p>
            <w:pPr>
              <w:spacing w:after="0"/>
              <w:rPr>
                <w:sz w:val="1"/>
                <w:szCs w:val="1"/>
                <w:color w:val="auto"/>
              </w:rPr>
            </w:pP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4,012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4,012</w:t>
            </w:r>
          </w:p>
        </w:tc>
        <w:tc>
          <w:tcPr>
            <w:tcW w:w="0" w:type="dxa"/>
            <w:vAlign w:val="bottom"/>
          </w:tcPr>
          <w:p>
            <w:pPr>
              <w:spacing w:after="0"/>
              <w:rPr>
                <w:sz w:val="1"/>
                <w:szCs w:val="1"/>
                <w:color w:val="auto"/>
              </w:rPr>
            </w:pPr>
          </w:p>
        </w:tc>
      </w:tr>
      <w:tr>
        <w:trPr>
          <w:trHeight w:val="20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w:t>
            </w:r>
          </w:p>
        </w:tc>
        <w:tc>
          <w:tcPr>
            <w:tcW w:w="1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1,460</w:t>
            </w:r>
          </w:p>
        </w:tc>
        <w:tc>
          <w:tcPr>
            <w:tcW w:w="0" w:type="dxa"/>
            <w:vAlign w:val="bottom"/>
          </w:tcPr>
          <w:p>
            <w:pPr>
              <w:spacing w:after="0"/>
              <w:rPr>
                <w:sz w:val="1"/>
                <w:szCs w:val="1"/>
                <w:color w:val="auto"/>
              </w:rPr>
            </w:pPr>
          </w:p>
        </w:tc>
      </w:tr>
      <w:tr>
        <w:trPr>
          <w:trHeight w:val="184"/>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w:t>
            </w: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40" w:type="dxa"/>
            <w:vAlign w:val="bottom"/>
          </w:tcPr>
          <w:p>
            <w:pPr>
              <w:ind w:left="20"/>
              <w:spacing w:after="0"/>
              <w:rPr>
                <w:sz w:val="20"/>
                <w:szCs w:val="20"/>
                <w:color w:val="auto"/>
              </w:rPr>
            </w:pPr>
            <w:r>
              <w:rPr>
                <w:rFonts w:ascii="Arial" w:cs="Arial" w:eastAsia="Arial" w:hAnsi="Arial"/>
                <w:sz w:val="14"/>
                <w:szCs w:val="14"/>
                <w:color w:val="auto"/>
              </w:rPr>
              <w:t>Management fees and incentive</w:t>
            </w:r>
          </w:p>
        </w:tc>
        <w:tc>
          <w:tcPr>
            <w:tcW w:w="16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3,846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3,846</w:t>
            </w:r>
          </w:p>
        </w:tc>
        <w:tc>
          <w:tcPr>
            <w:tcW w:w="0" w:type="dxa"/>
            <w:vAlign w:val="bottom"/>
          </w:tcPr>
          <w:p>
            <w:pPr>
              <w:spacing w:after="0"/>
              <w:rPr>
                <w:sz w:val="1"/>
                <w:szCs w:val="1"/>
                <w:color w:val="auto"/>
              </w:rPr>
            </w:pPr>
          </w:p>
        </w:tc>
      </w:tr>
      <w:tr>
        <w:trPr>
          <w:trHeight w:val="178"/>
        </w:trPr>
        <w:tc>
          <w:tcPr>
            <w:tcW w:w="2140" w:type="dxa"/>
            <w:vAlign w:val="bottom"/>
          </w:tcPr>
          <w:p>
            <w:pPr>
              <w:ind w:left="20"/>
              <w:spacing w:after="0"/>
              <w:rPr>
                <w:sz w:val="20"/>
                <w:szCs w:val="20"/>
                <w:color w:val="auto"/>
              </w:rPr>
            </w:pPr>
            <w:r>
              <w:rPr>
                <w:rFonts w:ascii="Arial" w:cs="Arial" w:eastAsia="Arial" w:hAnsi="Arial"/>
                <w:sz w:val="14"/>
                <w:szCs w:val="14"/>
                <w:color w:val="auto"/>
              </w:rPr>
              <w:t>allocation to affiliate</w:t>
            </w: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26,343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1,627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4,999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34,422</w:t>
            </w:r>
          </w:p>
        </w:tc>
        <w:tc>
          <w:tcPr>
            <w:tcW w:w="0" w:type="dxa"/>
            <w:vAlign w:val="bottom"/>
          </w:tcPr>
          <w:p>
            <w:pPr>
              <w:spacing w:after="0"/>
              <w:rPr>
                <w:sz w:val="1"/>
                <w:szCs w:val="1"/>
                <w:color w:val="auto"/>
              </w:rPr>
            </w:pPr>
          </w:p>
        </w:tc>
      </w:tr>
      <w:tr>
        <w:trPr>
          <w:trHeight w:val="264"/>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959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4,257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233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9,693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15,142</w:t>
            </w:r>
          </w:p>
        </w:tc>
        <w:tc>
          <w:tcPr>
            <w:tcW w:w="0" w:type="dxa"/>
            <w:vAlign w:val="bottom"/>
          </w:tcPr>
          <w:p>
            <w:pPr>
              <w:spacing w:after="0"/>
              <w:rPr>
                <w:sz w:val="1"/>
                <w:szCs w:val="1"/>
                <w:color w:val="auto"/>
              </w:rPr>
            </w:pPr>
          </w:p>
        </w:tc>
      </w:tr>
      <w:tr>
        <w:trPr>
          <w:trHeight w:val="25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28,543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6,337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33,149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9,120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4,474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18,926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100,549</w:t>
            </w:r>
          </w:p>
        </w:tc>
        <w:tc>
          <w:tcPr>
            <w:tcW w:w="0" w:type="dxa"/>
            <w:vAlign w:val="bottom"/>
          </w:tcPr>
          <w:p>
            <w:pPr>
              <w:spacing w:after="0"/>
              <w:rPr>
                <w:sz w:val="1"/>
                <w:szCs w:val="1"/>
                <w:color w:val="auto"/>
              </w:rPr>
            </w:pPr>
          </w:p>
        </w:tc>
      </w:tr>
      <w:tr>
        <w:trPr>
          <w:trHeight w:val="324"/>
        </w:trPr>
        <w:tc>
          <w:tcPr>
            <w:tcW w:w="2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140" w:type="dxa"/>
            <w:vAlign w:val="bottom"/>
          </w:tcPr>
          <w:p>
            <w:pPr>
              <w:ind w:left="20"/>
              <w:spacing w:after="0"/>
              <w:rPr>
                <w:sz w:val="20"/>
                <w:szCs w:val="20"/>
                <w:color w:val="auto"/>
              </w:rPr>
            </w:pPr>
            <w:r>
              <w:rPr>
                <w:rFonts w:ascii="Arial" w:cs="Arial" w:eastAsia="Arial" w:hAnsi="Arial"/>
                <w:sz w:val="14"/>
                <w:szCs w:val="14"/>
                <w:color w:val="auto"/>
              </w:rPr>
              <w:t>Equity in (losses) earnings of</w:t>
            </w:r>
          </w:p>
        </w:tc>
        <w:tc>
          <w:tcPr>
            <w:tcW w:w="16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(442)</w:t>
            </w:r>
          </w:p>
        </w:tc>
        <w:tc>
          <w:tcPr>
            <w:tcW w:w="0" w:type="dxa"/>
            <w:vAlign w:val="bottom"/>
          </w:tcPr>
          <w:p>
            <w:pPr>
              <w:spacing w:after="0"/>
              <w:rPr>
                <w:sz w:val="1"/>
                <w:szCs w:val="1"/>
                <w:color w:val="auto"/>
              </w:rPr>
            </w:pPr>
          </w:p>
        </w:tc>
      </w:tr>
      <w:tr>
        <w:trPr>
          <w:trHeight w:val="178"/>
        </w:trPr>
        <w:tc>
          <w:tcPr>
            <w:tcW w:w="214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equipment, net</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262</w:t>
            </w:r>
          </w:p>
        </w:tc>
        <w:tc>
          <w:tcPr>
            <w:tcW w:w="0" w:type="dxa"/>
            <w:vAlign w:val="bottom"/>
          </w:tcPr>
          <w:p>
            <w:pPr>
              <w:spacing w:after="0"/>
              <w:rPr>
                <w:sz w:val="1"/>
                <w:szCs w:val="1"/>
                <w:color w:val="auto"/>
              </w:rPr>
            </w:pP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111</w:t>
            </w:r>
          </w:p>
        </w:tc>
        <w:tc>
          <w:tcPr>
            <w:tcW w:w="0" w:type="dxa"/>
            <w:vAlign w:val="bottom"/>
          </w:tcPr>
          <w:p>
            <w:pPr>
              <w:spacing w:after="0"/>
              <w:rPr>
                <w:sz w:val="1"/>
                <w:szCs w:val="1"/>
                <w:color w:val="auto"/>
              </w:rPr>
            </w:pPr>
          </w:p>
        </w:tc>
      </w:tr>
      <w:tr>
        <w:trPr>
          <w:trHeight w:val="27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737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737</w:t>
            </w:r>
          </w:p>
        </w:tc>
        <w:tc>
          <w:tcPr>
            <w:tcW w:w="0" w:type="dxa"/>
            <w:vAlign w:val="bottom"/>
          </w:tcPr>
          <w:p>
            <w:pPr>
              <w:spacing w:after="0"/>
              <w:rPr>
                <w:sz w:val="1"/>
                <w:szCs w:val="1"/>
                <w:color w:val="auto"/>
              </w:rPr>
            </w:pPr>
          </w:p>
        </w:tc>
      </w:tr>
      <w:tr>
        <w:trPr>
          <w:trHeight w:val="250"/>
        </w:trPr>
        <w:tc>
          <w:tcPr>
            <w:tcW w:w="2140" w:type="dxa"/>
            <w:vAlign w:val="bottom"/>
          </w:tcPr>
          <w:p>
            <w:pPr>
              <w:ind w:left="20"/>
              <w:spacing w:after="0"/>
              <w:rPr>
                <w:sz w:val="20"/>
                <w:szCs w:val="20"/>
                <w:color w:val="auto"/>
              </w:rPr>
            </w:pPr>
            <w:r>
              <w:rPr>
                <w:rFonts w:ascii="Arial" w:cs="Arial" w:eastAsia="Arial" w:hAnsi="Arial"/>
                <w:sz w:val="14"/>
                <w:szCs w:val="14"/>
                <w:b w:val="1"/>
                <w:bCs w:val="1"/>
                <w:color w:val="auto"/>
              </w:rPr>
              <w:t>Total other income</w:t>
            </w:r>
          </w:p>
        </w:tc>
        <w:tc>
          <w:tcPr>
            <w:tcW w:w="16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113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468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668</w:t>
            </w:r>
          </w:p>
        </w:tc>
        <w:tc>
          <w:tcPr>
            <w:tcW w:w="0" w:type="dxa"/>
            <w:vAlign w:val="bottom"/>
          </w:tcPr>
          <w:p>
            <w:pPr>
              <w:spacing w:after="0"/>
              <w:rPr>
                <w:sz w:val="1"/>
                <w:szCs w:val="1"/>
                <w:color w:val="auto"/>
              </w:rPr>
            </w:pPr>
          </w:p>
        </w:tc>
      </w:tr>
      <w:tr>
        <w:trPr>
          <w:trHeight w:val="162"/>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w:t>
            </w: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taxes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41,284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(5,234)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(14,845)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(18,926)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1,274</w:t>
            </w:r>
          </w:p>
        </w:tc>
        <w:tc>
          <w:tcPr>
            <w:tcW w:w="0" w:type="dxa"/>
            <w:vAlign w:val="bottom"/>
          </w:tcPr>
          <w:p>
            <w:pPr>
              <w:spacing w:after="0"/>
              <w:rPr>
                <w:sz w:val="1"/>
                <w:szCs w:val="1"/>
                <w:color w:val="auto"/>
              </w:rPr>
            </w:pPr>
          </w:p>
        </w:tc>
      </w:tr>
      <w:tr>
        <w:trPr>
          <w:trHeight w:val="194"/>
        </w:trPr>
        <w:tc>
          <w:tcPr>
            <w:tcW w:w="2140" w:type="dxa"/>
            <w:vAlign w:val="bottom"/>
          </w:tcPr>
          <w:p>
            <w:pPr>
              <w:ind w:left="20"/>
              <w:spacing w:after="0"/>
              <w:rPr>
                <w:sz w:val="20"/>
                <w:szCs w:val="20"/>
                <w:color w:val="auto"/>
              </w:rPr>
            </w:pPr>
            <w:r>
              <w:rPr>
                <w:rFonts w:ascii="Arial" w:cs="Arial" w:eastAsia="Arial" w:hAnsi="Arial"/>
                <w:sz w:val="14"/>
                <w:szCs w:val="14"/>
                <w:color w:val="auto"/>
              </w:rPr>
              <w:t>Provision for (benefit from)</w:t>
            </w:r>
          </w:p>
        </w:tc>
        <w:tc>
          <w:tcPr>
            <w:tcW w:w="16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540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551</w:t>
            </w:r>
          </w:p>
        </w:tc>
        <w:tc>
          <w:tcPr>
            <w:tcW w:w="0" w:type="dxa"/>
            <w:vAlign w:val="bottom"/>
          </w:tcPr>
          <w:p>
            <w:pPr>
              <w:spacing w:after="0"/>
              <w:rPr>
                <w:sz w:val="1"/>
                <w:szCs w:val="1"/>
                <w:color w:val="auto"/>
              </w:rPr>
            </w:pPr>
          </w:p>
        </w:tc>
      </w:tr>
      <w:tr>
        <w:trPr>
          <w:trHeight w:val="178"/>
        </w:trPr>
        <w:tc>
          <w:tcPr>
            <w:tcW w:w="214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40,744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(5,238)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(14,856)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(952)</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(18,926)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723</w:t>
            </w:r>
          </w:p>
        </w:tc>
        <w:tc>
          <w:tcPr>
            <w:tcW w:w="0" w:type="dxa"/>
            <w:vAlign w:val="bottom"/>
          </w:tcPr>
          <w:p>
            <w:pPr>
              <w:spacing w:after="0"/>
              <w:rPr>
                <w:sz w:val="1"/>
                <w:szCs w:val="1"/>
                <w:color w:val="auto"/>
              </w:rPr>
            </w:pPr>
          </w:p>
        </w:tc>
      </w:tr>
      <w:tr>
        <w:trPr>
          <w:trHeight w:val="174"/>
        </w:trPr>
        <w:tc>
          <w:tcPr>
            <w:tcW w:w="2140" w:type="dxa"/>
            <w:vAlign w:val="bottom"/>
          </w:tcPr>
          <w:p>
            <w:pPr>
              <w:ind w:left="20"/>
              <w:spacing w:after="0"/>
              <w:rPr>
                <w:sz w:val="20"/>
                <w:szCs w:val="20"/>
                <w:color w:val="auto"/>
              </w:rPr>
            </w:pPr>
            <w:r>
              <w:rPr>
                <w:rFonts w:ascii="Arial" w:cs="Arial" w:eastAsia="Arial" w:hAnsi="Arial"/>
                <w:sz w:val="14"/>
                <w:szCs w:val="14"/>
                <w:color w:val="auto"/>
              </w:rPr>
              <w:t>Less: Net loss attributable to</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40" w:type="dxa"/>
            <w:vAlign w:val="bottom"/>
          </w:tcPr>
          <w:p>
            <w:pPr>
              <w:ind w:left="20"/>
              <w:spacing w:after="0"/>
              <w:rPr>
                <w:sz w:val="20"/>
                <w:szCs w:val="20"/>
                <w:color w:val="auto"/>
              </w:rPr>
            </w:pPr>
            <w:r>
              <w:rPr>
                <w:rFonts w:ascii="Arial" w:cs="Arial" w:eastAsia="Arial" w:hAnsi="Arial"/>
                <w:sz w:val="14"/>
                <w:szCs w:val="14"/>
                <w:color w:val="auto"/>
              </w:rPr>
              <w:t>non-controlling interests in</w:t>
            </w:r>
          </w:p>
        </w:tc>
        <w:tc>
          <w:tcPr>
            <w:tcW w:w="160" w:type="dxa"/>
            <w:vAlign w:val="bottom"/>
          </w:tcPr>
          <w:p>
            <w:pPr>
              <w:spacing w:after="0"/>
              <w:rPr>
                <w:sz w:val="14"/>
                <w:szCs w:val="14"/>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(3,759)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(3,855)</w:t>
            </w:r>
          </w:p>
        </w:tc>
        <w:tc>
          <w:tcPr>
            <w:tcW w:w="0" w:type="dxa"/>
            <w:vAlign w:val="bottom"/>
          </w:tcPr>
          <w:p>
            <w:pPr>
              <w:spacing w:after="0"/>
              <w:rPr>
                <w:sz w:val="1"/>
                <w:szCs w:val="1"/>
                <w:color w:val="auto"/>
              </w:rPr>
            </w:pPr>
          </w:p>
        </w:tc>
      </w:tr>
      <w:tr>
        <w:trPr>
          <w:trHeight w:val="178"/>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consolidated subsidiaries</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40,744</w:t>
            </w:r>
          </w:p>
        </w:tc>
        <w:tc>
          <w:tcPr>
            <w:tcW w:w="2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(5,238)</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117</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(11,097)</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(140)</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(882)</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(18,926)</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4,578</w:t>
            </w:r>
          </w:p>
        </w:tc>
        <w:tc>
          <w:tcPr>
            <w:tcW w:w="0" w:type="dxa"/>
            <w:vAlign w:val="bottom"/>
          </w:tcPr>
          <w:p>
            <w:pPr>
              <w:spacing w:after="0"/>
              <w:rPr>
                <w:sz w:val="1"/>
                <w:szCs w:val="1"/>
                <w:color w:val="auto"/>
              </w:rPr>
            </w:pPr>
          </w:p>
        </w:tc>
      </w:tr>
      <w:tr>
        <w:trPr>
          <w:trHeight w:val="189"/>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 shareholders</w:t>
            </w:r>
          </w:p>
        </w:tc>
        <w:tc>
          <w:tcPr>
            <w:tcW w:w="16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020"/>
          </w:cols>
          <w:pgMar w:left="240" w:top="121" w:right="639" w:bottom="1440" w:gutter="0" w:footer="0" w:header="0"/>
        </w:sectPr>
      </w:pPr>
    </w:p>
    <w:bookmarkStart w:id="32" w:name="page33"/>
    <w:bookmarkEnd w:id="32"/>
    <w:p>
      <w:pPr>
        <w:ind w:right="34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a reconciliation of Adjusted Net Income (Loss) to net income attributable to shareholders: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0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200" w:type="dxa"/>
            <w:vAlign w:val="bottom"/>
            <w:tcBorders>
              <w:bottom w:val="single" w:sz="8" w:color="auto"/>
            </w:tcBorders>
            <w:gridSpan w:val="11"/>
          </w:tcPr>
          <w:p>
            <w:pPr>
              <w:ind w:left="580"/>
              <w:spacing w:after="0"/>
              <w:rPr>
                <w:sz w:val="20"/>
                <w:szCs w:val="20"/>
                <w:color w:val="auto"/>
              </w:rPr>
            </w:pPr>
            <w:r>
              <w:rPr>
                <w:rFonts w:ascii="Arial" w:cs="Arial" w:eastAsia="Arial" w:hAnsi="Arial"/>
                <w:sz w:val="14"/>
                <w:szCs w:val="14"/>
                <w:b w:val="1"/>
                <w:bCs w:val="1"/>
                <w:color w:val="auto"/>
              </w:rPr>
              <w:t>Three Months Ended September 30, 2018</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Shipping</w:t>
            </w: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Ports and</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Leasing</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Energy</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Containers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9"/>
              </w:rPr>
              <w:t>Terminal</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Railroad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Terminals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40,930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(5,234)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ind w:left="600"/>
              <w:spacing w:after="0"/>
              <w:rPr>
                <w:sz w:val="20"/>
                <w:szCs w:val="20"/>
                <w:color w:val="auto"/>
              </w:rPr>
            </w:pPr>
            <w:r>
              <w:rPr>
                <w:rFonts w:ascii="Arial" w:cs="Arial" w:eastAsia="Arial" w:hAnsi="Arial"/>
                <w:sz w:val="14"/>
                <w:szCs w:val="14"/>
                <w:b w:val="1"/>
                <w:bCs w:val="1"/>
                <w:color w:val="auto"/>
              </w:rPr>
              <w:t>118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(10,857)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(785)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(17,571)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6,505</w:t>
            </w:r>
          </w:p>
        </w:tc>
        <w:tc>
          <w:tcPr>
            <w:tcW w:w="0" w:type="dxa"/>
            <w:vAlign w:val="bottom"/>
          </w:tcPr>
          <w:p>
            <w:pPr>
              <w:spacing w:after="0"/>
              <w:rPr>
                <w:sz w:val="1"/>
                <w:szCs w:val="1"/>
                <w:color w:val="auto"/>
              </w:rPr>
            </w:pPr>
          </w:p>
        </w:tc>
      </w:tr>
      <w:tr>
        <w:trPr>
          <w:trHeight w:val="174"/>
        </w:trPr>
        <w:tc>
          <w:tcPr>
            <w:tcW w:w="2040" w:type="dxa"/>
            <w:vAlign w:val="bottom"/>
          </w:tcPr>
          <w:p>
            <w:pPr>
              <w:ind w:left="20"/>
              <w:spacing w:after="0"/>
              <w:rPr>
                <w:sz w:val="20"/>
                <w:szCs w:val="20"/>
                <w:color w:val="auto"/>
              </w:rPr>
            </w:pPr>
            <w:r>
              <w:rPr>
                <w:rFonts w:ascii="Arial" w:cs="Arial" w:eastAsia="Arial" w:hAnsi="Arial"/>
                <w:sz w:val="14"/>
                <w:szCs w:val="14"/>
                <w:color w:val="auto"/>
              </w:rPr>
              <w:t>Add: Non-controlling share of</w:t>
            </w: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Arial" w:cs="Arial" w:eastAsia="Arial" w:hAnsi="Arial"/>
                <w:sz w:val="14"/>
                <w:szCs w:val="14"/>
                <w:color w:val="auto"/>
              </w:rPr>
              <w:t>adjustments to Adjusted Net</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241</w:t>
            </w:r>
          </w:p>
        </w:tc>
        <w:tc>
          <w:tcPr>
            <w:tcW w:w="0" w:type="dxa"/>
            <w:vAlign w:val="bottom"/>
          </w:tcPr>
          <w:p>
            <w:pPr>
              <w:spacing w:after="0"/>
              <w:rPr>
                <w:sz w:val="1"/>
                <w:szCs w:val="1"/>
                <w:color w:val="auto"/>
              </w:rPr>
            </w:pPr>
          </w:p>
        </w:tc>
      </w:tr>
      <w:tr>
        <w:trPr>
          <w:trHeight w:val="178"/>
        </w:trPr>
        <w:tc>
          <w:tcPr>
            <w:tcW w:w="2040" w:type="dxa"/>
            <w:vAlign w:val="bottom"/>
          </w:tcPr>
          <w:p>
            <w:pPr>
              <w:ind w:left="20"/>
              <w:spacing w:after="0"/>
              <w:rPr>
                <w:sz w:val="20"/>
                <w:szCs w:val="20"/>
                <w:color w:val="auto"/>
              </w:rPr>
            </w:pPr>
            <w:r>
              <w:rPr>
                <w:rFonts w:ascii="Arial" w:cs="Arial" w:eastAsia="Arial" w:hAnsi="Arial"/>
                <w:sz w:val="14"/>
                <w:szCs w:val="14"/>
                <w:color w:val="auto"/>
              </w:rPr>
              <w:t>Income</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(442)</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40" w:type="dxa"/>
            <w:vAlign w:val="bottom"/>
          </w:tcPr>
          <w:p>
            <w:pPr>
              <w:ind w:left="20"/>
              <w:spacing w:after="0"/>
              <w:rPr>
                <w:sz w:val="20"/>
                <w:szCs w:val="20"/>
                <w:color w:val="auto"/>
              </w:rPr>
            </w:pPr>
            <w:r>
              <w:rPr>
                <w:rFonts w:ascii="Arial" w:cs="Arial" w:eastAsia="Arial" w:hAnsi="Arial"/>
                <w:sz w:val="14"/>
                <w:szCs w:val="14"/>
                <w:color w:val="auto"/>
              </w:rPr>
              <w:t>Add: Cash payments for</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445</w:t>
            </w:r>
          </w:p>
        </w:tc>
        <w:tc>
          <w:tcPr>
            <w:tcW w:w="0" w:type="dxa"/>
            <w:vAlign w:val="bottom"/>
          </w:tcPr>
          <w:p>
            <w:pPr>
              <w:spacing w:after="0"/>
              <w:rPr>
                <w:sz w:val="1"/>
                <w:szCs w:val="1"/>
                <w:color w:val="auto"/>
              </w:rPr>
            </w:pPr>
          </w:p>
        </w:tc>
      </w:tr>
      <w:tr>
        <w:trPr>
          <w:trHeight w:val="178"/>
        </w:trPr>
        <w:tc>
          <w:tcPr>
            <w:tcW w:w="204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r>
        <w:trPr>
          <w:trHeight w:val="194"/>
        </w:trPr>
        <w:tc>
          <w:tcPr>
            <w:tcW w:w="2040" w:type="dxa"/>
            <w:vAlign w:val="bottom"/>
          </w:tcPr>
          <w:p>
            <w:pPr>
              <w:ind w:left="20"/>
              <w:spacing w:after="0"/>
              <w:rPr>
                <w:sz w:val="20"/>
                <w:szCs w:val="20"/>
                <w:color w:val="auto"/>
              </w:rPr>
            </w:pPr>
            <w:r>
              <w:rPr>
                <w:rFonts w:ascii="Arial" w:cs="Arial" w:eastAsia="Arial" w:hAnsi="Arial"/>
                <w:sz w:val="14"/>
                <w:szCs w:val="14"/>
                <w:color w:val="auto"/>
              </w:rPr>
              <w:t>Less: Pro-rata share of</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Arial" w:cs="Arial" w:eastAsia="Arial" w:hAnsi="Arial"/>
                <w:sz w:val="14"/>
                <w:szCs w:val="14"/>
                <w:color w:val="auto"/>
              </w:rPr>
              <w:t>Adjusted Net Income from</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Arial" w:cs="Arial" w:eastAsia="Arial" w:hAnsi="Arial"/>
                <w:sz w:val="14"/>
                <w:szCs w:val="14"/>
                <w:color w:val="auto"/>
              </w:rPr>
              <w:t>investments in unconsolidated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437</w:t>
            </w:r>
          </w:p>
        </w:tc>
        <w:tc>
          <w:tcPr>
            <w:tcW w:w="0" w:type="dxa"/>
            <w:vAlign w:val="bottom"/>
          </w:tcPr>
          <w:p>
            <w:pPr>
              <w:spacing w:after="0"/>
              <w:rPr>
                <w:sz w:val="1"/>
                <w:szCs w:val="1"/>
                <w:color w:val="auto"/>
              </w:rPr>
            </w:pPr>
          </w:p>
        </w:tc>
      </w:tr>
      <w:tr>
        <w:trPr>
          <w:trHeight w:val="178"/>
        </w:trPr>
        <w:tc>
          <w:tcPr>
            <w:tcW w:w="2040" w:type="dxa"/>
            <w:vAlign w:val="bottom"/>
          </w:tcPr>
          <w:p>
            <w:pPr>
              <w:ind w:left="20"/>
              <w:spacing w:after="0"/>
              <w:rPr>
                <w:sz w:val="20"/>
                <w:szCs w:val="20"/>
                <w:color w:val="auto"/>
              </w:rPr>
            </w:pPr>
            <w:r>
              <w:rPr>
                <w:rFonts w:ascii="Arial" w:cs="Arial" w:eastAsia="Arial" w:hAnsi="Arial"/>
                <w:sz w:val="14"/>
                <w:szCs w:val="14"/>
                <w:color w:val="auto"/>
              </w:rPr>
              <w:t>entities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Asset impairment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40" w:type="dxa"/>
            <w:vAlign w:val="bottom"/>
          </w:tcPr>
          <w:p>
            <w:pPr>
              <w:ind w:left="20"/>
              <w:spacing w:after="0"/>
              <w:rPr>
                <w:sz w:val="20"/>
                <w:szCs w:val="20"/>
                <w:color w:val="auto"/>
              </w:rPr>
            </w:pPr>
            <w:r>
              <w:rPr>
                <w:rFonts w:ascii="Arial" w:cs="Arial" w:eastAsia="Arial" w:hAnsi="Arial"/>
                <w:sz w:val="14"/>
                <w:szCs w:val="14"/>
                <w:color w:val="auto"/>
              </w:rPr>
              <w:t>Less: Changes in fair value of</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Arial" w:cs="Arial" w:eastAsia="Arial" w:hAnsi="Arial"/>
                <w:sz w:val="14"/>
                <w:szCs w:val="14"/>
                <w:color w:val="auto"/>
              </w:rPr>
              <w:t>non-hedge derivative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(385)</w:t>
            </w:r>
          </w:p>
        </w:tc>
        <w:tc>
          <w:tcPr>
            <w:tcW w:w="0" w:type="dxa"/>
            <w:vAlign w:val="bottom"/>
          </w:tcPr>
          <w:p>
            <w:pPr>
              <w:spacing w:after="0"/>
              <w:rPr>
                <w:sz w:val="1"/>
                <w:szCs w:val="1"/>
                <w:color w:val="auto"/>
              </w:rPr>
            </w:pPr>
          </w:p>
        </w:tc>
      </w:tr>
      <w:tr>
        <w:trPr>
          <w:trHeight w:val="178"/>
        </w:trPr>
        <w:tc>
          <w:tcPr>
            <w:tcW w:w="2040" w:type="dxa"/>
            <w:vAlign w:val="bottom"/>
          </w:tcPr>
          <w:p>
            <w:pPr>
              <w:ind w:left="20"/>
              <w:spacing w:after="0"/>
              <w:rPr>
                <w:sz w:val="20"/>
                <w:szCs w:val="20"/>
                <w:color w:val="auto"/>
              </w:rPr>
            </w:pPr>
            <w:r>
              <w:rPr>
                <w:rFonts w:ascii="Arial" w:cs="Arial" w:eastAsia="Arial" w:hAnsi="Arial"/>
                <w:sz w:val="14"/>
                <w:szCs w:val="14"/>
                <w:color w:val="auto"/>
              </w:rPr>
              <w:t>instruments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Losses on the</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modification or extinguishment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debt and capital lease</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obligations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40" w:type="dxa"/>
            <w:vAlign w:val="bottom"/>
          </w:tcPr>
          <w:p>
            <w:pPr>
              <w:ind w:left="20"/>
              <w:spacing w:after="0"/>
              <w:rPr>
                <w:sz w:val="20"/>
                <w:szCs w:val="20"/>
                <w:color w:val="auto"/>
              </w:rPr>
            </w:pPr>
            <w:r>
              <w:rPr>
                <w:rFonts w:ascii="Arial" w:cs="Arial" w:eastAsia="Arial" w:hAnsi="Arial"/>
                <w:sz w:val="14"/>
                <w:szCs w:val="14"/>
                <w:color w:val="auto"/>
              </w:rPr>
              <w:t>Less: Acquisition and</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(1,460)</w:t>
            </w:r>
          </w:p>
        </w:tc>
        <w:tc>
          <w:tcPr>
            <w:tcW w:w="0" w:type="dxa"/>
            <w:vAlign w:val="bottom"/>
          </w:tcPr>
          <w:p>
            <w:pPr>
              <w:spacing w:after="0"/>
              <w:rPr>
                <w:sz w:val="1"/>
                <w:szCs w:val="1"/>
                <w:color w:val="auto"/>
              </w:rPr>
            </w:pPr>
          </w:p>
        </w:tc>
      </w:tr>
      <w:tr>
        <w:trPr>
          <w:trHeight w:val="178"/>
        </w:trPr>
        <w:tc>
          <w:tcPr>
            <w:tcW w:w="2040" w:type="dxa"/>
            <w:vAlign w:val="bottom"/>
          </w:tcPr>
          <w:p>
            <w:pPr>
              <w:ind w:left="20"/>
              <w:spacing w:after="0"/>
              <w:rPr>
                <w:sz w:val="20"/>
                <w:szCs w:val="20"/>
                <w:color w:val="auto"/>
              </w:rPr>
            </w:pPr>
            <w:r>
              <w:rPr>
                <w:rFonts w:ascii="Arial" w:cs="Arial" w:eastAsia="Arial" w:hAnsi="Arial"/>
                <w:sz w:val="14"/>
                <w:szCs w:val="14"/>
                <w:color w:val="auto"/>
              </w:rPr>
              <w:t>transaction expenses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Equity-based</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(232)</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expense</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40" w:type="dxa"/>
            <w:vAlign w:val="bottom"/>
          </w:tcPr>
          <w:p>
            <w:pPr>
              <w:ind w:left="20"/>
              <w:spacing w:after="0"/>
              <w:rPr>
                <w:sz w:val="20"/>
                <w:szCs w:val="20"/>
                <w:color w:val="auto"/>
              </w:rPr>
            </w:pPr>
            <w:r>
              <w:rPr>
                <w:rFonts w:ascii="Arial" w:cs="Arial" w:eastAsia="Arial" w:hAnsi="Arial"/>
                <w:sz w:val="14"/>
                <w:szCs w:val="14"/>
                <w:color w:val="auto"/>
              </w:rPr>
              <w:t>Less: Provision for income</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(551)</w:t>
            </w:r>
          </w:p>
        </w:tc>
        <w:tc>
          <w:tcPr>
            <w:tcW w:w="0" w:type="dxa"/>
            <w:vAlign w:val="bottom"/>
          </w:tcPr>
          <w:p>
            <w:pPr>
              <w:spacing w:after="0"/>
              <w:rPr>
                <w:sz w:val="1"/>
                <w:szCs w:val="1"/>
                <w:color w:val="auto"/>
              </w:rPr>
            </w:pPr>
          </w:p>
        </w:tc>
      </w:tr>
      <w:tr>
        <w:trPr>
          <w:trHeight w:val="178"/>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taxes</w:t>
            </w:r>
          </w:p>
        </w:tc>
        <w:tc>
          <w:tcPr>
            <w:tcW w:w="16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4,578</w:t>
            </w:r>
          </w:p>
        </w:tc>
        <w:tc>
          <w:tcPr>
            <w:tcW w:w="0" w:type="dxa"/>
            <w:vAlign w:val="bottom"/>
          </w:tcPr>
          <w:p>
            <w:pPr>
              <w:spacing w:after="0"/>
              <w:rPr>
                <w:sz w:val="1"/>
                <w:szCs w:val="1"/>
                <w:color w:val="auto"/>
              </w:rPr>
            </w:pPr>
          </w:p>
        </w:tc>
      </w:tr>
      <w:tr>
        <w:trPr>
          <w:trHeight w:val="171"/>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shareholders</w:t>
            </w: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18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Three Months Ended September 30, 2018</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64"/>
        </w:trPr>
        <w:tc>
          <w:tcPr>
            <w:tcW w:w="18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Equipment Leasing</w:t>
            </w: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75"/>
        </w:trPr>
        <w:tc>
          <w:tcPr>
            <w:tcW w:w="1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Shipping</w:t>
            </w:r>
          </w:p>
        </w:tc>
        <w:tc>
          <w:tcPr>
            <w:tcW w:w="18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Jefferson</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6"/>
        </w:trPr>
        <w:tc>
          <w:tcPr>
            <w:tcW w:w="182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tcPr>
          <w:p>
            <w:pPr>
              <w:spacing w:after="0"/>
              <w:rPr>
                <w:sz w:val="17"/>
                <w:szCs w:val="17"/>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Offshore Energy</w:t>
            </w:r>
          </w:p>
        </w:tc>
        <w:tc>
          <w:tcPr>
            <w:tcW w:w="16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Containers</w:t>
            </w: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Terminal</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Railroad</w:t>
            </w:r>
          </w:p>
        </w:tc>
        <w:tc>
          <w:tcPr>
            <w:tcW w:w="18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60" w:type="dxa"/>
            <w:vAlign w:val="bottom"/>
          </w:tcPr>
          <w:p>
            <w:pPr>
              <w:spacing w:after="0"/>
              <w:rPr>
                <w:sz w:val="17"/>
                <w:szCs w:val="17"/>
                <w:color w:val="auto"/>
              </w:rPr>
            </w:pPr>
          </w:p>
        </w:tc>
        <w:tc>
          <w:tcPr>
            <w:tcW w:w="90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70"/>
        </w:trPr>
        <w:tc>
          <w:tcPr>
            <w:tcW w:w="1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r>
      <w:tr>
        <w:trPr>
          <w:trHeight w:val="264"/>
        </w:trPr>
        <w:tc>
          <w:tcPr>
            <w:tcW w:w="1820" w:type="dxa"/>
            <w:vAlign w:val="bottom"/>
          </w:tcPr>
          <w:p>
            <w:pPr>
              <w:ind w:left="20"/>
              <w:spacing w:after="0"/>
              <w:rPr>
                <w:sz w:val="20"/>
                <w:szCs w:val="20"/>
                <w:color w:val="auto"/>
              </w:rPr>
            </w:pPr>
            <w:r>
              <w:rPr>
                <w:rFonts w:ascii="Arial" w:cs="Arial" w:eastAsia="Arial" w:hAnsi="Arial"/>
                <w:sz w:val="14"/>
                <w:szCs w:val="14"/>
                <w:color w:val="auto"/>
              </w:rPr>
              <w:t>Africa</w:t>
            </w: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3,374</w:t>
            </w:r>
          </w:p>
        </w:tc>
        <w:tc>
          <w:tcPr>
            <w:tcW w:w="540" w:type="dxa"/>
            <w:vAlign w:val="bottom"/>
            <w:gridSpan w:val="2"/>
          </w:tcPr>
          <w:p>
            <w:pPr>
              <w:ind w:left="14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ind w:left="7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3,374</w:t>
            </w:r>
          </w:p>
        </w:tc>
      </w:tr>
      <w:tr>
        <w:trPr>
          <w:trHeight w:val="276"/>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24,983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734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25,717</w:t>
            </w:r>
          </w:p>
        </w:tc>
      </w:tr>
      <w:tr>
        <w:trPr>
          <w:trHeight w:val="264"/>
        </w:trPr>
        <w:tc>
          <w:tcPr>
            <w:tcW w:w="1820" w:type="dxa"/>
            <w:vAlign w:val="bottom"/>
          </w:tcPr>
          <w:p>
            <w:pPr>
              <w:ind w:left="20"/>
              <w:spacing w:after="0"/>
              <w:rPr>
                <w:sz w:val="20"/>
                <w:szCs w:val="20"/>
                <w:color w:val="auto"/>
              </w:rPr>
            </w:pPr>
            <w:r>
              <w:rPr>
                <w:rFonts w:ascii="Arial" w:cs="Arial" w:eastAsia="Arial" w:hAnsi="Arial"/>
                <w:sz w:val="14"/>
                <w:szCs w:val="14"/>
                <w:color w:val="auto"/>
              </w:rPr>
              <w:t>Europe</w:t>
            </w:r>
          </w:p>
        </w:tc>
        <w:tc>
          <w:tcPr>
            <w:tcW w:w="3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30,794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120" w:type="dxa"/>
            <w:vAlign w:val="bottom"/>
            <w:gridSpan w:val="2"/>
          </w:tcPr>
          <w:p>
            <w:pPr>
              <w:ind w:left="7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30,794</w:t>
            </w:r>
          </w:p>
        </w:tc>
      </w:tr>
      <w:tr>
        <w:trPr>
          <w:trHeight w:val="276"/>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8,894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365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17,836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8,907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3,522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39,524</w:t>
            </w:r>
          </w:p>
        </w:tc>
      </w:tr>
      <w:tr>
        <w:trPr>
          <w:trHeight w:val="264"/>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1,746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1,746</w:t>
            </w:r>
          </w:p>
        </w:tc>
      </w:tr>
      <w:tr>
        <w:trPr>
          <w:trHeight w:val="243"/>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69,791</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1,099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17,836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8,907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3,522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101,155</w:t>
            </w: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020"/>
          </w:cols>
          <w:pgMar w:left="240" w:top="121" w:right="639" w:bottom="1440" w:gutter="0" w:footer="0" w:header="0"/>
        </w:sectPr>
      </w:pPr>
    </w:p>
    <w:bookmarkStart w:id="33" w:name="page34"/>
    <w:bookmarkEnd w:id="33"/>
    <w:p>
      <w:pPr>
        <w:ind w:right="34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I. For the Nine Months Ended September 30, 2018</w:t>
      </w:r>
    </w:p>
    <w:p>
      <w:pPr>
        <w:spacing w:after="0" w:line="38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0" w:type="dxa"/>
            <w:vAlign w:val="bottom"/>
            <w:tcBorders>
              <w:bottom w:val="single" w:sz="8" w:color="auto"/>
            </w:tcBorders>
            <w:gridSpan w:val="11"/>
          </w:tcPr>
          <w:p>
            <w:pPr>
              <w:ind w:left="580"/>
              <w:spacing w:after="0"/>
              <w:rPr>
                <w:sz w:val="20"/>
                <w:szCs w:val="20"/>
                <w:color w:val="auto"/>
              </w:rPr>
            </w:pPr>
            <w:r>
              <w:rPr>
                <w:rFonts w:ascii="Arial" w:cs="Arial" w:eastAsia="Arial" w:hAnsi="Arial"/>
                <w:sz w:val="14"/>
                <w:szCs w:val="14"/>
                <w:b w:val="1"/>
                <w:bCs w:val="1"/>
                <w:color w:val="auto"/>
              </w:rPr>
              <w:t>Nine Months Ended September 30, 2018</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Energy</w:t>
            </w: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Terminal</w:t>
            </w:r>
          </w:p>
        </w:tc>
        <w:tc>
          <w:tcPr>
            <w:tcW w:w="14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Railroad</w:t>
            </w:r>
          </w:p>
        </w:tc>
        <w:tc>
          <w:tcPr>
            <w:tcW w:w="12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7"/>
                <w:szCs w:val="17"/>
                <w:color w:val="auto"/>
              </w:rPr>
            </w:pPr>
          </w:p>
        </w:tc>
        <w:tc>
          <w:tcPr>
            <w:tcW w:w="740" w:type="dxa"/>
            <w:vAlign w:val="bottom"/>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178,644</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7,310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186,004</w:t>
            </w:r>
          </w:p>
        </w:tc>
        <w:tc>
          <w:tcPr>
            <w:tcW w:w="0" w:type="dxa"/>
            <w:vAlign w:val="bottom"/>
          </w:tcPr>
          <w:p>
            <w:pPr>
              <w:spacing w:after="0"/>
              <w:rPr>
                <w:sz w:val="1"/>
                <w:szCs w:val="1"/>
                <w:color w:val="auto"/>
              </w:rPr>
            </w:pPr>
          </w:p>
        </w:tc>
      </w:tr>
      <w:tr>
        <w:trPr>
          <w:trHeight w:val="27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21,639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28,742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5,593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55,974</w:t>
            </w:r>
          </w:p>
        </w:tc>
        <w:tc>
          <w:tcPr>
            <w:tcW w:w="0" w:type="dxa"/>
            <w:vAlign w:val="bottom"/>
          </w:tcPr>
          <w:p>
            <w:pPr>
              <w:spacing w:after="0"/>
              <w:rPr>
                <w:sz w:val="1"/>
                <w:szCs w:val="1"/>
                <w:color w:val="auto"/>
              </w:rPr>
            </w:pPr>
          </w:p>
        </w:tc>
      </w:tr>
      <w:tr>
        <w:trPr>
          <w:trHeight w:val="250"/>
        </w:trPr>
        <w:tc>
          <w:tcPr>
            <w:tcW w:w="214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178,644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7,310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21,639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28,742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5,593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241,978</w:t>
            </w:r>
          </w:p>
        </w:tc>
        <w:tc>
          <w:tcPr>
            <w:tcW w:w="0" w:type="dxa"/>
            <w:vAlign w:val="bottom"/>
          </w:tcPr>
          <w:p>
            <w:pPr>
              <w:spacing w:after="0"/>
              <w:rPr>
                <w:sz w:val="1"/>
                <w:szCs w:val="1"/>
                <w:color w:val="auto"/>
              </w:rPr>
            </w:pPr>
          </w:p>
        </w:tc>
      </w:tr>
      <w:tr>
        <w:trPr>
          <w:trHeight w:val="324"/>
        </w:trPr>
        <w:tc>
          <w:tcPr>
            <w:tcW w:w="214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7,412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10,067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47,105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23,525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8,730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96,839</w:t>
            </w:r>
          </w:p>
        </w:tc>
        <w:tc>
          <w:tcPr>
            <w:tcW w:w="0" w:type="dxa"/>
            <w:vAlign w:val="bottom"/>
          </w:tcPr>
          <w:p>
            <w:pPr>
              <w:spacing w:after="0"/>
              <w:rPr>
                <w:sz w:val="1"/>
                <w:szCs w:val="1"/>
                <w:color w:val="auto"/>
              </w:rPr>
            </w:pP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12,171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12,171</w:t>
            </w:r>
          </w:p>
        </w:tc>
        <w:tc>
          <w:tcPr>
            <w:tcW w:w="0" w:type="dxa"/>
            <w:vAlign w:val="bottom"/>
          </w:tcPr>
          <w:p>
            <w:pPr>
              <w:spacing w:after="0"/>
              <w:rPr>
                <w:sz w:val="1"/>
                <w:szCs w:val="1"/>
                <w:color w:val="auto"/>
              </w:rPr>
            </w:pPr>
          </w:p>
        </w:tc>
      </w:tr>
      <w:tr>
        <w:trPr>
          <w:trHeight w:val="20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w:t>
            </w:r>
          </w:p>
        </w:tc>
        <w:tc>
          <w:tcPr>
            <w:tcW w:w="1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4,734</w:t>
            </w:r>
          </w:p>
        </w:tc>
        <w:tc>
          <w:tcPr>
            <w:tcW w:w="0" w:type="dxa"/>
            <w:vAlign w:val="bottom"/>
          </w:tcPr>
          <w:p>
            <w:pPr>
              <w:spacing w:after="0"/>
              <w:rPr>
                <w:sz w:val="1"/>
                <w:szCs w:val="1"/>
                <w:color w:val="auto"/>
              </w:rPr>
            </w:pPr>
          </w:p>
        </w:tc>
      </w:tr>
      <w:tr>
        <w:trPr>
          <w:trHeight w:val="184"/>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w:t>
            </w: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40" w:type="dxa"/>
            <w:vAlign w:val="bottom"/>
          </w:tcPr>
          <w:p>
            <w:pPr>
              <w:ind w:left="20"/>
              <w:spacing w:after="0"/>
              <w:rPr>
                <w:sz w:val="20"/>
                <w:szCs w:val="20"/>
                <w:color w:val="auto"/>
              </w:rPr>
            </w:pPr>
            <w:r>
              <w:rPr>
                <w:rFonts w:ascii="Arial" w:cs="Arial" w:eastAsia="Arial" w:hAnsi="Arial"/>
                <w:sz w:val="14"/>
                <w:szCs w:val="14"/>
                <w:color w:val="auto"/>
              </w:rPr>
              <w:t>Management fees and incentive</w:t>
            </w:r>
          </w:p>
        </w:tc>
        <w:tc>
          <w:tcPr>
            <w:tcW w:w="16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12,080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12,080</w:t>
            </w:r>
          </w:p>
        </w:tc>
        <w:tc>
          <w:tcPr>
            <w:tcW w:w="0" w:type="dxa"/>
            <w:vAlign w:val="bottom"/>
          </w:tcPr>
          <w:p>
            <w:pPr>
              <w:spacing w:after="0"/>
              <w:rPr>
                <w:sz w:val="1"/>
                <w:szCs w:val="1"/>
                <w:color w:val="auto"/>
              </w:rPr>
            </w:pPr>
          </w:p>
        </w:tc>
      </w:tr>
      <w:tr>
        <w:trPr>
          <w:trHeight w:val="178"/>
        </w:trPr>
        <w:tc>
          <w:tcPr>
            <w:tcW w:w="2140" w:type="dxa"/>
            <w:vAlign w:val="bottom"/>
          </w:tcPr>
          <w:p>
            <w:pPr>
              <w:ind w:left="20"/>
              <w:spacing w:after="0"/>
              <w:rPr>
                <w:sz w:val="20"/>
                <w:szCs w:val="20"/>
                <w:color w:val="auto"/>
              </w:rPr>
            </w:pPr>
            <w:r>
              <w:rPr>
                <w:rFonts w:ascii="Arial" w:cs="Arial" w:eastAsia="Arial" w:hAnsi="Arial"/>
                <w:sz w:val="14"/>
                <w:szCs w:val="14"/>
                <w:color w:val="auto"/>
              </w:rPr>
              <w:t>allocation to affiliate</w:t>
            </w: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73,031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4,855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14,726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1,760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2,481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96,853</w:t>
            </w:r>
          </w:p>
        </w:tc>
        <w:tc>
          <w:tcPr>
            <w:tcW w:w="0" w:type="dxa"/>
            <w:vAlign w:val="bottom"/>
          </w:tcPr>
          <w:p>
            <w:pPr>
              <w:spacing w:after="0"/>
              <w:rPr>
                <w:sz w:val="1"/>
                <w:szCs w:val="1"/>
                <w:color w:val="auto"/>
              </w:rPr>
            </w:pPr>
          </w:p>
        </w:tc>
      </w:tr>
      <w:tr>
        <w:trPr>
          <w:trHeight w:val="264"/>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2,793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12,070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719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545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23,743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39,870</w:t>
            </w:r>
          </w:p>
        </w:tc>
        <w:tc>
          <w:tcPr>
            <w:tcW w:w="0" w:type="dxa"/>
            <w:vAlign w:val="bottom"/>
          </w:tcPr>
          <w:p>
            <w:pPr>
              <w:spacing w:after="0"/>
              <w:rPr>
                <w:sz w:val="1"/>
                <w:szCs w:val="1"/>
                <w:color w:val="auto"/>
              </w:rPr>
            </w:pPr>
          </w:p>
        </w:tc>
      </w:tr>
      <w:tr>
        <w:trPr>
          <w:trHeight w:val="25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80,751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17,715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73,901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26,004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11,756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52,420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262,547</w:t>
            </w:r>
          </w:p>
        </w:tc>
        <w:tc>
          <w:tcPr>
            <w:tcW w:w="0" w:type="dxa"/>
            <w:vAlign w:val="bottom"/>
          </w:tcPr>
          <w:p>
            <w:pPr>
              <w:spacing w:after="0"/>
              <w:rPr>
                <w:sz w:val="1"/>
                <w:szCs w:val="1"/>
                <w:color w:val="auto"/>
              </w:rPr>
            </w:pPr>
          </w:p>
        </w:tc>
      </w:tr>
      <w:tr>
        <w:trPr>
          <w:trHeight w:val="324"/>
        </w:trPr>
        <w:tc>
          <w:tcPr>
            <w:tcW w:w="2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140" w:type="dxa"/>
            <w:vAlign w:val="bottom"/>
          </w:tcPr>
          <w:p>
            <w:pPr>
              <w:ind w:left="20"/>
              <w:spacing w:after="0"/>
              <w:rPr>
                <w:sz w:val="20"/>
                <w:szCs w:val="20"/>
                <w:color w:val="auto"/>
              </w:rPr>
            </w:pPr>
            <w:r>
              <w:rPr>
                <w:rFonts w:ascii="Arial" w:cs="Arial" w:eastAsia="Arial" w:hAnsi="Arial"/>
                <w:sz w:val="14"/>
                <w:szCs w:val="14"/>
                <w:color w:val="auto"/>
              </w:rPr>
              <w:t>Equity in (losses) earnings of</w:t>
            </w:r>
          </w:p>
        </w:tc>
        <w:tc>
          <w:tcPr>
            <w:tcW w:w="16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(542)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394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(598)</w:t>
            </w:r>
          </w:p>
        </w:tc>
        <w:tc>
          <w:tcPr>
            <w:tcW w:w="0" w:type="dxa"/>
            <w:vAlign w:val="bottom"/>
          </w:tcPr>
          <w:p>
            <w:pPr>
              <w:spacing w:after="0"/>
              <w:rPr>
                <w:sz w:val="1"/>
                <w:szCs w:val="1"/>
                <w:color w:val="auto"/>
              </w:rPr>
            </w:pPr>
          </w:p>
        </w:tc>
      </w:tr>
      <w:tr>
        <w:trPr>
          <w:trHeight w:val="178"/>
        </w:trPr>
        <w:tc>
          <w:tcPr>
            <w:tcW w:w="214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equipment, net</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5,198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5,253</w:t>
            </w:r>
          </w:p>
        </w:tc>
        <w:tc>
          <w:tcPr>
            <w:tcW w:w="0" w:type="dxa"/>
            <w:vAlign w:val="bottom"/>
          </w:tcPr>
          <w:p>
            <w:pPr>
              <w:spacing w:after="0"/>
              <w:rPr>
                <w:sz w:val="1"/>
                <w:szCs w:val="1"/>
                <w:color w:val="auto"/>
              </w:rPr>
            </w:pP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119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361</w:t>
            </w:r>
          </w:p>
        </w:tc>
        <w:tc>
          <w:tcPr>
            <w:tcW w:w="0" w:type="dxa"/>
            <w:vAlign w:val="bottom"/>
          </w:tcPr>
          <w:p>
            <w:pPr>
              <w:spacing w:after="0"/>
              <w:rPr>
                <w:sz w:val="1"/>
                <w:szCs w:val="1"/>
                <w:color w:val="auto"/>
              </w:rPr>
            </w:pPr>
          </w:p>
        </w:tc>
      </w:tr>
      <w:tr>
        <w:trPr>
          <w:trHeight w:val="27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2,074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2,074</w:t>
            </w:r>
          </w:p>
        </w:tc>
        <w:tc>
          <w:tcPr>
            <w:tcW w:w="0" w:type="dxa"/>
            <w:vAlign w:val="bottom"/>
          </w:tcPr>
          <w:p>
            <w:pPr>
              <w:spacing w:after="0"/>
              <w:rPr>
                <w:sz w:val="1"/>
                <w:szCs w:val="1"/>
                <w:color w:val="auto"/>
              </w:rPr>
            </w:pPr>
          </w:p>
        </w:tc>
      </w:tr>
      <w:tr>
        <w:trPr>
          <w:trHeight w:val="250"/>
        </w:trPr>
        <w:tc>
          <w:tcPr>
            <w:tcW w:w="2140" w:type="dxa"/>
            <w:vAlign w:val="bottom"/>
          </w:tcPr>
          <w:p>
            <w:pPr>
              <w:ind w:left="20"/>
              <w:spacing w:after="0"/>
              <w:rPr>
                <w:sz w:val="20"/>
                <w:szCs w:val="20"/>
                <w:color w:val="auto"/>
              </w:rPr>
            </w:pPr>
            <w:r>
              <w:rPr>
                <w:rFonts w:ascii="Arial" w:cs="Arial" w:eastAsia="Arial" w:hAnsi="Arial"/>
                <w:sz w:val="14"/>
                <w:szCs w:val="14"/>
                <w:color w:val="auto"/>
              </w:rPr>
              <w:t>Total other income</w:t>
            </w:r>
          </w:p>
        </w:tc>
        <w:tc>
          <w:tcPr>
            <w:tcW w:w="16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4,775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394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1,854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7,090</w:t>
            </w:r>
          </w:p>
        </w:tc>
        <w:tc>
          <w:tcPr>
            <w:tcW w:w="0" w:type="dxa"/>
            <w:vAlign w:val="bottom"/>
          </w:tcPr>
          <w:p>
            <w:pPr>
              <w:spacing w:after="0"/>
              <w:rPr>
                <w:sz w:val="1"/>
                <w:szCs w:val="1"/>
                <w:color w:val="auto"/>
              </w:rPr>
            </w:pPr>
          </w:p>
        </w:tc>
      </w:tr>
      <w:tr>
        <w:trPr>
          <w:trHeight w:val="162"/>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w:t>
            </w: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taxes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102,668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(10,393)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(50,408)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2,793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(52,420)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(13,479)</w:t>
            </w:r>
          </w:p>
        </w:tc>
        <w:tc>
          <w:tcPr>
            <w:tcW w:w="0" w:type="dxa"/>
            <w:vAlign w:val="bottom"/>
          </w:tcPr>
          <w:p>
            <w:pPr>
              <w:spacing w:after="0"/>
              <w:rPr>
                <w:sz w:val="1"/>
                <w:szCs w:val="1"/>
                <w:color w:val="auto"/>
              </w:rPr>
            </w:pPr>
          </w:p>
        </w:tc>
      </w:tr>
      <w:tr>
        <w:trPr>
          <w:trHeight w:val="194"/>
        </w:trPr>
        <w:tc>
          <w:tcPr>
            <w:tcW w:w="2140" w:type="dxa"/>
            <w:vAlign w:val="bottom"/>
          </w:tcPr>
          <w:p>
            <w:pPr>
              <w:ind w:left="20"/>
              <w:spacing w:after="0"/>
              <w:rPr>
                <w:sz w:val="20"/>
                <w:szCs w:val="20"/>
                <w:color w:val="auto"/>
              </w:rPr>
            </w:pPr>
            <w:r>
              <w:rPr>
                <w:rFonts w:ascii="Arial" w:cs="Arial" w:eastAsia="Arial" w:hAnsi="Arial"/>
                <w:sz w:val="14"/>
                <w:szCs w:val="14"/>
                <w:color w:val="auto"/>
              </w:rPr>
              <w:t>Provision for (benefit from)</w:t>
            </w:r>
          </w:p>
        </w:tc>
        <w:tc>
          <w:tcPr>
            <w:tcW w:w="16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1,546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1,580</w:t>
            </w:r>
          </w:p>
        </w:tc>
        <w:tc>
          <w:tcPr>
            <w:tcW w:w="0" w:type="dxa"/>
            <w:vAlign w:val="bottom"/>
          </w:tcPr>
          <w:p>
            <w:pPr>
              <w:spacing w:after="0"/>
              <w:rPr>
                <w:sz w:val="1"/>
                <w:szCs w:val="1"/>
                <w:color w:val="auto"/>
              </w:rPr>
            </w:pPr>
          </w:p>
        </w:tc>
      </w:tr>
      <w:tr>
        <w:trPr>
          <w:trHeight w:val="178"/>
        </w:trPr>
        <w:tc>
          <w:tcPr>
            <w:tcW w:w="214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101,122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(10,402)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451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(50,440)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2,793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(6,163)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(52,420)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(15,059)</w:t>
            </w:r>
          </w:p>
        </w:tc>
        <w:tc>
          <w:tcPr>
            <w:tcW w:w="0" w:type="dxa"/>
            <w:vAlign w:val="bottom"/>
          </w:tcPr>
          <w:p>
            <w:pPr>
              <w:spacing w:after="0"/>
              <w:rPr>
                <w:sz w:val="1"/>
                <w:szCs w:val="1"/>
                <w:color w:val="auto"/>
              </w:rPr>
            </w:pPr>
          </w:p>
        </w:tc>
      </w:tr>
      <w:tr>
        <w:trPr>
          <w:trHeight w:val="174"/>
        </w:trPr>
        <w:tc>
          <w:tcPr>
            <w:tcW w:w="2140" w:type="dxa"/>
            <w:vAlign w:val="bottom"/>
          </w:tcPr>
          <w:p>
            <w:pPr>
              <w:ind w:left="20"/>
              <w:spacing w:after="0"/>
              <w:rPr>
                <w:sz w:val="20"/>
                <w:szCs w:val="20"/>
                <w:color w:val="auto"/>
              </w:rPr>
            </w:pPr>
            <w:r>
              <w:rPr>
                <w:rFonts w:ascii="Arial" w:cs="Arial" w:eastAsia="Arial" w:hAnsi="Arial"/>
                <w:sz w:val="14"/>
                <w:szCs w:val="14"/>
                <w:color w:val="auto"/>
              </w:rPr>
              <w:t>Less: Net (loss) income</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40" w:type="dxa"/>
            <w:vAlign w:val="bottom"/>
          </w:tcPr>
          <w:p>
            <w:pPr>
              <w:ind w:left="20"/>
              <w:spacing w:after="0"/>
              <w:rPr>
                <w:sz w:val="20"/>
                <w:szCs w:val="20"/>
                <w:color w:val="auto"/>
              </w:rPr>
            </w:pPr>
            <w:r>
              <w:rPr>
                <w:rFonts w:ascii="Arial" w:cs="Arial" w:eastAsia="Arial" w:hAnsi="Arial"/>
                <w:sz w:val="14"/>
                <w:szCs w:val="14"/>
                <w:color w:val="auto"/>
              </w:rPr>
              <w:t>attributable to non-controlling</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tcPr>
          <w:p>
            <w:pPr>
              <w:ind w:left="20"/>
              <w:spacing w:after="0"/>
              <w:rPr>
                <w:sz w:val="20"/>
                <w:szCs w:val="20"/>
                <w:color w:val="auto"/>
              </w:rPr>
            </w:pPr>
            <w:r>
              <w:rPr>
                <w:rFonts w:ascii="Arial" w:cs="Arial" w:eastAsia="Arial" w:hAnsi="Arial"/>
                <w:sz w:val="14"/>
                <w:szCs w:val="14"/>
                <w:color w:val="auto"/>
              </w:rPr>
              <w:t>interests in consolidated</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(19,904)</w:t>
            </w:r>
          </w:p>
        </w:tc>
        <w:tc>
          <w:tcPr>
            <w:tcW w:w="0" w:type="dxa"/>
            <w:vAlign w:val="bottom"/>
          </w:tcPr>
          <w:p>
            <w:pPr>
              <w:spacing w:after="0"/>
              <w:rPr>
                <w:sz w:val="1"/>
                <w:szCs w:val="1"/>
                <w:color w:val="auto"/>
              </w:rPr>
            </w:pPr>
          </w:p>
        </w:tc>
      </w:tr>
      <w:tr>
        <w:trPr>
          <w:trHeight w:val="178"/>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subsidiaries</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101,146</w:t>
            </w:r>
          </w:p>
        </w:tc>
        <w:tc>
          <w:tcPr>
            <w:tcW w:w="2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(10,402)</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451</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(30,423)</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2,562</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(6,069)</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(52,420)</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4,845</w:t>
            </w:r>
          </w:p>
        </w:tc>
        <w:tc>
          <w:tcPr>
            <w:tcW w:w="0" w:type="dxa"/>
            <w:vAlign w:val="bottom"/>
          </w:tcPr>
          <w:p>
            <w:pPr>
              <w:spacing w:after="0"/>
              <w:rPr>
                <w:sz w:val="1"/>
                <w:szCs w:val="1"/>
                <w:color w:val="auto"/>
              </w:rPr>
            </w:pPr>
          </w:p>
        </w:tc>
      </w:tr>
      <w:tr>
        <w:trPr>
          <w:trHeight w:val="189"/>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 shareholders</w:t>
            </w:r>
          </w:p>
        </w:tc>
        <w:tc>
          <w:tcPr>
            <w:tcW w:w="16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240" w:top="12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020"/>
          </w:cols>
          <w:pgMar w:left="240" w:top="121" w:right="639" w:bottom="1440" w:gutter="0" w:footer="0" w:header="0"/>
          <w:type w:val="continuous"/>
        </w:sectPr>
      </w:pPr>
    </w:p>
    <w:bookmarkStart w:id="34" w:name="page35"/>
    <w:bookmarkEnd w:id="34"/>
    <w:p>
      <w:pPr>
        <w:ind w:right="34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a reconciliation of Adjusted Net Income (Loss) to net income attributable to shareholders: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0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200" w:type="dxa"/>
            <w:vAlign w:val="bottom"/>
            <w:tcBorders>
              <w:bottom w:val="single" w:sz="8" w:color="auto"/>
            </w:tcBorders>
            <w:gridSpan w:val="11"/>
          </w:tcPr>
          <w:p>
            <w:pPr>
              <w:ind w:left="620"/>
              <w:spacing w:after="0"/>
              <w:rPr>
                <w:sz w:val="20"/>
                <w:szCs w:val="20"/>
                <w:color w:val="auto"/>
              </w:rPr>
            </w:pPr>
            <w:r>
              <w:rPr>
                <w:rFonts w:ascii="Arial" w:cs="Arial" w:eastAsia="Arial" w:hAnsi="Arial"/>
                <w:sz w:val="14"/>
                <w:szCs w:val="14"/>
                <w:b w:val="1"/>
                <w:bCs w:val="1"/>
                <w:color w:val="auto"/>
              </w:rPr>
              <w:t>Nine Months Ended September 30, 2018</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Shipping</w:t>
            </w: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Ports and</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Leasing</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Energy</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Containers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9"/>
              </w:rPr>
              <w:t>Terminal</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Railroad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Terminals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102,140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(29,831)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2,692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(5,816)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(47,432)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11,802</w:t>
            </w:r>
          </w:p>
        </w:tc>
        <w:tc>
          <w:tcPr>
            <w:tcW w:w="0" w:type="dxa"/>
            <w:vAlign w:val="bottom"/>
          </w:tcPr>
          <w:p>
            <w:pPr>
              <w:spacing w:after="0"/>
              <w:rPr>
                <w:sz w:val="1"/>
                <w:szCs w:val="1"/>
                <w:color w:val="auto"/>
              </w:rPr>
            </w:pPr>
          </w:p>
        </w:tc>
      </w:tr>
      <w:tr>
        <w:trPr>
          <w:trHeight w:val="174"/>
        </w:trPr>
        <w:tc>
          <w:tcPr>
            <w:tcW w:w="2040" w:type="dxa"/>
            <w:vAlign w:val="bottom"/>
          </w:tcPr>
          <w:p>
            <w:pPr>
              <w:ind w:left="20"/>
              <w:spacing w:after="0"/>
              <w:rPr>
                <w:sz w:val="20"/>
                <w:szCs w:val="20"/>
                <w:color w:val="auto"/>
              </w:rPr>
            </w:pPr>
            <w:r>
              <w:rPr>
                <w:rFonts w:ascii="Arial" w:cs="Arial" w:eastAsia="Arial" w:hAnsi="Arial"/>
                <w:sz w:val="14"/>
                <w:szCs w:val="14"/>
                <w:color w:val="auto"/>
              </w:rPr>
              <w:t>Add: Non-controlling share of</w:t>
            </w: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Arial" w:cs="Arial" w:eastAsia="Arial" w:hAnsi="Arial"/>
                <w:sz w:val="14"/>
                <w:szCs w:val="14"/>
                <w:color w:val="auto"/>
              </w:rPr>
              <w:t>adjustments to Adjusted Net</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241</w:t>
            </w:r>
          </w:p>
        </w:tc>
        <w:tc>
          <w:tcPr>
            <w:tcW w:w="0" w:type="dxa"/>
            <w:vAlign w:val="bottom"/>
          </w:tcPr>
          <w:p>
            <w:pPr>
              <w:spacing w:after="0"/>
              <w:rPr>
                <w:sz w:val="1"/>
                <w:szCs w:val="1"/>
                <w:color w:val="auto"/>
              </w:rPr>
            </w:pPr>
          </w:p>
        </w:tc>
      </w:tr>
      <w:tr>
        <w:trPr>
          <w:trHeight w:val="178"/>
        </w:trPr>
        <w:tc>
          <w:tcPr>
            <w:tcW w:w="2040" w:type="dxa"/>
            <w:vAlign w:val="bottom"/>
          </w:tcPr>
          <w:p>
            <w:pPr>
              <w:ind w:left="20"/>
              <w:spacing w:after="0"/>
              <w:rPr>
                <w:sz w:val="20"/>
                <w:szCs w:val="20"/>
                <w:color w:val="auto"/>
              </w:rPr>
            </w:pPr>
            <w:r>
              <w:rPr>
                <w:rFonts w:ascii="Arial" w:cs="Arial" w:eastAsia="Arial" w:hAnsi="Arial"/>
                <w:sz w:val="14"/>
                <w:szCs w:val="14"/>
                <w:color w:val="auto"/>
              </w:rPr>
              <w:t>Income</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(598)</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40" w:type="dxa"/>
            <w:vAlign w:val="bottom"/>
          </w:tcPr>
          <w:p>
            <w:pPr>
              <w:ind w:left="20"/>
              <w:spacing w:after="0"/>
              <w:rPr>
                <w:sz w:val="20"/>
                <w:szCs w:val="20"/>
                <w:color w:val="auto"/>
              </w:rPr>
            </w:pPr>
            <w:r>
              <w:rPr>
                <w:rFonts w:ascii="Arial" w:cs="Arial" w:eastAsia="Arial" w:hAnsi="Arial"/>
                <w:sz w:val="14"/>
                <w:szCs w:val="14"/>
                <w:color w:val="auto"/>
              </w:rPr>
              <w:t>Add: Cash payments for</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910</w:t>
            </w:r>
          </w:p>
        </w:tc>
        <w:tc>
          <w:tcPr>
            <w:tcW w:w="0" w:type="dxa"/>
            <w:vAlign w:val="bottom"/>
          </w:tcPr>
          <w:p>
            <w:pPr>
              <w:spacing w:after="0"/>
              <w:rPr>
                <w:sz w:val="1"/>
                <w:szCs w:val="1"/>
                <w:color w:val="auto"/>
              </w:rPr>
            </w:pPr>
          </w:p>
        </w:tc>
      </w:tr>
      <w:tr>
        <w:trPr>
          <w:trHeight w:val="178"/>
        </w:trPr>
        <w:tc>
          <w:tcPr>
            <w:tcW w:w="204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(553)</w:t>
            </w:r>
          </w:p>
        </w:tc>
        <w:tc>
          <w:tcPr>
            <w:tcW w:w="0" w:type="dxa"/>
            <w:vAlign w:val="bottom"/>
          </w:tcPr>
          <w:p>
            <w:pPr>
              <w:spacing w:after="0"/>
              <w:rPr>
                <w:sz w:val="1"/>
                <w:szCs w:val="1"/>
                <w:color w:val="auto"/>
              </w:rPr>
            </w:pPr>
          </w:p>
        </w:tc>
      </w:tr>
      <w:tr>
        <w:trPr>
          <w:trHeight w:val="194"/>
        </w:trPr>
        <w:tc>
          <w:tcPr>
            <w:tcW w:w="2040" w:type="dxa"/>
            <w:vAlign w:val="bottom"/>
          </w:tcPr>
          <w:p>
            <w:pPr>
              <w:ind w:left="20"/>
              <w:spacing w:after="0"/>
              <w:rPr>
                <w:sz w:val="20"/>
                <w:szCs w:val="20"/>
                <w:color w:val="auto"/>
              </w:rPr>
            </w:pPr>
            <w:r>
              <w:rPr>
                <w:rFonts w:ascii="Arial" w:cs="Arial" w:eastAsia="Arial" w:hAnsi="Arial"/>
                <w:sz w:val="14"/>
                <w:szCs w:val="14"/>
                <w:color w:val="auto"/>
              </w:rPr>
              <w:t>Less: Pro-rata share of</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Arial" w:cs="Arial" w:eastAsia="Arial" w:hAnsi="Arial"/>
                <w:sz w:val="14"/>
                <w:szCs w:val="14"/>
                <w:color w:val="auto"/>
              </w:rPr>
              <w:t>Adjusted Net Income from</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Arial" w:cs="Arial" w:eastAsia="Arial" w:hAnsi="Arial"/>
                <w:sz w:val="14"/>
                <w:szCs w:val="14"/>
                <w:color w:val="auto"/>
              </w:rPr>
              <w:t>investments in unconsolidated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593</w:t>
            </w:r>
          </w:p>
        </w:tc>
        <w:tc>
          <w:tcPr>
            <w:tcW w:w="0" w:type="dxa"/>
            <w:vAlign w:val="bottom"/>
          </w:tcPr>
          <w:p>
            <w:pPr>
              <w:spacing w:after="0"/>
              <w:rPr>
                <w:sz w:val="1"/>
                <w:szCs w:val="1"/>
                <w:color w:val="auto"/>
              </w:rPr>
            </w:pPr>
          </w:p>
        </w:tc>
      </w:tr>
      <w:tr>
        <w:trPr>
          <w:trHeight w:val="178"/>
        </w:trPr>
        <w:tc>
          <w:tcPr>
            <w:tcW w:w="2040" w:type="dxa"/>
            <w:vAlign w:val="bottom"/>
          </w:tcPr>
          <w:p>
            <w:pPr>
              <w:ind w:left="20"/>
              <w:spacing w:after="0"/>
              <w:rPr>
                <w:sz w:val="20"/>
                <w:szCs w:val="20"/>
                <w:color w:val="auto"/>
              </w:rPr>
            </w:pPr>
            <w:r>
              <w:rPr>
                <w:rFonts w:ascii="Arial" w:cs="Arial" w:eastAsia="Arial" w:hAnsi="Arial"/>
                <w:sz w:val="14"/>
                <w:szCs w:val="14"/>
                <w:color w:val="auto"/>
              </w:rPr>
              <w:t>entities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Asset impairment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40" w:type="dxa"/>
            <w:vAlign w:val="bottom"/>
          </w:tcPr>
          <w:p>
            <w:pPr>
              <w:ind w:left="20"/>
              <w:spacing w:after="0"/>
              <w:rPr>
                <w:sz w:val="20"/>
                <w:szCs w:val="20"/>
                <w:color w:val="auto"/>
              </w:rPr>
            </w:pPr>
            <w:r>
              <w:rPr>
                <w:rFonts w:ascii="Arial" w:cs="Arial" w:eastAsia="Arial" w:hAnsi="Arial"/>
                <w:sz w:val="14"/>
                <w:szCs w:val="14"/>
                <w:color w:val="auto"/>
              </w:rPr>
              <w:t>Less: Changes in fair value of</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Arial" w:cs="Arial" w:eastAsia="Arial" w:hAnsi="Arial"/>
                <w:sz w:val="14"/>
                <w:szCs w:val="14"/>
                <w:color w:val="auto"/>
              </w:rPr>
              <w:t>non-hedge derivative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(567)</w:t>
            </w:r>
          </w:p>
        </w:tc>
        <w:tc>
          <w:tcPr>
            <w:tcW w:w="0" w:type="dxa"/>
            <w:vAlign w:val="bottom"/>
          </w:tcPr>
          <w:p>
            <w:pPr>
              <w:spacing w:after="0"/>
              <w:rPr>
                <w:sz w:val="1"/>
                <w:szCs w:val="1"/>
                <w:color w:val="auto"/>
              </w:rPr>
            </w:pPr>
          </w:p>
        </w:tc>
      </w:tr>
      <w:tr>
        <w:trPr>
          <w:trHeight w:val="178"/>
        </w:trPr>
        <w:tc>
          <w:tcPr>
            <w:tcW w:w="2040" w:type="dxa"/>
            <w:vAlign w:val="bottom"/>
          </w:tcPr>
          <w:p>
            <w:pPr>
              <w:ind w:left="20"/>
              <w:spacing w:after="0"/>
              <w:rPr>
                <w:sz w:val="20"/>
                <w:szCs w:val="20"/>
                <w:color w:val="auto"/>
              </w:rPr>
            </w:pPr>
            <w:r>
              <w:rPr>
                <w:rFonts w:ascii="Arial" w:cs="Arial" w:eastAsia="Arial" w:hAnsi="Arial"/>
                <w:sz w:val="14"/>
                <w:szCs w:val="14"/>
                <w:color w:val="auto"/>
              </w:rPr>
              <w:t>instruments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Losses on the</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modification or extinguishment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debt and capital lease</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obligations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40" w:type="dxa"/>
            <w:vAlign w:val="bottom"/>
          </w:tcPr>
          <w:p>
            <w:pPr>
              <w:ind w:left="20"/>
              <w:spacing w:after="0"/>
              <w:rPr>
                <w:sz w:val="20"/>
                <w:szCs w:val="20"/>
                <w:color w:val="auto"/>
              </w:rPr>
            </w:pPr>
            <w:r>
              <w:rPr>
                <w:rFonts w:ascii="Arial" w:cs="Arial" w:eastAsia="Arial" w:hAnsi="Arial"/>
                <w:sz w:val="14"/>
                <w:szCs w:val="14"/>
                <w:color w:val="auto"/>
              </w:rPr>
              <w:t>Less: Acquisition and</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(4,734)</w:t>
            </w:r>
          </w:p>
        </w:tc>
        <w:tc>
          <w:tcPr>
            <w:tcW w:w="0" w:type="dxa"/>
            <w:vAlign w:val="bottom"/>
          </w:tcPr>
          <w:p>
            <w:pPr>
              <w:spacing w:after="0"/>
              <w:rPr>
                <w:sz w:val="1"/>
                <w:szCs w:val="1"/>
                <w:color w:val="auto"/>
              </w:rPr>
            </w:pPr>
          </w:p>
        </w:tc>
      </w:tr>
      <w:tr>
        <w:trPr>
          <w:trHeight w:val="178"/>
        </w:trPr>
        <w:tc>
          <w:tcPr>
            <w:tcW w:w="2040" w:type="dxa"/>
            <w:vAlign w:val="bottom"/>
          </w:tcPr>
          <w:p>
            <w:pPr>
              <w:ind w:left="20"/>
              <w:spacing w:after="0"/>
              <w:rPr>
                <w:sz w:val="20"/>
                <w:szCs w:val="20"/>
                <w:color w:val="auto"/>
              </w:rPr>
            </w:pPr>
            <w:r>
              <w:rPr>
                <w:rFonts w:ascii="Arial" w:cs="Arial" w:eastAsia="Arial" w:hAnsi="Arial"/>
                <w:sz w:val="14"/>
                <w:szCs w:val="14"/>
                <w:color w:val="auto"/>
              </w:rPr>
              <w:t>transaction expenses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Equity-based</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(669)</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expense</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40" w:type="dxa"/>
            <w:vAlign w:val="bottom"/>
          </w:tcPr>
          <w:p>
            <w:pPr>
              <w:ind w:left="20"/>
              <w:spacing w:after="0"/>
              <w:rPr>
                <w:sz w:val="20"/>
                <w:szCs w:val="20"/>
                <w:color w:val="auto"/>
              </w:rPr>
            </w:pPr>
            <w:r>
              <w:rPr>
                <w:rFonts w:ascii="Arial" w:cs="Arial" w:eastAsia="Arial" w:hAnsi="Arial"/>
                <w:sz w:val="14"/>
                <w:szCs w:val="14"/>
                <w:color w:val="auto"/>
              </w:rPr>
              <w:t>Less: Provision for income</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(1,580)</w:t>
            </w:r>
          </w:p>
        </w:tc>
        <w:tc>
          <w:tcPr>
            <w:tcW w:w="0" w:type="dxa"/>
            <w:vAlign w:val="bottom"/>
          </w:tcPr>
          <w:p>
            <w:pPr>
              <w:spacing w:after="0"/>
              <w:rPr>
                <w:sz w:val="1"/>
                <w:szCs w:val="1"/>
                <w:color w:val="auto"/>
              </w:rPr>
            </w:pPr>
          </w:p>
        </w:tc>
      </w:tr>
      <w:tr>
        <w:trPr>
          <w:trHeight w:val="178"/>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taxes</w:t>
            </w:r>
          </w:p>
        </w:tc>
        <w:tc>
          <w:tcPr>
            <w:tcW w:w="16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4,845</w:t>
            </w:r>
          </w:p>
        </w:tc>
        <w:tc>
          <w:tcPr>
            <w:tcW w:w="0" w:type="dxa"/>
            <w:vAlign w:val="bottom"/>
          </w:tcPr>
          <w:p>
            <w:pPr>
              <w:spacing w:after="0"/>
              <w:rPr>
                <w:sz w:val="1"/>
                <w:szCs w:val="1"/>
                <w:color w:val="auto"/>
              </w:rPr>
            </w:pPr>
          </w:p>
        </w:tc>
      </w:tr>
      <w:tr>
        <w:trPr>
          <w:trHeight w:val="171"/>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shareholders</w:t>
            </w: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18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8"/>
          </w:tcPr>
          <w:p>
            <w:pPr>
              <w:ind w:left="300"/>
              <w:spacing w:after="0"/>
              <w:rPr>
                <w:sz w:val="20"/>
                <w:szCs w:val="20"/>
                <w:color w:val="auto"/>
              </w:rPr>
            </w:pPr>
            <w:r>
              <w:rPr>
                <w:rFonts w:ascii="Arial" w:cs="Arial" w:eastAsia="Arial" w:hAnsi="Arial"/>
                <w:sz w:val="14"/>
                <w:szCs w:val="14"/>
                <w:b w:val="1"/>
                <w:bCs w:val="1"/>
                <w:color w:val="auto"/>
              </w:rPr>
              <w:t>Nine Months Ended September 30, 2018</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64"/>
        </w:trPr>
        <w:tc>
          <w:tcPr>
            <w:tcW w:w="18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Equipment Leasing</w:t>
            </w: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75"/>
        </w:trPr>
        <w:tc>
          <w:tcPr>
            <w:tcW w:w="1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8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Jefferson</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6"/>
        </w:trPr>
        <w:tc>
          <w:tcPr>
            <w:tcW w:w="182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tcPr>
          <w:p>
            <w:pPr>
              <w:spacing w:after="0"/>
              <w:rPr>
                <w:sz w:val="17"/>
                <w:szCs w:val="17"/>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Offshore Energy</w:t>
            </w:r>
          </w:p>
        </w:tc>
        <w:tc>
          <w:tcPr>
            <w:tcW w:w="16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Containers</w:t>
            </w: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Terminal</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Railroad</w:t>
            </w:r>
          </w:p>
        </w:tc>
        <w:tc>
          <w:tcPr>
            <w:tcW w:w="18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60" w:type="dxa"/>
            <w:vAlign w:val="bottom"/>
          </w:tcPr>
          <w:p>
            <w:pPr>
              <w:spacing w:after="0"/>
              <w:rPr>
                <w:sz w:val="17"/>
                <w:szCs w:val="17"/>
                <w:color w:val="auto"/>
              </w:rPr>
            </w:pPr>
          </w:p>
        </w:tc>
        <w:tc>
          <w:tcPr>
            <w:tcW w:w="90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70"/>
        </w:trPr>
        <w:tc>
          <w:tcPr>
            <w:tcW w:w="1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r>
      <w:tr>
        <w:trPr>
          <w:trHeight w:val="264"/>
        </w:trPr>
        <w:tc>
          <w:tcPr>
            <w:tcW w:w="1820" w:type="dxa"/>
            <w:vAlign w:val="bottom"/>
          </w:tcPr>
          <w:p>
            <w:pPr>
              <w:ind w:left="20"/>
              <w:spacing w:after="0"/>
              <w:rPr>
                <w:sz w:val="20"/>
                <w:szCs w:val="20"/>
                <w:color w:val="auto"/>
              </w:rPr>
            </w:pPr>
            <w:r>
              <w:rPr>
                <w:rFonts w:ascii="Arial" w:cs="Arial" w:eastAsia="Arial" w:hAnsi="Arial"/>
                <w:sz w:val="14"/>
                <w:szCs w:val="14"/>
                <w:color w:val="auto"/>
              </w:rPr>
              <w:t>Africa</w:t>
            </w:r>
          </w:p>
        </w:tc>
        <w:tc>
          <w:tcPr>
            <w:tcW w:w="3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6,779</w:t>
            </w:r>
          </w:p>
        </w:tc>
        <w:tc>
          <w:tcPr>
            <w:tcW w:w="540" w:type="dxa"/>
            <w:vAlign w:val="bottom"/>
            <w:gridSpan w:val="2"/>
          </w:tcPr>
          <w:p>
            <w:pPr>
              <w:ind w:left="14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6,779</w:t>
            </w:r>
          </w:p>
        </w:tc>
      </w:tr>
      <w:tr>
        <w:trPr>
          <w:trHeight w:val="276"/>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48,275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6,214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54,539</w:t>
            </w:r>
          </w:p>
        </w:tc>
      </w:tr>
      <w:tr>
        <w:trPr>
          <w:trHeight w:val="264"/>
        </w:trPr>
        <w:tc>
          <w:tcPr>
            <w:tcW w:w="1820" w:type="dxa"/>
            <w:vAlign w:val="bottom"/>
          </w:tcPr>
          <w:p>
            <w:pPr>
              <w:ind w:left="20"/>
              <w:spacing w:after="0"/>
              <w:rPr>
                <w:sz w:val="20"/>
                <w:szCs w:val="20"/>
                <w:color w:val="auto"/>
              </w:rPr>
            </w:pPr>
            <w:r>
              <w:rPr>
                <w:rFonts w:ascii="Arial" w:cs="Arial" w:eastAsia="Arial" w:hAnsi="Arial"/>
                <w:sz w:val="14"/>
                <w:szCs w:val="14"/>
                <w:color w:val="auto"/>
              </w:rPr>
              <w:t>Europe</w:t>
            </w:r>
          </w:p>
        </w:tc>
        <w:tc>
          <w:tcPr>
            <w:tcW w:w="3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98,570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98,570</w:t>
            </w:r>
          </w:p>
        </w:tc>
      </w:tr>
      <w:tr>
        <w:trPr>
          <w:trHeight w:val="276"/>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22,848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1,096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21,639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28,742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5,593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79,918</w:t>
            </w:r>
          </w:p>
        </w:tc>
      </w:tr>
      <w:tr>
        <w:trPr>
          <w:trHeight w:val="264"/>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2,172</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2,172</w:t>
            </w:r>
          </w:p>
        </w:tc>
      </w:tr>
      <w:tr>
        <w:trPr>
          <w:trHeight w:val="243"/>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178,644</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7,310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21,639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28,742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5,593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241,978</w:t>
            </w: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020"/>
          </w:cols>
          <w:pgMar w:left="240" w:top="121" w:right="639" w:bottom="1440" w:gutter="0" w:footer="0" w:header="0"/>
        </w:sectPr>
      </w:pPr>
    </w:p>
    <w:bookmarkStart w:id="35" w:name="page36"/>
    <w:bookmarkEnd w:id="35"/>
    <w:p>
      <w:pPr>
        <w:ind w:right="34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II. For the Three Months Ended September 30, 2017</w:t>
      </w:r>
    </w:p>
    <w:p>
      <w:pPr>
        <w:spacing w:after="0" w:line="38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200" w:type="dxa"/>
            <w:vAlign w:val="bottom"/>
            <w:tcBorders>
              <w:bottom w:val="single" w:sz="8" w:color="auto"/>
            </w:tcBorders>
            <w:gridSpan w:val="11"/>
          </w:tcPr>
          <w:p>
            <w:pPr>
              <w:ind w:left="480"/>
              <w:spacing w:after="0"/>
              <w:rPr>
                <w:sz w:val="20"/>
                <w:szCs w:val="20"/>
                <w:color w:val="auto"/>
              </w:rPr>
            </w:pPr>
            <w:r>
              <w:rPr>
                <w:rFonts w:ascii="Arial" w:cs="Arial" w:eastAsia="Arial" w:hAnsi="Arial"/>
                <w:sz w:val="14"/>
                <w:szCs w:val="14"/>
                <w:b w:val="1"/>
                <w:bCs w:val="1"/>
                <w:color w:val="auto"/>
              </w:rPr>
              <w:t>Three Months Ended September 30, 2017</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264"/>
        </w:trPr>
        <w:tc>
          <w:tcPr>
            <w:tcW w:w="22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75"/>
        </w:trPr>
        <w:tc>
          <w:tcPr>
            <w:tcW w:w="2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96"/>
        </w:trPr>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Containers</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Terminal</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Railroad</w:t>
            </w: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7"/>
                <w:szCs w:val="17"/>
                <w:color w:val="auto"/>
              </w:rPr>
            </w:pPr>
          </w:p>
        </w:tc>
        <w:tc>
          <w:tcPr>
            <w:tcW w:w="640" w:type="dxa"/>
            <w:vAlign w:val="bottom"/>
          </w:tcPr>
          <w:p>
            <w:pPr>
              <w:jc w:val="right"/>
              <w:ind w:right="168"/>
              <w:spacing w:after="0"/>
              <w:rPr>
                <w:sz w:val="20"/>
                <w:szCs w:val="20"/>
                <w:color w:val="auto"/>
              </w:rPr>
            </w:pPr>
            <w:r>
              <w:rPr>
                <w:rFonts w:ascii="Arial" w:cs="Arial" w:eastAsia="Arial" w:hAnsi="Arial"/>
                <w:sz w:val="14"/>
                <w:szCs w:val="14"/>
                <w:b w:val="1"/>
                <w:bCs w:val="1"/>
                <w:color w:val="auto"/>
              </w:rPr>
              <w:t>Total</w:t>
            </w:r>
          </w:p>
        </w:tc>
      </w:tr>
      <w:tr>
        <w:trPr>
          <w:trHeight w:val="270"/>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r>
      <w:tr>
        <w:trPr>
          <w:trHeight w:val="264"/>
        </w:trPr>
        <w:tc>
          <w:tcPr>
            <w:tcW w:w="224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43,474</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6,117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49,616</w:t>
            </w:r>
          </w:p>
        </w:tc>
      </w:tr>
      <w:tr>
        <w:trPr>
          <w:trHeight w:val="27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8,258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10,746</w:t>
            </w:r>
          </w:p>
        </w:tc>
      </w:tr>
      <w:tr>
        <w:trPr>
          <w:trHeight w:val="250"/>
        </w:trPr>
        <w:tc>
          <w:tcPr>
            <w:tcW w:w="224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43,474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6,117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1,730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8,258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60,362</w:t>
            </w:r>
          </w:p>
        </w:tc>
      </w:tr>
      <w:tr>
        <w:trPr>
          <w:trHeight w:val="324"/>
        </w:trPr>
        <w:tc>
          <w:tcPr>
            <w:tcW w:w="224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spacing w:after="0"/>
              <w:rPr>
                <w:sz w:val="24"/>
                <w:szCs w:val="24"/>
                <w:color w:val="auto"/>
              </w:rPr>
            </w:pPr>
          </w:p>
        </w:tc>
      </w:tr>
      <w:tr>
        <w:trPr>
          <w:trHeight w:val="264"/>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6"/>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5,103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7,039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6,980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2,852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23,688</w:t>
            </w:r>
          </w:p>
        </w:tc>
      </w:tr>
      <w:tr>
        <w:trPr>
          <w:trHeight w:val="264"/>
        </w:trPr>
        <w:tc>
          <w:tcPr>
            <w:tcW w:w="22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3,439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3,439</w:t>
            </w:r>
          </w:p>
        </w:tc>
      </w:tr>
      <w:tr>
        <w:trPr>
          <w:trHeight w:val="20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4"/>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1,732</w:t>
            </w:r>
          </w:p>
        </w:tc>
      </w:tr>
      <w:tr>
        <w:trPr>
          <w:trHeight w:val="194"/>
        </w:trPr>
        <w:tc>
          <w:tcPr>
            <w:tcW w:w="2240" w:type="dxa"/>
            <w:vAlign w:val="bottom"/>
          </w:tcPr>
          <w:p>
            <w:pPr>
              <w:ind w:left="20"/>
              <w:spacing w:after="0"/>
              <w:rPr>
                <w:sz w:val="20"/>
                <w:szCs w:val="20"/>
                <w:color w:val="auto"/>
              </w:rPr>
            </w:pPr>
            <w:r>
              <w:rPr>
                <w:rFonts w:ascii="Arial" w:cs="Arial" w:eastAsia="Arial" w:hAnsi="Arial"/>
                <w:sz w:val="14"/>
                <w:szCs w:val="14"/>
                <w:color w:val="auto"/>
              </w:rPr>
              <w:t>Management fees and incentive</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78"/>
        </w:trPr>
        <w:tc>
          <w:tcPr>
            <w:tcW w:w="2240" w:type="dxa"/>
            <w:vAlign w:val="bottom"/>
          </w:tcPr>
          <w:p>
            <w:pPr>
              <w:ind w:left="20"/>
              <w:spacing w:after="0"/>
              <w:rPr>
                <w:sz w:val="20"/>
                <w:szCs w:val="20"/>
                <w:color w:val="auto"/>
              </w:rPr>
            </w:pPr>
            <w:r>
              <w:rPr>
                <w:rFonts w:ascii="Arial" w:cs="Arial" w:eastAsia="Arial" w:hAnsi="Arial"/>
                <w:sz w:val="14"/>
                <w:szCs w:val="14"/>
                <w:color w:val="auto"/>
              </w:rPr>
              <w:t>allocation to affiliate</w:t>
            </w:r>
          </w:p>
        </w:tc>
        <w:tc>
          <w:tcPr>
            <w:tcW w:w="16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3,771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3,771</w:t>
            </w:r>
          </w:p>
        </w:tc>
      </w:tr>
      <w:tr>
        <w:trPr>
          <w:trHeight w:val="276"/>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17,909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24,784</w:t>
            </w:r>
          </w:p>
        </w:tc>
      </w:tr>
      <w:tr>
        <w:trPr>
          <w:trHeight w:val="264"/>
        </w:trPr>
        <w:tc>
          <w:tcPr>
            <w:tcW w:w="22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946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1,408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6,023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8,914</w:t>
            </w:r>
          </w:p>
        </w:tc>
      </w:tr>
      <w:tr>
        <w:trPr>
          <w:trHeight w:val="250"/>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19,621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7,656</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12,425</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7,751</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3,908</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14,959</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66,328</w:t>
            </w:r>
          </w:p>
        </w:tc>
      </w:tr>
      <w:tr>
        <w:trPr>
          <w:trHeight w:val="324"/>
        </w:trPr>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r>
      <w:tr>
        <w:trPr>
          <w:trHeight w:val="194"/>
        </w:trPr>
        <w:tc>
          <w:tcPr>
            <w:tcW w:w="2240" w:type="dxa"/>
            <w:vAlign w:val="bottom"/>
          </w:tcPr>
          <w:p>
            <w:pPr>
              <w:ind w:left="20"/>
              <w:spacing w:after="0"/>
              <w:rPr>
                <w:sz w:val="20"/>
                <w:szCs w:val="20"/>
                <w:color w:val="auto"/>
              </w:rPr>
            </w:pPr>
            <w:r>
              <w:rPr>
                <w:rFonts w:ascii="Arial" w:cs="Arial" w:eastAsia="Arial" w:hAnsi="Arial"/>
                <w:sz w:val="14"/>
                <w:szCs w:val="14"/>
                <w:color w:val="auto"/>
              </w:rPr>
              <w:t>Equity in (losses) earnings of</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78"/>
        </w:trPr>
        <w:tc>
          <w:tcPr>
            <w:tcW w:w="224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132</w:t>
            </w:r>
          </w:p>
        </w:tc>
      </w:tr>
      <w:tr>
        <w:trPr>
          <w:trHeight w:val="20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(loss) on sale of equipment,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4"/>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2,709</w:t>
            </w:r>
          </w:p>
        </w:tc>
      </w:tr>
      <w:tr>
        <w:trPr>
          <w:trHeight w:val="264"/>
        </w:trPr>
        <w:tc>
          <w:tcPr>
            <w:tcW w:w="22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215</w:t>
            </w:r>
          </w:p>
        </w:tc>
      </w:tr>
      <w:tr>
        <w:trPr>
          <w:trHeight w:val="27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2,148</w:t>
            </w:r>
          </w:p>
        </w:tc>
      </w:tr>
      <w:tr>
        <w:trPr>
          <w:trHeight w:val="250"/>
        </w:trPr>
        <w:tc>
          <w:tcPr>
            <w:tcW w:w="2240" w:type="dxa"/>
            <w:vAlign w:val="bottom"/>
          </w:tcPr>
          <w:p>
            <w:pPr>
              <w:ind w:left="20"/>
              <w:spacing w:after="0"/>
              <w:rPr>
                <w:sz w:val="20"/>
                <w:szCs w:val="20"/>
                <w:color w:val="auto"/>
              </w:rPr>
            </w:pPr>
            <w:r>
              <w:rPr>
                <w:rFonts w:ascii="Arial" w:cs="Arial" w:eastAsia="Arial" w:hAnsi="Arial"/>
                <w:sz w:val="14"/>
                <w:szCs w:val="14"/>
                <w:color w:val="auto"/>
              </w:rPr>
              <w:t>Total other income (expense)</w:t>
            </w:r>
          </w:p>
        </w:tc>
        <w:tc>
          <w:tcPr>
            <w:tcW w:w="16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2,719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5,204</w:t>
            </w:r>
          </w:p>
        </w:tc>
      </w:tr>
      <w:tr>
        <w:trPr>
          <w:trHeight w:val="162"/>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w:t>
            </w: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r>
      <w:tr>
        <w:trPr>
          <w:trHeight w:val="202"/>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taxes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26,572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w:t>
            </w:r>
          </w:p>
        </w:tc>
      </w:tr>
      <w:tr>
        <w:trPr>
          <w:trHeight w:val="194"/>
        </w:trPr>
        <w:tc>
          <w:tcPr>
            <w:tcW w:w="2240" w:type="dxa"/>
            <w:vAlign w:val="bottom"/>
          </w:tcPr>
          <w:p>
            <w:pPr>
              <w:ind w:left="20"/>
              <w:spacing w:after="0"/>
              <w:rPr>
                <w:sz w:val="20"/>
                <w:szCs w:val="20"/>
                <w:color w:val="auto"/>
              </w:rPr>
            </w:pPr>
            <w:r>
              <w:rPr>
                <w:rFonts w:ascii="Arial" w:cs="Arial" w:eastAsia="Arial" w:hAnsi="Arial"/>
                <w:sz w:val="14"/>
                <w:szCs w:val="14"/>
                <w:color w:val="auto"/>
              </w:rPr>
              <w:t>Provision for (benefit from) income</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78"/>
        </w:trPr>
        <w:tc>
          <w:tcPr>
            <w:tcW w:w="2240" w:type="dxa"/>
            <w:vAlign w:val="bottom"/>
          </w:tcPr>
          <w:p>
            <w:pPr>
              <w:ind w:left="20"/>
              <w:spacing w:after="0"/>
              <w:rPr>
                <w:sz w:val="20"/>
                <w:szCs w:val="20"/>
                <w:color w:val="auto"/>
              </w:rPr>
            </w:pPr>
            <w:r>
              <w:rPr>
                <w:rFonts w:ascii="Arial" w:cs="Arial" w:eastAsia="Arial" w:hAnsi="Arial"/>
                <w:sz w:val="14"/>
                <w:szCs w:val="14"/>
                <w:color w:val="auto"/>
              </w:rPr>
              <w:t>taxes</w:t>
            </w:r>
          </w:p>
        </w:tc>
        <w:tc>
          <w:tcPr>
            <w:tcW w:w="16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927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909</w:t>
            </w:r>
          </w:p>
        </w:tc>
      </w:tr>
      <w:tr>
        <w:trPr>
          <w:trHeight w:val="256"/>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25,645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(9,501)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(14,959)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(1,671)</w:t>
            </w:r>
          </w:p>
        </w:tc>
      </w:tr>
      <w:tr>
        <w:trPr>
          <w:trHeight w:val="174"/>
        </w:trPr>
        <w:tc>
          <w:tcPr>
            <w:tcW w:w="2240" w:type="dxa"/>
            <w:vAlign w:val="bottom"/>
          </w:tcPr>
          <w:p>
            <w:pPr>
              <w:ind w:left="20"/>
              <w:spacing w:after="0"/>
              <w:rPr>
                <w:sz w:val="20"/>
                <w:szCs w:val="20"/>
                <w:color w:val="auto"/>
              </w:rPr>
            </w:pPr>
            <w:r>
              <w:rPr>
                <w:rFonts w:ascii="Arial" w:cs="Arial" w:eastAsia="Arial" w:hAnsi="Arial"/>
                <w:sz w:val="14"/>
                <w:szCs w:val="14"/>
                <w:color w:val="auto"/>
              </w:rPr>
              <w:t>Less: Net income (loss)</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62"/>
        </w:trPr>
        <w:tc>
          <w:tcPr>
            <w:tcW w:w="2240" w:type="dxa"/>
            <w:vAlign w:val="bottom"/>
          </w:tcPr>
          <w:p>
            <w:pPr>
              <w:ind w:left="20"/>
              <w:spacing w:after="0"/>
              <w:rPr>
                <w:sz w:val="20"/>
                <w:szCs w:val="20"/>
                <w:color w:val="auto"/>
              </w:rPr>
            </w:pPr>
            <w:r>
              <w:rPr>
                <w:rFonts w:ascii="Arial" w:cs="Arial" w:eastAsia="Arial" w:hAnsi="Arial"/>
                <w:sz w:val="14"/>
                <w:szCs w:val="14"/>
                <w:color w:val="auto"/>
              </w:rPr>
              <w:t>attributable to non-controlling</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2240" w:type="dxa"/>
            <w:vAlign w:val="bottom"/>
          </w:tcPr>
          <w:p>
            <w:pPr>
              <w:ind w:left="20"/>
              <w:spacing w:after="0"/>
              <w:rPr>
                <w:sz w:val="20"/>
                <w:szCs w:val="20"/>
                <w:color w:val="auto"/>
              </w:rPr>
            </w:pPr>
            <w:r>
              <w:rPr>
                <w:rFonts w:ascii="Arial" w:cs="Arial" w:eastAsia="Arial" w:hAnsi="Arial"/>
                <w:sz w:val="14"/>
                <w:szCs w:val="14"/>
                <w:color w:val="auto"/>
              </w:rPr>
              <w:t>interests in consolidated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8"/>
        </w:trPr>
        <w:tc>
          <w:tcPr>
            <w:tcW w:w="2240" w:type="dxa"/>
            <w:vAlign w:val="bottom"/>
          </w:tcPr>
          <w:p>
            <w:pPr>
              <w:ind w:left="20"/>
              <w:spacing w:after="0"/>
              <w:rPr>
                <w:sz w:val="20"/>
                <w:szCs w:val="20"/>
                <w:color w:val="auto"/>
              </w:rPr>
            </w:pPr>
            <w:r>
              <w:rPr>
                <w:rFonts w:ascii="Arial" w:cs="Arial" w:eastAsia="Arial" w:hAnsi="Arial"/>
                <w:sz w:val="14"/>
                <w:szCs w:val="14"/>
                <w:color w:val="auto"/>
              </w:rPr>
              <w:t>subsidiaries</w:t>
            </w:r>
          </w:p>
        </w:tc>
        <w:tc>
          <w:tcPr>
            <w:tcW w:w="16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303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(4,806)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(4,669)</w:t>
            </w:r>
          </w:p>
        </w:tc>
      </w:tr>
      <w:tr>
        <w:trPr>
          <w:trHeight w:val="162"/>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w:t>
            </w: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r>
      <w:tr>
        <w:trPr>
          <w:trHeight w:val="189"/>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shareholders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25,342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2,998</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020"/>
          </w:cols>
          <w:pgMar w:left="240" w:top="121" w:right="639" w:bottom="1440" w:gutter="0" w:footer="0" w:header="0"/>
        </w:sectPr>
      </w:pPr>
    </w:p>
    <w:bookmarkStart w:id="36" w:name="page37"/>
    <w:bookmarkEnd w:id="36"/>
    <w:p>
      <w:pPr>
        <w:ind w:right="34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a reconciliation of Adjusted Net Income (Loss) to net loss attributable to shareholders: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0" w:type="dxa"/>
            <w:vAlign w:val="bottom"/>
            <w:tcBorders>
              <w:bottom w:val="single" w:sz="8" w:color="auto"/>
            </w:tcBorders>
            <w:gridSpan w:val="11"/>
          </w:tcPr>
          <w:p>
            <w:pPr>
              <w:ind w:left="540"/>
              <w:spacing w:after="0"/>
              <w:rPr>
                <w:sz w:val="20"/>
                <w:szCs w:val="20"/>
                <w:color w:val="auto"/>
              </w:rPr>
            </w:pPr>
            <w:r>
              <w:rPr>
                <w:rFonts w:ascii="Arial" w:cs="Arial" w:eastAsia="Arial" w:hAnsi="Arial"/>
                <w:sz w:val="14"/>
                <w:szCs w:val="14"/>
                <w:b w:val="1"/>
                <w:bCs w:val="1"/>
                <w:color w:val="auto"/>
              </w:rPr>
              <w:t>Three Months Ended September 30, 2017</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Leasing</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Energy</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Containers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Terminal</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Railroad</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Terminals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26,274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(13,673)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3,837</w:t>
            </w:r>
          </w:p>
        </w:tc>
        <w:tc>
          <w:tcPr>
            <w:tcW w:w="0" w:type="dxa"/>
            <w:vAlign w:val="bottom"/>
          </w:tcPr>
          <w:p>
            <w:pPr>
              <w:spacing w:after="0"/>
              <w:rPr>
                <w:sz w:val="1"/>
                <w:szCs w:val="1"/>
                <w:color w:val="auto"/>
              </w:rPr>
            </w:pPr>
          </w:p>
        </w:tc>
      </w:tr>
      <w:tr>
        <w:trPr>
          <w:trHeight w:val="174"/>
        </w:trPr>
        <w:tc>
          <w:tcPr>
            <w:tcW w:w="2140" w:type="dxa"/>
            <w:vAlign w:val="bottom"/>
          </w:tcPr>
          <w:p>
            <w:pPr>
              <w:ind w:left="20"/>
              <w:spacing w:after="0"/>
              <w:rPr>
                <w:sz w:val="20"/>
                <w:szCs w:val="20"/>
                <w:color w:val="auto"/>
              </w:rPr>
            </w:pPr>
            <w:r>
              <w:rPr>
                <w:rFonts w:ascii="Arial" w:cs="Arial" w:eastAsia="Arial" w:hAnsi="Arial"/>
                <w:sz w:val="14"/>
                <w:szCs w:val="14"/>
                <w:color w:val="auto"/>
              </w:rPr>
              <w:t>Add: Non-controlling share of</w:t>
            </w: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40" w:type="dxa"/>
            <w:vAlign w:val="bottom"/>
          </w:tcPr>
          <w:p>
            <w:pPr>
              <w:ind w:left="20"/>
              <w:spacing w:after="0"/>
              <w:rPr>
                <w:sz w:val="20"/>
                <w:szCs w:val="20"/>
                <w:color w:val="auto"/>
              </w:rPr>
            </w:pPr>
            <w:r>
              <w:rPr>
                <w:rFonts w:ascii="Arial" w:cs="Arial" w:eastAsia="Arial" w:hAnsi="Arial"/>
                <w:sz w:val="14"/>
                <w:szCs w:val="14"/>
                <w:color w:val="auto"/>
              </w:rPr>
              <w:t>adjustments to Adjusted Net</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140" w:type="dxa"/>
            <w:vAlign w:val="bottom"/>
          </w:tcPr>
          <w:p>
            <w:pPr>
              <w:ind w:left="20"/>
              <w:spacing w:after="0"/>
              <w:rPr>
                <w:sz w:val="20"/>
                <w:szCs w:val="20"/>
                <w:color w:val="auto"/>
              </w:rPr>
            </w:pPr>
            <w:r>
              <w:rPr>
                <w:rFonts w:ascii="Arial" w:cs="Arial" w:eastAsia="Arial" w:hAnsi="Arial"/>
                <w:sz w:val="14"/>
                <w:szCs w:val="14"/>
                <w:color w:val="auto"/>
              </w:rPr>
              <w:t>Income</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20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earnings of</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94"/>
        </w:trPr>
        <w:tc>
          <w:tcPr>
            <w:tcW w:w="2140" w:type="dxa"/>
            <w:vAlign w:val="bottom"/>
          </w:tcPr>
          <w:p>
            <w:pPr>
              <w:ind w:left="20"/>
              <w:spacing w:after="0"/>
              <w:rPr>
                <w:sz w:val="20"/>
                <w:szCs w:val="20"/>
                <w:color w:val="auto"/>
              </w:rPr>
            </w:pPr>
            <w:r>
              <w:rPr>
                <w:rFonts w:ascii="Arial" w:cs="Arial" w:eastAsia="Arial" w:hAnsi="Arial"/>
                <w:sz w:val="14"/>
                <w:szCs w:val="14"/>
                <w:color w:val="auto"/>
              </w:rPr>
              <w:t>Add: Cash payments for income</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140" w:type="dxa"/>
            <w:vAlign w:val="bottom"/>
          </w:tcPr>
          <w:p>
            <w:pPr>
              <w:ind w:left="20"/>
              <w:spacing w:after="0"/>
              <w:rPr>
                <w:sz w:val="20"/>
                <w:szCs w:val="20"/>
                <w:color w:val="auto"/>
              </w:rPr>
            </w:pPr>
            <w:r>
              <w:rPr>
                <w:rFonts w:ascii="Arial" w:cs="Arial" w:eastAsia="Arial" w:hAnsi="Arial"/>
                <w:sz w:val="14"/>
                <w:szCs w:val="14"/>
                <w:color w:val="auto"/>
              </w:rPr>
              <w:t>taxes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276"/>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140" w:type="dxa"/>
            <w:vAlign w:val="bottom"/>
          </w:tcPr>
          <w:p>
            <w:pPr>
              <w:ind w:left="20"/>
              <w:spacing w:after="0"/>
              <w:rPr>
                <w:sz w:val="20"/>
                <w:szCs w:val="20"/>
                <w:color w:val="auto"/>
              </w:rPr>
            </w:pPr>
            <w:r>
              <w:rPr>
                <w:rFonts w:ascii="Arial" w:cs="Arial" w:eastAsia="Arial" w:hAnsi="Arial"/>
                <w:sz w:val="14"/>
                <w:szCs w:val="14"/>
                <w:color w:val="auto"/>
              </w:rPr>
              <w:t>Less: Pro-rata share of Adjusted</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40" w:type="dxa"/>
            <w:vAlign w:val="bottom"/>
          </w:tcPr>
          <w:p>
            <w:pPr>
              <w:ind w:left="20"/>
              <w:spacing w:after="0"/>
              <w:rPr>
                <w:sz w:val="20"/>
                <w:szCs w:val="20"/>
                <w:color w:val="auto"/>
              </w:rPr>
            </w:pPr>
            <w:r>
              <w:rPr>
                <w:rFonts w:ascii="Arial" w:cs="Arial" w:eastAsia="Arial" w:hAnsi="Arial"/>
                <w:sz w:val="14"/>
                <w:szCs w:val="14"/>
                <w:color w:val="auto"/>
              </w:rPr>
              <w:t>Net Income from investments in</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14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76"/>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Asset impairment charges</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140" w:type="dxa"/>
            <w:vAlign w:val="bottom"/>
          </w:tcPr>
          <w:p>
            <w:pPr>
              <w:ind w:left="20"/>
              <w:spacing w:after="0"/>
              <w:rPr>
                <w:sz w:val="20"/>
                <w:szCs w:val="20"/>
                <w:color w:val="auto"/>
              </w:rPr>
            </w:pPr>
            <w:r>
              <w:rPr>
                <w:rFonts w:ascii="Arial" w:cs="Arial" w:eastAsia="Arial" w:hAnsi="Arial"/>
                <w:sz w:val="14"/>
                <w:szCs w:val="14"/>
                <w:color w:val="auto"/>
              </w:rPr>
              <w:t>Less: Changes in fair value of</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40" w:type="dxa"/>
            <w:vAlign w:val="bottom"/>
          </w:tcPr>
          <w:p>
            <w:pPr>
              <w:ind w:left="20"/>
              <w:spacing w:after="0"/>
              <w:rPr>
                <w:sz w:val="20"/>
                <w:szCs w:val="20"/>
                <w:color w:val="auto"/>
              </w:rPr>
            </w:pPr>
            <w:r>
              <w:rPr>
                <w:rFonts w:ascii="Arial" w:cs="Arial" w:eastAsia="Arial" w:hAnsi="Arial"/>
                <w:sz w:val="14"/>
                <w:szCs w:val="14"/>
                <w:color w:val="auto"/>
              </w:rPr>
              <w:t>non-hedge derivative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140" w:type="dxa"/>
            <w:vAlign w:val="bottom"/>
          </w:tcPr>
          <w:p>
            <w:pPr>
              <w:ind w:left="20"/>
              <w:spacing w:after="0"/>
              <w:rPr>
                <w:sz w:val="20"/>
                <w:szCs w:val="20"/>
                <w:color w:val="auto"/>
              </w:rPr>
            </w:pPr>
            <w:r>
              <w:rPr>
                <w:rFonts w:ascii="Arial" w:cs="Arial" w:eastAsia="Arial" w:hAnsi="Arial"/>
                <w:sz w:val="14"/>
                <w:szCs w:val="14"/>
                <w:color w:val="auto"/>
              </w:rPr>
              <w:t>instruments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1,036</w:t>
            </w:r>
          </w:p>
        </w:tc>
        <w:tc>
          <w:tcPr>
            <w:tcW w:w="0" w:type="dxa"/>
            <w:vAlign w:val="bottom"/>
          </w:tcPr>
          <w:p>
            <w:pPr>
              <w:spacing w:after="0"/>
              <w:rPr>
                <w:sz w:val="1"/>
                <w:szCs w:val="1"/>
                <w:color w:val="auto"/>
              </w:rPr>
            </w:pPr>
          </w:p>
        </w:tc>
      </w:tr>
      <w:tr>
        <w:trPr>
          <w:trHeight w:val="20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Losses on the modification</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or extinguishment of debt and</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140" w:type="dxa"/>
            <w:vAlign w:val="bottom"/>
          </w:tcPr>
          <w:p>
            <w:pPr>
              <w:ind w:left="20"/>
              <w:spacing w:after="0"/>
              <w:rPr>
                <w:sz w:val="20"/>
                <w:szCs w:val="20"/>
                <w:color w:val="auto"/>
              </w:rPr>
            </w:pPr>
            <w:r>
              <w:rPr>
                <w:rFonts w:ascii="Arial" w:cs="Arial" w:eastAsia="Arial" w:hAnsi="Arial"/>
                <w:sz w:val="14"/>
                <w:szCs w:val="14"/>
                <w:color w:val="auto"/>
              </w:rPr>
              <w:t>Less: Acquisition and</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140" w:type="dxa"/>
            <w:vAlign w:val="bottom"/>
          </w:tcPr>
          <w:p>
            <w:pPr>
              <w:ind w:left="20"/>
              <w:spacing w:after="0"/>
              <w:rPr>
                <w:sz w:val="20"/>
                <w:szCs w:val="20"/>
                <w:color w:val="auto"/>
              </w:rPr>
            </w:pPr>
            <w:r>
              <w:rPr>
                <w:rFonts w:ascii="Arial" w:cs="Arial" w:eastAsia="Arial" w:hAnsi="Arial"/>
                <w:sz w:val="14"/>
                <w:szCs w:val="14"/>
                <w:color w:val="auto"/>
              </w:rPr>
              <w:t>transaction expenses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(1,732)</w:t>
            </w:r>
          </w:p>
        </w:tc>
        <w:tc>
          <w:tcPr>
            <w:tcW w:w="0" w:type="dxa"/>
            <w:vAlign w:val="bottom"/>
          </w:tcPr>
          <w:p>
            <w:pPr>
              <w:spacing w:after="0"/>
              <w:rPr>
                <w:sz w:val="1"/>
                <w:szCs w:val="1"/>
                <w:color w:val="auto"/>
              </w:rPr>
            </w:pPr>
          </w:p>
        </w:tc>
      </w:tr>
      <w:tr>
        <w:trPr>
          <w:trHeight w:val="20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Equity-based</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expense</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264"/>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Provision for income taxes</w:t>
            </w:r>
          </w:p>
        </w:tc>
        <w:tc>
          <w:tcPr>
            <w:tcW w:w="16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(909)</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2,998</w:t>
            </w:r>
          </w:p>
        </w:tc>
        <w:tc>
          <w:tcPr>
            <w:tcW w:w="0" w:type="dxa"/>
            <w:vAlign w:val="bottom"/>
          </w:tcPr>
          <w:p>
            <w:pPr>
              <w:spacing w:after="0"/>
              <w:rPr>
                <w:sz w:val="1"/>
                <w:szCs w:val="1"/>
                <w:color w:val="auto"/>
              </w:rPr>
            </w:pPr>
          </w:p>
        </w:tc>
      </w:tr>
      <w:tr>
        <w:trPr>
          <w:trHeight w:val="171"/>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shareholders</w:t>
            </w: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18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Three Months Ended September 30, 2017</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64"/>
        </w:trPr>
        <w:tc>
          <w:tcPr>
            <w:tcW w:w="18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Equipment Leasing</w:t>
            </w: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75"/>
        </w:trPr>
        <w:tc>
          <w:tcPr>
            <w:tcW w:w="1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8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Jefferson</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6"/>
        </w:trPr>
        <w:tc>
          <w:tcPr>
            <w:tcW w:w="182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tcPr>
          <w:p>
            <w:pPr>
              <w:spacing w:after="0"/>
              <w:rPr>
                <w:sz w:val="17"/>
                <w:szCs w:val="17"/>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Offshore Energy</w:t>
            </w:r>
          </w:p>
        </w:tc>
        <w:tc>
          <w:tcPr>
            <w:tcW w:w="16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Containers</w:t>
            </w: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Terminal</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Railroad</w:t>
            </w:r>
          </w:p>
        </w:tc>
        <w:tc>
          <w:tcPr>
            <w:tcW w:w="18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60" w:type="dxa"/>
            <w:vAlign w:val="bottom"/>
          </w:tcPr>
          <w:p>
            <w:pPr>
              <w:spacing w:after="0"/>
              <w:rPr>
                <w:sz w:val="17"/>
                <w:szCs w:val="17"/>
                <w:color w:val="auto"/>
              </w:rPr>
            </w:pPr>
          </w:p>
        </w:tc>
        <w:tc>
          <w:tcPr>
            <w:tcW w:w="90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70"/>
        </w:trPr>
        <w:tc>
          <w:tcPr>
            <w:tcW w:w="1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r>
      <w:tr>
        <w:trPr>
          <w:trHeight w:val="264"/>
        </w:trPr>
        <w:tc>
          <w:tcPr>
            <w:tcW w:w="1820" w:type="dxa"/>
            <w:vAlign w:val="bottom"/>
          </w:tcPr>
          <w:p>
            <w:pPr>
              <w:ind w:left="20"/>
              <w:spacing w:after="0"/>
              <w:rPr>
                <w:sz w:val="20"/>
                <w:szCs w:val="20"/>
                <w:color w:val="auto"/>
              </w:rPr>
            </w:pPr>
            <w:r>
              <w:rPr>
                <w:rFonts w:ascii="Arial" w:cs="Arial" w:eastAsia="Arial" w:hAnsi="Arial"/>
                <w:sz w:val="14"/>
                <w:szCs w:val="14"/>
                <w:color w:val="auto"/>
              </w:rPr>
              <w:t>Africa</w:t>
            </w: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1,964</w:t>
            </w: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1,964</w:t>
            </w:r>
          </w:p>
        </w:tc>
      </w:tr>
      <w:tr>
        <w:trPr>
          <w:trHeight w:val="276"/>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6,094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7,662</w:t>
            </w:r>
          </w:p>
        </w:tc>
      </w:tr>
      <w:tr>
        <w:trPr>
          <w:trHeight w:val="264"/>
        </w:trPr>
        <w:tc>
          <w:tcPr>
            <w:tcW w:w="1820" w:type="dxa"/>
            <w:vAlign w:val="bottom"/>
          </w:tcPr>
          <w:p>
            <w:pPr>
              <w:ind w:left="20"/>
              <w:spacing w:after="0"/>
              <w:rPr>
                <w:sz w:val="20"/>
                <w:szCs w:val="20"/>
                <w:color w:val="auto"/>
              </w:rPr>
            </w:pPr>
            <w:r>
              <w:rPr>
                <w:rFonts w:ascii="Arial" w:cs="Arial" w:eastAsia="Arial" w:hAnsi="Arial"/>
                <w:sz w:val="14"/>
                <w:szCs w:val="14"/>
                <w:color w:val="auto"/>
              </w:rPr>
              <w:t>Europe</w:t>
            </w:r>
          </w:p>
        </w:tc>
        <w:tc>
          <w:tcPr>
            <w:tcW w:w="3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28,907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4,189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33,096</w:t>
            </w:r>
          </w:p>
        </w:tc>
      </w:tr>
      <w:tr>
        <w:trPr>
          <w:trHeight w:val="276"/>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6,509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8,258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17,640</w:t>
            </w:r>
          </w:p>
        </w:tc>
      </w:tr>
      <w:tr>
        <w:trPr>
          <w:trHeight w:val="264"/>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43"/>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43,474</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6,117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8,258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60,362</w:t>
            </w: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020"/>
          </w:cols>
          <w:pgMar w:left="240" w:top="121" w:right="639" w:bottom="1440" w:gutter="0" w:footer="0" w:header="0"/>
        </w:sectPr>
      </w:pPr>
    </w:p>
    <w:bookmarkStart w:id="37" w:name="page38"/>
    <w:bookmarkEnd w:id="37"/>
    <w:p>
      <w:pPr>
        <w:ind w:right="34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II. For the Nine Months Ended September 30, 2017</w:t>
      </w:r>
    </w:p>
    <w:p>
      <w:pPr>
        <w:spacing w:after="0" w:line="38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Nine Months Ended September 30, 2017</w:t>
            </w: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264"/>
        </w:trPr>
        <w:tc>
          <w:tcPr>
            <w:tcW w:w="22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175"/>
        </w:trPr>
        <w:tc>
          <w:tcPr>
            <w:tcW w:w="2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96"/>
        </w:trPr>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Containers</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Terminal</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Railroad</w:t>
            </w: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7"/>
                <w:szCs w:val="17"/>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Total</w:t>
            </w:r>
          </w:p>
        </w:tc>
      </w:tr>
      <w:tr>
        <w:trPr>
          <w:trHeight w:val="270"/>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r>
      <w:tr>
        <w:trPr>
          <w:trHeight w:val="264"/>
        </w:trPr>
        <w:tc>
          <w:tcPr>
            <w:tcW w:w="224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110,357</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10,955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121,387</w:t>
            </w:r>
          </w:p>
        </w:tc>
      </w:tr>
      <w:tr>
        <w:trPr>
          <w:trHeight w:val="27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9,622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24,323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34,842</w:t>
            </w:r>
          </w:p>
        </w:tc>
      </w:tr>
      <w:tr>
        <w:trPr>
          <w:trHeight w:val="250"/>
        </w:trPr>
        <w:tc>
          <w:tcPr>
            <w:tcW w:w="224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110,357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10,955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9,622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24,323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156,229</w:t>
            </w:r>
          </w:p>
        </w:tc>
      </w:tr>
      <w:tr>
        <w:trPr>
          <w:trHeight w:val="324"/>
        </w:trPr>
        <w:tc>
          <w:tcPr>
            <w:tcW w:w="224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660" w:type="dxa"/>
            <w:vAlign w:val="bottom"/>
            <w:tcBorders>
              <w:top w:val="single" w:sz="8" w:color="auto"/>
            </w:tcBorders>
            <w:shd w:val="clear" w:color="auto" w:fill="CCEEFF"/>
          </w:tcPr>
          <w:p>
            <w:pPr>
              <w:spacing w:after="0"/>
              <w:rPr>
                <w:sz w:val="24"/>
                <w:szCs w:val="24"/>
                <w:color w:val="auto"/>
              </w:rPr>
            </w:pPr>
          </w:p>
        </w:tc>
      </w:tr>
      <w:tr>
        <w:trPr>
          <w:trHeight w:val="264"/>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6"/>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4,496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21,919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22,431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66,025</w:t>
            </w:r>
          </w:p>
        </w:tc>
      </w:tr>
      <w:tr>
        <w:trPr>
          <w:trHeight w:val="264"/>
        </w:trPr>
        <w:tc>
          <w:tcPr>
            <w:tcW w:w="22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10,615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10,615</w:t>
            </w:r>
          </w:p>
        </w:tc>
      </w:tr>
      <w:tr>
        <w:trPr>
          <w:trHeight w:val="20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84"/>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4,788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5,064</w:t>
            </w:r>
          </w:p>
        </w:tc>
      </w:tr>
      <w:tr>
        <w:trPr>
          <w:trHeight w:val="194"/>
        </w:trPr>
        <w:tc>
          <w:tcPr>
            <w:tcW w:w="2240" w:type="dxa"/>
            <w:vAlign w:val="bottom"/>
          </w:tcPr>
          <w:p>
            <w:pPr>
              <w:ind w:left="20"/>
              <w:spacing w:after="0"/>
              <w:rPr>
                <w:sz w:val="20"/>
                <w:szCs w:val="20"/>
                <w:color w:val="auto"/>
              </w:rPr>
            </w:pPr>
            <w:r>
              <w:rPr>
                <w:rFonts w:ascii="Arial" w:cs="Arial" w:eastAsia="Arial" w:hAnsi="Arial"/>
                <w:sz w:val="14"/>
                <w:szCs w:val="14"/>
                <w:color w:val="auto"/>
              </w:rPr>
              <w:t>Management fees and incentive</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78"/>
        </w:trPr>
        <w:tc>
          <w:tcPr>
            <w:tcW w:w="2240" w:type="dxa"/>
            <w:vAlign w:val="bottom"/>
          </w:tcPr>
          <w:p>
            <w:pPr>
              <w:ind w:left="20"/>
              <w:spacing w:after="0"/>
              <w:rPr>
                <w:sz w:val="20"/>
                <w:szCs w:val="20"/>
                <w:color w:val="auto"/>
              </w:rPr>
            </w:pPr>
            <w:r>
              <w:rPr>
                <w:rFonts w:ascii="Arial" w:cs="Arial" w:eastAsia="Arial" w:hAnsi="Arial"/>
                <w:sz w:val="14"/>
                <w:szCs w:val="14"/>
                <w:color w:val="auto"/>
              </w:rPr>
              <w:t>allocation to affiliate</w:t>
            </w:r>
          </w:p>
        </w:tc>
        <w:tc>
          <w:tcPr>
            <w:tcW w:w="16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11,529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11,529</w:t>
            </w:r>
          </w:p>
        </w:tc>
      </w:tr>
      <w:tr>
        <w:trPr>
          <w:trHeight w:val="276"/>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43,284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4,820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62,382</w:t>
            </w:r>
          </w:p>
        </w:tc>
      </w:tr>
      <w:tr>
        <w:trPr>
          <w:trHeight w:val="264"/>
        </w:trPr>
        <w:tc>
          <w:tcPr>
            <w:tcW w:w="22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2,800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4,283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817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12,682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21,292</w:t>
            </w:r>
          </w:p>
        </w:tc>
      </w:tr>
      <w:tr>
        <w:trPr>
          <w:trHeight w:val="250"/>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48,056</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20,281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38,087</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24,666</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6,195</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39,614</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176,907</w:t>
            </w:r>
          </w:p>
        </w:tc>
      </w:tr>
      <w:tr>
        <w:trPr>
          <w:trHeight w:val="324"/>
        </w:trPr>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7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194"/>
        </w:trPr>
        <w:tc>
          <w:tcPr>
            <w:tcW w:w="2240" w:type="dxa"/>
            <w:vAlign w:val="bottom"/>
          </w:tcPr>
          <w:p>
            <w:pPr>
              <w:ind w:left="20"/>
              <w:spacing w:after="0"/>
              <w:rPr>
                <w:sz w:val="20"/>
                <w:szCs w:val="20"/>
                <w:color w:val="auto"/>
              </w:rPr>
            </w:pPr>
            <w:r>
              <w:rPr>
                <w:rFonts w:ascii="Arial" w:cs="Arial" w:eastAsia="Arial" w:hAnsi="Arial"/>
                <w:sz w:val="14"/>
                <w:szCs w:val="14"/>
                <w:color w:val="auto"/>
              </w:rPr>
              <w:t>Equity in losses of unconsolidated</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78"/>
        </w:trPr>
        <w:tc>
          <w:tcPr>
            <w:tcW w:w="2240" w:type="dxa"/>
            <w:vAlign w:val="bottom"/>
          </w:tcPr>
          <w:p>
            <w:pPr>
              <w:ind w:left="20"/>
              <w:spacing w:after="0"/>
              <w:rPr>
                <w:sz w:val="20"/>
                <w:szCs w:val="20"/>
                <w:color w:val="auto"/>
              </w:rPr>
            </w:pPr>
            <w:r>
              <w:rPr>
                <w:rFonts w:ascii="Arial" w:cs="Arial" w:eastAsia="Arial" w:hAnsi="Arial"/>
                <w:sz w:val="14"/>
                <w:szCs w:val="14"/>
                <w:color w:val="auto"/>
              </w:rPr>
              <w:t>entities</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(1,046)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(1,461)</w:t>
            </w:r>
          </w:p>
        </w:tc>
      </w:tr>
      <w:tr>
        <w:trPr>
          <w:trHeight w:val="20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(loss) on sale of equipment,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84"/>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6,932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6,726</w:t>
            </w:r>
          </w:p>
        </w:tc>
      </w:tr>
      <w:tr>
        <w:trPr>
          <w:trHeight w:val="264"/>
        </w:trPr>
        <w:tc>
          <w:tcPr>
            <w:tcW w:w="224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(2,456)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(2,456)</w:t>
            </w:r>
          </w:p>
        </w:tc>
      </w:tr>
      <w:tr>
        <w:trPr>
          <w:trHeight w:val="276"/>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582</w:t>
            </w:r>
          </w:p>
        </w:tc>
      </w:tr>
      <w:tr>
        <w:trPr>
          <w:trHeight w:val="264"/>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2,180</w:t>
            </w:r>
          </w:p>
        </w:tc>
      </w:tr>
      <w:tr>
        <w:trPr>
          <w:trHeight w:val="256"/>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 (expense)</w:t>
            </w: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6,096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5,571</w:t>
            </w:r>
          </w:p>
        </w:tc>
      </w:tr>
      <w:tr>
        <w:trPr>
          <w:trHeight w:val="156"/>
        </w:trPr>
        <w:tc>
          <w:tcPr>
            <w:tcW w:w="224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Income (loss) before income</w:t>
            </w: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r>
      <w:tr>
        <w:trPr>
          <w:trHeight w:val="196"/>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taxes</w:t>
            </w:r>
          </w:p>
        </w:tc>
        <w:tc>
          <w:tcPr>
            <w:tcW w:w="16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68,397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(8,222)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(27,116)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(5,298)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(42,070)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(15,107)</w:t>
            </w:r>
          </w:p>
        </w:tc>
      </w:tr>
      <w:tr>
        <w:trPr>
          <w:trHeight w:val="20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84"/>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1,585</w:t>
            </w:r>
          </w:p>
        </w:tc>
      </w:tr>
      <w:tr>
        <w:trPr>
          <w:trHeight w:val="244"/>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w:t>
            </w:r>
          </w:p>
        </w:tc>
        <w:tc>
          <w:tcPr>
            <w:tcW w:w="1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66,799</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(8,222)</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(205)</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(27,147)</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(549)</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(5,298)</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(42,070)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(16,692)</w:t>
            </w:r>
          </w:p>
        </w:tc>
      </w:tr>
      <w:tr>
        <w:trPr>
          <w:trHeight w:val="18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(loss)</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62"/>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attributable to non-controlling</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62"/>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 in consolidated</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84"/>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(13,816)</w:t>
            </w:r>
          </w:p>
        </w:tc>
      </w:tr>
      <w:tr>
        <w:trPr>
          <w:trHeight w:val="156"/>
        </w:trPr>
        <w:tc>
          <w:tcPr>
            <w:tcW w:w="224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Net income (loss) attributable to</w:t>
            </w: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r>
      <w:tr>
        <w:trPr>
          <w:trHeight w:val="189"/>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shareholders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66,354</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(7,696)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(13,938)</w:t>
            </w:r>
          </w:p>
        </w:tc>
        <w:tc>
          <w:tcPr>
            <w:tcW w:w="12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(4,815)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(42,070)</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(2,876)</w:t>
            </w:r>
          </w:p>
        </w:tc>
      </w:tr>
      <w:tr>
        <w:trPr>
          <w:trHeight w:val="20"/>
        </w:trPr>
        <w:tc>
          <w:tcPr>
            <w:tcW w:w="2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020"/>
          </w:cols>
          <w:pgMar w:left="240" w:top="121" w:right="639" w:bottom="1440" w:gutter="0" w:footer="0" w:header="0"/>
        </w:sectPr>
      </w:pPr>
    </w:p>
    <w:bookmarkStart w:id="38" w:name="page39"/>
    <w:bookmarkEnd w:id="38"/>
    <w:p>
      <w:pPr>
        <w:ind w:right="34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a reconciliation of Adjusted Net Income (Loss) to net loss attributable to shareholders: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0" w:type="dxa"/>
            <w:vAlign w:val="bottom"/>
            <w:tcBorders>
              <w:bottom w:val="single" w:sz="8" w:color="auto"/>
            </w:tcBorders>
            <w:gridSpan w:val="11"/>
          </w:tcPr>
          <w:p>
            <w:pPr>
              <w:ind w:left="580"/>
              <w:spacing w:after="0"/>
              <w:rPr>
                <w:sz w:val="20"/>
                <w:szCs w:val="20"/>
                <w:color w:val="auto"/>
              </w:rPr>
            </w:pPr>
            <w:r>
              <w:rPr>
                <w:rFonts w:ascii="Arial" w:cs="Arial" w:eastAsia="Arial" w:hAnsi="Arial"/>
                <w:sz w:val="14"/>
                <w:szCs w:val="14"/>
                <w:b w:val="1"/>
                <w:bCs w:val="1"/>
                <w:color w:val="auto"/>
              </w:rPr>
              <w:t>Nine Months Ended September 30, 2017</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Leasing</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Energy</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Containers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Terminal</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Railroad</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Terminals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68,227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(15,269)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(35,779)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4,214</w:t>
            </w:r>
          </w:p>
        </w:tc>
        <w:tc>
          <w:tcPr>
            <w:tcW w:w="0" w:type="dxa"/>
            <w:vAlign w:val="bottom"/>
          </w:tcPr>
          <w:p>
            <w:pPr>
              <w:spacing w:after="0"/>
              <w:rPr>
                <w:sz w:val="1"/>
                <w:szCs w:val="1"/>
                <w:color w:val="auto"/>
              </w:rPr>
            </w:pPr>
          </w:p>
        </w:tc>
      </w:tr>
      <w:tr>
        <w:trPr>
          <w:trHeight w:val="174"/>
        </w:trPr>
        <w:tc>
          <w:tcPr>
            <w:tcW w:w="2140" w:type="dxa"/>
            <w:vAlign w:val="bottom"/>
          </w:tcPr>
          <w:p>
            <w:pPr>
              <w:ind w:left="20"/>
              <w:spacing w:after="0"/>
              <w:rPr>
                <w:sz w:val="20"/>
                <w:szCs w:val="20"/>
                <w:color w:val="auto"/>
              </w:rPr>
            </w:pPr>
            <w:r>
              <w:rPr>
                <w:rFonts w:ascii="Arial" w:cs="Arial" w:eastAsia="Arial" w:hAnsi="Arial"/>
                <w:sz w:val="14"/>
                <w:szCs w:val="14"/>
                <w:color w:val="auto"/>
              </w:rPr>
              <w:t>Add: Non-controlling share of</w:t>
            </w: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40" w:type="dxa"/>
            <w:vAlign w:val="bottom"/>
          </w:tcPr>
          <w:p>
            <w:pPr>
              <w:ind w:left="20"/>
              <w:spacing w:after="0"/>
              <w:rPr>
                <w:sz w:val="20"/>
                <w:szCs w:val="20"/>
                <w:color w:val="auto"/>
              </w:rPr>
            </w:pPr>
            <w:r>
              <w:rPr>
                <w:rFonts w:ascii="Arial" w:cs="Arial" w:eastAsia="Arial" w:hAnsi="Arial"/>
                <w:sz w:val="14"/>
                <w:szCs w:val="14"/>
                <w:color w:val="auto"/>
              </w:rPr>
              <w:t>adjustments to Adjusted Net</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140" w:type="dxa"/>
            <w:vAlign w:val="bottom"/>
          </w:tcPr>
          <w:p>
            <w:pPr>
              <w:ind w:left="20"/>
              <w:spacing w:after="0"/>
              <w:rPr>
                <w:sz w:val="20"/>
                <w:szCs w:val="20"/>
                <w:color w:val="auto"/>
              </w:rPr>
            </w:pPr>
            <w:r>
              <w:rPr>
                <w:rFonts w:ascii="Arial" w:cs="Arial" w:eastAsia="Arial" w:hAnsi="Arial"/>
                <w:sz w:val="14"/>
                <w:szCs w:val="14"/>
                <w:color w:val="auto"/>
              </w:rPr>
              <w:t>Income</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20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(1,461)</w:t>
            </w:r>
          </w:p>
        </w:tc>
        <w:tc>
          <w:tcPr>
            <w:tcW w:w="0" w:type="dxa"/>
            <w:vAlign w:val="bottom"/>
          </w:tcPr>
          <w:p>
            <w:pPr>
              <w:spacing w:after="0"/>
              <w:rPr>
                <w:sz w:val="1"/>
                <w:szCs w:val="1"/>
                <w:color w:val="auto"/>
              </w:rPr>
            </w:pPr>
          </w:p>
        </w:tc>
      </w:tr>
      <w:tr>
        <w:trPr>
          <w:trHeight w:val="194"/>
        </w:trPr>
        <w:tc>
          <w:tcPr>
            <w:tcW w:w="2140" w:type="dxa"/>
            <w:vAlign w:val="bottom"/>
          </w:tcPr>
          <w:p>
            <w:pPr>
              <w:ind w:left="20"/>
              <w:spacing w:after="0"/>
              <w:rPr>
                <w:sz w:val="20"/>
                <w:szCs w:val="20"/>
                <w:color w:val="auto"/>
              </w:rPr>
            </w:pPr>
            <w:r>
              <w:rPr>
                <w:rFonts w:ascii="Arial" w:cs="Arial" w:eastAsia="Arial" w:hAnsi="Arial"/>
                <w:sz w:val="14"/>
                <w:szCs w:val="14"/>
                <w:color w:val="auto"/>
              </w:rPr>
              <w:t>Add: Cash payments for income</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140" w:type="dxa"/>
            <w:vAlign w:val="bottom"/>
          </w:tcPr>
          <w:p>
            <w:pPr>
              <w:ind w:left="20"/>
              <w:spacing w:after="0"/>
              <w:rPr>
                <w:sz w:val="20"/>
                <w:szCs w:val="20"/>
                <w:color w:val="auto"/>
              </w:rPr>
            </w:pPr>
            <w:r>
              <w:rPr>
                <w:rFonts w:ascii="Arial" w:cs="Arial" w:eastAsia="Arial" w:hAnsi="Arial"/>
                <w:sz w:val="14"/>
                <w:szCs w:val="14"/>
                <w:color w:val="auto"/>
              </w:rPr>
              <w:t>taxes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1,033</w:t>
            </w:r>
          </w:p>
        </w:tc>
        <w:tc>
          <w:tcPr>
            <w:tcW w:w="0" w:type="dxa"/>
            <w:vAlign w:val="bottom"/>
          </w:tcPr>
          <w:p>
            <w:pPr>
              <w:spacing w:after="0"/>
              <w:rPr>
                <w:sz w:val="1"/>
                <w:szCs w:val="1"/>
                <w:color w:val="auto"/>
              </w:rPr>
            </w:pPr>
          </w:p>
        </w:tc>
      </w:tr>
      <w:tr>
        <w:trPr>
          <w:trHeight w:val="276"/>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140" w:type="dxa"/>
            <w:vAlign w:val="bottom"/>
          </w:tcPr>
          <w:p>
            <w:pPr>
              <w:ind w:left="20"/>
              <w:spacing w:after="0"/>
              <w:rPr>
                <w:sz w:val="20"/>
                <w:szCs w:val="20"/>
                <w:color w:val="auto"/>
              </w:rPr>
            </w:pPr>
            <w:r>
              <w:rPr>
                <w:rFonts w:ascii="Arial" w:cs="Arial" w:eastAsia="Arial" w:hAnsi="Arial"/>
                <w:sz w:val="14"/>
                <w:szCs w:val="14"/>
                <w:color w:val="auto"/>
              </w:rPr>
              <w:t>Less: Pro-rata share of Adjusted</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40" w:type="dxa"/>
            <w:vAlign w:val="bottom"/>
          </w:tcPr>
          <w:p>
            <w:pPr>
              <w:ind w:left="20"/>
              <w:spacing w:after="0"/>
              <w:rPr>
                <w:sz w:val="20"/>
                <w:szCs w:val="20"/>
                <w:color w:val="auto"/>
              </w:rPr>
            </w:pPr>
            <w:r>
              <w:rPr>
                <w:rFonts w:ascii="Arial" w:cs="Arial" w:eastAsia="Arial" w:hAnsi="Arial"/>
                <w:sz w:val="14"/>
                <w:szCs w:val="14"/>
                <w:color w:val="auto"/>
              </w:rPr>
              <w:t>Net Income from investments in</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14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1,599</w:t>
            </w:r>
          </w:p>
        </w:tc>
        <w:tc>
          <w:tcPr>
            <w:tcW w:w="0" w:type="dxa"/>
            <w:vAlign w:val="bottom"/>
          </w:tcPr>
          <w:p>
            <w:pPr>
              <w:spacing w:after="0"/>
              <w:rPr>
                <w:sz w:val="1"/>
                <w:szCs w:val="1"/>
                <w:color w:val="auto"/>
              </w:rPr>
            </w:pPr>
          </w:p>
        </w:tc>
      </w:tr>
      <w:tr>
        <w:trPr>
          <w:trHeight w:val="276"/>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Asset impairment charges</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140" w:type="dxa"/>
            <w:vAlign w:val="bottom"/>
          </w:tcPr>
          <w:p>
            <w:pPr>
              <w:ind w:left="20"/>
              <w:spacing w:after="0"/>
              <w:rPr>
                <w:sz w:val="20"/>
                <w:szCs w:val="20"/>
                <w:color w:val="auto"/>
              </w:rPr>
            </w:pPr>
            <w:r>
              <w:rPr>
                <w:rFonts w:ascii="Arial" w:cs="Arial" w:eastAsia="Arial" w:hAnsi="Arial"/>
                <w:sz w:val="14"/>
                <w:szCs w:val="14"/>
                <w:color w:val="auto"/>
              </w:rPr>
              <w:t>Less: Changes in fair value of</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40" w:type="dxa"/>
            <w:vAlign w:val="bottom"/>
          </w:tcPr>
          <w:p>
            <w:pPr>
              <w:ind w:left="20"/>
              <w:spacing w:after="0"/>
              <w:rPr>
                <w:sz w:val="20"/>
                <w:szCs w:val="20"/>
                <w:color w:val="auto"/>
              </w:rPr>
            </w:pPr>
            <w:r>
              <w:rPr>
                <w:rFonts w:ascii="Arial" w:cs="Arial" w:eastAsia="Arial" w:hAnsi="Arial"/>
                <w:sz w:val="14"/>
                <w:szCs w:val="14"/>
                <w:color w:val="auto"/>
              </w:rPr>
              <w:t>non-hedge derivative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140" w:type="dxa"/>
            <w:vAlign w:val="bottom"/>
          </w:tcPr>
          <w:p>
            <w:pPr>
              <w:ind w:left="20"/>
              <w:spacing w:after="0"/>
              <w:rPr>
                <w:sz w:val="20"/>
                <w:szCs w:val="20"/>
                <w:color w:val="auto"/>
              </w:rPr>
            </w:pPr>
            <w:r>
              <w:rPr>
                <w:rFonts w:ascii="Arial" w:cs="Arial" w:eastAsia="Arial" w:hAnsi="Arial"/>
                <w:sz w:val="14"/>
                <w:szCs w:val="14"/>
                <w:color w:val="auto"/>
              </w:rPr>
              <w:t>instruments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1,036</w:t>
            </w:r>
          </w:p>
        </w:tc>
        <w:tc>
          <w:tcPr>
            <w:tcW w:w="0" w:type="dxa"/>
            <w:vAlign w:val="bottom"/>
          </w:tcPr>
          <w:p>
            <w:pPr>
              <w:spacing w:after="0"/>
              <w:rPr>
                <w:sz w:val="1"/>
                <w:szCs w:val="1"/>
                <w:color w:val="auto"/>
              </w:rPr>
            </w:pPr>
          </w:p>
        </w:tc>
      </w:tr>
      <w:tr>
        <w:trPr>
          <w:trHeight w:val="20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Losses on the modification</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or extinguishment of debt and</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194"/>
        </w:trPr>
        <w:tc>
          <w:tcPr>
            <w:tcW w:w="2140" w:type="dxa"/>
            <w:vAlign w:val="bottom"/>
          </w:tcPr>
          <w:p>
            <w:pPr>
              <w:ind w:left="20"/>
              <w:spacing w:after="0"/>
              <w:rPr>
                <w:sz w:val="20"/>
                <w:szCs w:val="20"/>
                <w:color w:val="auto"/>
              </w:rPr>
            </w:pPr>
            <w:r>
              <w:rPr>
                <w:rFonts w:ascii="Arial" w:cs="Arial" w:eastAsia="Arial" w:hAnsi="Arial"/>
                <w:sz w:val="14"/>
                <w:szCs w:val="14"/>
                <w:color w:val="auto"/>
              </w:rPr>
              <w:t>Less: Acquisition and</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140" w:type="dxa"/>
            <w:vAlign w:val="bottom"/>
          </w:tcPr>
          <w:p>
            <w:pPr>
              <w:ind w:left="20"/>
              <w:spacing w:after="0"/>
              <w:rPr>
                <w:sz w:val="20"/>
                <w:szCs w:val="20"/>
                <w:color w:val="auto"/>
              </w:rPr>
            </w:pPr>
            <w:r>
              <w:rPr>
                <w:rFonts w:ascii="Arial" w:cs="Arial" w:eastAsia="Arial" w:hAnsi="Arial"/>
                <w:sz w:val="14"/>
                <w:szCs w:val="14"/>
                <w:color w:val="auto"/>
              </w:rPr>
              <w:t>transaction expenses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(5,064)</w:t>
            </w:r>
          </w:p>
        </w:tc>
        <w:tc>
          <w:tcPr>
            <w:tcW w:w="0" w:type="dxa"/>
            <w:vAlign w:val="bottom"/>
          </w:tcPr>
          <w:p>
            <w:pPr>
              <w:spacing w:after="0"/>
              <w:rPr>
                <w:sz w:val="1"/>
                <w:szCs w:val="1"/>
                <w:color w:val="auto"/>
              </w:rPr>
            </w:pPr>
          </w:p>
        </w:tc>
      </w:tr>
      <w:tr>
        <w:trPr>
          <w:trHeight w:val="20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Equity-based</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expense</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w:t>
            </w:r>
          </w:p>
        </w:tc>
        <w:tc>
          <w:tcPr>
            <w:tcW w:w="0" w:type="dxa"/>
            <w:vAlign w:val="bottom"/>
          </w:tcPr>
          <w:p>
            <w:pPr>
              <w:spacing w:after="0"/>
              <w:rPr>
                <w:sz w:val="1"/>
                <w:szCs w:val="1"/>
                <w:color w:val="auto"/>
              </w:rPr>
            </w:pPr>
          </w:p>
        </w:tc>
      </w:tr>
      <w:tr>
        <w:trPr>
          <w:trHeight w:val="264"/>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Provision for income taxes</w:t>
            </w:r>
          </w:p>
        </w:tc>
        <w:tc>
          <w:tcPr>
            <w:tcW w:w="16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(1,585)</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(2,876)</w:t>
            </w:r>
          </w:p>
        </w:tc>
        <w:tc>
          <w:tcPr>
            <w:tcW w:w="0" w:type="dxa"/>
            <w:vAlign w:val="bottom"/>
          </w:tcPr>
          <w:p>
            <w:pPr>
              <w:spacing w:after="0"/>
              <w:rPr>
                <w:sz w:val="1"/>
                <w:szCs w:val="1"/>
                <w:color w:val="auto"/>
              </w:rPr>
            </w:pPr>
          </w:p>
        </w:tc>
      </w:tr>
      <w:tr>
        <w:trPr>
          <w:trHeight w:val="171"/>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shareholders</w:t>
            </w: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18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8"/>
          </w:tcPr>
          <w:p>
            <w:pPr>
              <w:ind w:left="300"/>
              <w:spacing w:after="0"/>
              <w:rPr>
                <w:sz w:val="20"/>
                <w:szCs w:val="20"/>
                <w:color w:val="auto"/>
              </w:rPr>
            </w:pPr>
            <w:r>
              <w:rPr>
                <w:rFonts w:ascii="Arial" w:cs="Arial" w:eastAsia="Arial" w:hAnsi="Arial"/>
                <w:sz w:val="14"/>
                <w:szCs w:val="14"/>
                <w:b w:val="1"/>
                <w:bCs w:val="1"/>
                <w:color w:val="auto"/>
              </w:rPr>
              <w:t>Nine Months Ended September 30, 2017</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64"/>
        </w:trPr>
        <w:tc>
          <w:tcPr>
            <w:tcW w:w="18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Equipment Leasing</w:t>
            </w: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75"/>
        </w:trPr>
        <w:tc>
          <w:tcPr>
            <w:tcW w:w="1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8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Jefferson</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6"/>
        </w:trPr>
        <w:tc>
          <w:tcPr>
            <w:tcW w:w="182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tcPr>
          <w:p>
            <w:pPr>
              <w:spacing w:after="0"/>
              <w:rPr>
                <w:sz w:val="17"/>
                <w:szCs w:val="17"/>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Offshore Energy</w:t>
            </w:r>
          </w:p>
        </w:tc>
        <w:tc>
          <w:tcPr>
            <w:tcW w:w="16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Containers</w:t>
            </w: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Terminal</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Railroad</w:t>
            </w:r>
          </w:p>
        </w:tc>
        <w:tc>
          <w:tcPr>
            <w:tcW w:w="18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60" w:type="dxa"/>
            <w:vAlign w:val="bottom"/>
          </w:tcPr>
          <w:p>
            <w:pPr>
              <w:spacing w:after="0"/>
              <w:rPr>
                <w:sz w:val="17"/>
                <w:szCs w:val="17"/>
                <w:color w:val="auto"/>
              </w:rPr>
            </w:pPr>
          </w:p>
        </w:tc>
        <w:tc>
          <w:tcPr>
            <w:tcW w:w="90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70"/>
        </w:trPr>
        <w:tc>
          <w:tcPr>
            <w:tcW w:w="1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r>
      <w:tr>
        <w:trPr>
          <w:trHeight w:val="264"/>
        </w:trPr>
        <w:tc>
          <w:tcPr>
            <w:tcW w:w="1820" w:type="dxa"/>
            <w:vAlign w:val="bottom"/>
          </w:tcPr>
          <w:p>
            <w:pPr>
              <w:ind w:left="20"/>
              <w:spacing w:after="0"/>
              <w:rPr>
                <w:sz w:val="20"/>
                <w:szCs w:val="20"/>
                <w:color w:val="auto"/>
              </w:rPr>
            </w:pPr>
            <w:r>
              <w:rPr>
                <w:rFonts w:ascii="Arial" w:cs="Arial" w:eastAsia="Arial" w:hAnsi="Arial"/>
                <w:sz w:val="14"/>
                <w:szCs w:val="14"/>
                <w:color w:val="auto"/>
              </w:rPr>
              <w:t>Africa</w:t>
            </w: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6,744</w:t>
            </w:r>
          </w:p>
        </w:tc>
        <w:tc>
          <w:tcPr>
            <w:tcW w:w="5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6,744</w:t>
            </w:r>
          </w:p>
        </w:tc>
      </w:tr>
      <w:tr>
        <w:trPr>
          <w:trHeight w:val="276"/>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29,207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4,657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33,939</w:t>
            </w:r>
          </w:p>
        </w:tc>
      </w:tr>
      <w:tr>
        <w:trPr>
          <w:trHeight w:val="264"/>
        </w:trPr>
        <w:tc>
          <w:tcPr>
            <w:tcW w:w="1820" w:type="dxa"/>
            <w:vAlign w:val="bottom"/>
          </w:tcPr>
          <w:p>
            <w:pPr>
              <w:ind w:left="20"/>
              <w:spacing w:after="0"/>
              <w:rPr>
                <w:sz w:val="20"/>
                <w:szCs w:val="20"/>
                <w:color w:val="auto"/>
              </w:rPr>
            </w:pPr>
            <w:r>
              <w:rPr>
                <w:rFonts w:ascii="Arial" w:cs="Arial" w:eastAsia="Arial" w:hAnsi="Arial"/>
                <w:sz w:val="14"/>
                <w:szCs w:val="14"/>
                <w:color w:val="auto"/>
              </w:rPr>
              <w:t>Europe</w:t>
            </w:r>
          </w:p>
        </w:tc>
        <w:tc>
          <w:tcPr>
            <w:tcW w:w="3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63,229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5,142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68,371</w:t>
            </w:r>
          </w:p>
        </w:tc>
      </w:tr>
      <w:tr>
        <w:trPr>
          <w:trHeight w:val="276"/>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10,472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9,622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24,323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46,470</w:t>
            </w:r>
          </w:p>
        </w:tc>
      </w:tr>
      <w:tr>
        <w:trPr>
          <w:trHeight w:val="264"/>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705</w:t>
            </w:r>
          </w:p>
        </w:tc>
      </w:tr>
      <w:tr>
        <w:trPr>
          <w:trHeight w:val="243"/>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110,357</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10,955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9,622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24,323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156,229</w:t>
            </w: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020"/>
          </w:cols>
          <w:pgMar w:left="240" w:top="121" w:right="639" w:bottom="1440" w:gutter="0" w:footer="0" w:header="0"/>
        </w:sectPr>
      </w:pPr>
    </w:p>
    <w:bookmarkStart w:id="39" w:name="page40"/>
    <w:bookmarkEnd w:id="39"/>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V. Balance Sheet and location of long-lived assets</w:t>
      </w:r>
    </w:p>
    <w:p>
      <w:pPr>
        <w:spacing w:after="0" w:line="187" w:lineRule="exact"/>
        <w:rPr>
          <w:sz w:val="20"/>
          <w:szCs w:val="20"/>
          <w:color w:val="auto"/>
        </w:rPr>
      </w:pPr>
    </w:p>
    <w:p>
      <w:pPr>
        <w:ind w:left="340"/>
        <w:spacing w:after="0" w:line="260" w:lineRule="auto"/>
        <w:rPr>
          <w:sz w:val="20"/>
          <w:szCs w:val="20"/>
          <w:color w:val="auto"/>
        </w:rPr>
      </w:pPr>
      <w:r>
        <w:rPr>
          <w:rFonts w:ascii="Arial" w:cs="Arial" w:eastAsia="Arial" w:hAnsi="Arial"/>
          <w:sz w:val="16"/>
          <w:szCs w:val="16"/>
          <w:color w:val="auto"/>
        </w:rPr>
        <w:t>The following tables sets forth summarized balance sheet information and the geographic location of property, plant and equipment and leasing equipment, net as of September 30, 2018 and December 31, 2017:</w:t>
      </w:r>
    </w:p>
    <w:p>
      <w:pPr>
        <w:spacing w:after="0" w:line="289"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Leasing</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Energy</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Containers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Terminal</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Railroad</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9"/>
              </w:rPr>
              <w:t>Terminals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1,196,092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185,805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3,658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619,395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61,034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266,885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140,292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2,473,161</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49,075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234,642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21,899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832,251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1,137,867</w:t>
            </w:r>
          </w:p>
        </w:tc>
        <w:tc>
          <w:tcPr>
            <w:tcW w:w="0" w:type="dxa"/>
            <w:vAlign w:val="bottom"/>
          </w:tcPr>
          <w:p>
            <w:pPr>
              <w:spacing w:after="0"/>
              <w:rPr>
                <w:sz w:val="1"/>
                <w:szCs w:val="1"/>
                <w:color w:val="auto"/>
              </w:rPr>
            </w:pPr>
          </w:p>
        </w:tc>
      </w:tr>
      <w:tr>
        <w:trPr>
          <w:trHeight w:val="324"/>
        </w:trPr>
        <w:tc>
          <w:tcPr>
            <w:tcW w:w="2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181,407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52,802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266,023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38,669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31,176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840,671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1,410,841</w:t>
            </w:r>
          </w:p>
        </w:tc>
        <w:tc>
          <w:tcPr>
            <w:tcW w:w="0" w:type="dxa"/>
            <w:vAlign w:val="bottom"/>
          </w:tcPr>
          <w:p>
            <w:pPr>
              <w:spacing w:after="0"/>
              <w:rPr>
                <w:sz w:val="1"/>
                <w:szCs w:val="1"/>
                <w:color w:val="auto"/>
              </w:rPr>
            </w:pPr>
          </w:p>
        </w:tc>
      </w:tr>
      <w:tr>
        <w:trPr>
          <w:trHeight w:val="324"/>
        </w:trPr>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 in</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of consolidated</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53,750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3,105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454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57,833</w:t>
            </w:r>
          </w:p>
        </w:tc>
        <w:tc>
          <w:tcPr>
            <w:tcW w:w="0" w:type="dxa"/>
            <w:vAlign w:val="bottom"/>
          </w:tcPr>
          <w:p>
            <w:pPr>
              <w:spacing w:after="0"/>
              <w:rPr>
                <w:sz w:val="1"/>
                <w:szCs w:val="1"/>
                <w:color w:val="auto"/>
              </w:rPr>
            </w:pPr>
          </w:p>
        </w:tc>
      </w:tr>
      <w:tr>
        <w:trPr>
          <w:trHeight w:val="184"/>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1,014,685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133,003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3,565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353,372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22,365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235,709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(700,379)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1,062,320</w:t>
            </w:r>
          </w:p>
        </w:tc>
        <w:tc>
          <w:tcPr>
            <w:tcW w:w="0" w:type="dxa"/>
            <w:vAlign w:val="bottom"/>
          </w:tcPr>
          <w:p>
            <w:pPr>
              <w:spacing w:after="0"/>
              <w:rPr>
                <w:sz w:val="1"/>
                <w:szCs w:val="1"/>
                <w:color w:val="auto"/>
              </w:rPr>
            </w:pPr>
          </w:p>
        </w:tc>
      </w:tr>
      <w:tr>
        <w:trPr>
          <w:trHeight w:val="297"/>
        </w:trPr>
        <w:tc>
          <w:tcPr>
            <w:tcW w:w="2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1,196,092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185,805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3,658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619,395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61,034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266,885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140,292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2,473,161</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2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ind w:left="60"/>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Energy</w:t>
            </w: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Terminal</w:t>
            </w:r>
          </w:p>
        </w:tc>
        <w:tc>
          <w:tcPr>
            <w:tcW w:w="140" w:type="dxa"/>
            <w:vAlign w:val="bottom"/>
          </w:tcPr>
          <w:p>
            <w:pPr>
              <w:spacing w:after="0"/>
              <w:rPr>
                <w:sz w:val="17"/>
                <w:szCs w:val="17"/>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Railroad</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Terminals</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7"/>
                <w:szCs w:val="17"/>
                <w:color w:val="auto"/>
              </w:rPr>
            </w:pPr>
          </w:p>
        </w:tc>
        <w:tc>
          <w:tcPr>
            <w:tcW w:w="780" w:type="dxa"/>
            <w:vAlign w:val="bottom"/>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Property, plant and equipment</w:t>
            </w: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and leasing equipment, net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44,265</w:t>
            </w: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44,265</w:t>
            </w:r>
          </w:p>
        </w:tc>
        <w:tc>
          <w:tcPr>
            <w:tcW w:w="0" w:type="dxa"/>
            <w:vAlign w:val="bottom"/>
          </w:tcPr>
          <w:p>
            <w:pPr>
              <w:spacing w:after="0"/>
              <w:rPr>
                <w:sz w:val="1"/>
                <w:szCs w:val="1"/>
                <w:color w:val="auto"/>
              </w:rPr>
            </w:pPr>
          </w:p>
        </w:tc>
      </w:tr>
      <w:tr>
        <w:trPr>
          <w:trHeight w:val="276"/>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339,883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35,075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374,958</w:t>
            </w:r>
          </w:p>
        </w:tc>
        <w:tc>
          <w:tcPr>
            <w:tcW w:w="0" w:type="dxa"/>
            <w:vAlign w:val="bottom"/>
          </w:tcPr>
          <w:p>
            <w:pPr>
              <w:spacing w:after="0"/>
              <w:rPr>
                <w:sz w:val="1"/>
                <w:szCs w:val="1"/>
                <w:color w:val="auto"/>
              </w:rPr>
            </w:pP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508,971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123,168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632,139</w:t>
            </w:r>
          </w:p>
        </w:tc>
        <w:tc>
          <w:tcPr>
            <w:tcW w:w="0" w:type="dxa"/>
            <w:vAlign w:val="bottom"/>
          </w:tcPr>
          <w:p>
            <w:pPr>
              <w:spacing w:after="0"/>
              <w:rPr>
                <w:sz w:val="1"/>
                <w:szCs w:val="1"/>
                <w:color w:val="auto"/>
              </w:rPr>
            </w:pPr>
          </w:p>
        </w:tc>
      </w:tr>
      <w:tr>
        <w:trPr>
          <w:trHeight w:val="276"/>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177,009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400,603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48,301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250,288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876,201</w:t>
            </w:r>
          </w:p>
        </w:tc>
        <w:tc>
          <w:tcPr>
            <w:tcW w:w="0" w:type="dxa"/>
            <w:vAlign w:val="bottom"/>
          </w:tcPr>
          <w:p>
            <w:pPr>
              <w:spacing w:after="0"/>
              <w:rPr>
                <w:sz w:val="1"/>
                <w:szCs w:val="1"/>
                <w:color w:val="auto"/>
              </w:rPr>
            </w:pPr>
          </w:p>
        </w:tc>
      </w:tr>
      <w:tr>
        <w:trPr>
          <w:trHeight w:val="264"/>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15,954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15,954</w:t>
            </w: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1,086,082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158,243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400,603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48,301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250,288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1,943,517</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1" w:right="239" w:bottom="1440" w:gutter="0" w:footer="0" w:header="0"/>
        </w:sectPr>
      </w:pPr>
    </w:p>
    <w:bookmarkStart w:id="40" w:name="page41"/>
    <w:bookmarkEnd w:id="40"/>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264"/>
        </w:trPr>
        <w:tc>
          <w:tcPr>
            <w:tcW w:w="2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175"/>
        </w:trPr>
        <w:tc>
          <w:tcPr>
            <w:tcW w:w="2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6"/>
        </w:trPr>
        <w:tc>
          <w:tcPr>
            <w:tcW w:w="2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Leasing</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Energy</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Containers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Terminal</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Railroad</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9"/>
              </w:rPr>
              <w:t>Terminals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r>
      <w:tr>
        <w:trPr>
          <w:trHeight w:val="243"/>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952,543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195,101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4,429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579,329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51,989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123,693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48,722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1,955,806</w:t>
            </w: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53,590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184,942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22,513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442,219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703,264</w:t>
            </w:r>
          </w:p>
        </w:tc>
      </w:tr>
      <w:tr>
        <w:trPr>
          <w:trHeight w:val="324"/>
        </w:trPr>
        <w:tc>
          <w:tcPr>
            <w:tcW w:w="2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44"/>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145,882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56,853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210,159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36,560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14,229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456,948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920,731</w:t>
            </w:r>
          </w:p>
        </w:tc>
      </w:tr>
      <w:tr>
        <w:trPr>
          <w:trHeight w:val="324"/>
        </w:trPr>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4"/>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 in</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62"/>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of consolidated</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84"/>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81,414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2,737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88,007</w:t>
            </w:r>
          </w:p>
        </w:tc>
      </w:tr>
      <w:tr>
        <w:trPr>
          <w:trHeight w:val="297"/>
        </w:trPr>
        <w:tc>
          <w:tcPr>
            <w:tcW w:w="2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44"/>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806,661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138,248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4,329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369,170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15,429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109,464</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(408,226)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1,035,075</w:t>
            </w:r>
          </w:p>
        </w:tc>
      </w:tr>
      <w:tr>
        <w:trPr>
          <w:trHeight w:val="297"/>
        </w:trPr>
        <w:tc>
          <w:tcPr>
            <w:tcW w:w="2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37"/>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952,543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195,101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4,429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579,329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51,989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123,693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48,722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1,955,806</w:t>
            </w:r>
          </w:p>
        </w:tc>
      </w:tr>
      <w:tr>
        <w:trPr>
          <w:trHeight w:val="20"/>
        </w:trPr>
        <w:tc>
          <w:tcPr>
            <w:tcW w:w="2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42"/>
        </w:trPr>
        <w:tc>
          <w:tcPr>
            <w:tcW w:w="2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64"/>
        </w:trPr>
        <w:tc>
          <w:tcPr>
            <w:tcW w:w="2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175"/>
        </w:trPr>
        <w:tc>
          <w:tcPr>
            <w:tcW w:w="2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6"/>
        </w:trPr>
        <w:tc>
          <w:tcPr>
            <w:tcW w:w="2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ind w:left="60"/>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Energy</w:t>
            </w: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Terminal</w:t>
            </w:r>
          </w:p>
        </w:tc>
        <w:tc>
          <w:tcPr>
            <w:tcW w:w="140" w:type="dxa"/>
            <w:vAlign w:val="bottom"/>
          </w:tcPr>
          <w:p>
            <w:pPr>
              <w:spacing w:after="0"/>
              <w:rPr>
                <w:sz w:val="17"/>
                <w:szCs w:val="17"/>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Railroad</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Terminals</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7"/>
                <w:szCs w:val="17"/>
                <w:color w:val="auto"/>
              </w:rPr>
            </w:pPr>
          </w:p>
        </w:tc>
        <w:tc>
          <w:tcPr>
            <w:tcW w:w="780" w:type="dxa"/>
            <w:vAlign w:val="bottom"/>
          </w:tcPr>
          <w:p>
            <w:pPr>
              <w:jc w:val="right"/>
              <w:ind w:right="228"/>
              <w:spacing w:after="0"/>
              <w:rPr>
                <w:sz w:val="20"/>
                <w:szCs w:val="20"/>
                <w:color w:val="auto"/>
              </w:rPr>
            </w:pPr>
            <w:r>
              <w:rPr>
                <w:rFonts w:ascii="Arial" w:cs="Arial" w:eastAsia="Arial" w:hAnsi="Arial"/>
                <w:sz w:val="14"/>
                <w:szCs w:val="14"/>
                <w:b w:val="1"/>
                <w:bCs w:val="1"/>
                <w:color w:val="auto"/>
              </w:rPr>
              <w:t>Total</w:t>
            </w:r>
          </w:p>
        </w:tc>
      </w:tr>
      <w:tr>
        <w:trPr>
          <w:trHeight w:val="162"/>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Property, plant and equipment</w:t>
            </w: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r>
      <w:tr>
        <w:trPr>
          <w:trHeight w:val="202"/>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and leasing equipment, net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36,648</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36,648</w:t>
            </w:r>
          </w:p>
        </w:tc>
      </w:tr>
      <w:tr>
        <w:trPr>
          <w:trHeight w:val="276"/>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210,152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163,072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373,224</w:t>
            </w: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527,166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527,166</w:t>
            </w:r>
          </w:p>
        </w:tc>
      </w:tr>
      <w:tr>
        <w:trPr>
          <w:trHeight w:val="276"/>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96,525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371,687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40,512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118,317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627,041</w:t>
            </w:r>
          </w:p>
        </w:tc>
      </w:tr>
      <w:tr>
        <w:trPr>
          <w:trHeight w:val="264"/>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43"/>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870,491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163,072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371,687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40,512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118,317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1,564,079</w:t>
            </w: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15. EARNINGS PER SHARE AND EQUITY</w:t>
      </w:r>
    </w:p>
    <w:p>
      <w:pPr>
        <w:spacing w:after="0" w:line="187"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Basic earnings (loss) per share (“EPS”) is calculated by dividing net income (loss) attributable to shareholders by the weighted average number of common shares outstanding, plus any participating securities. Diluted EPS is calculated by dividing net income (loss) attributable to shareholders by the weighted average number of common shares outstanding, plus any participating securities and potentially dilutive securities. Potentially dilutive securities are calculated using the treasury stock method.</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calculation of basic and diluted EPS is presented below:</w:t>
      </w:r>
    </w:p>
    <w:p>
      <w:pPr>
        <w:spacing w:after="0" w:line="341"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84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Nine Months Ended September 30,</w:t>
            </w:r>
          </w:p>
        </w:tc>
      </w:tr>
      <w:tr>
        <w:trPr>
          <w:trHeight w:val="39"/>
        </w:trPr>
        <w:tc>
          <w:tcPr>
            <w:tcW w:w="44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58"/>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256"/>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shareholders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4,578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4,845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(2,876)</w:t>
            </w:r>
          </w:p>
        </w:tc>
      </w:tr>
      <w:tr>
        <w:trPr>
          <w:trHeight w:val="270"/>
        </w:trPr>
        <w:tc>
          <w:tcPr>
            <w:tcW w:w="4400" w:type="dxa"/>
            <w:vAlign w:val="bottom"/>
          </w:tcPr>
          <w:p>
            <w:pPr>
              <w:ind w:left="20"/>
              <w:spacing w:after="0"/>
              <w:rPr>
                <w:sz w:val="20"/>
                <w:szCs w:val="20"/>
                <w:color w:val="auto"/>
              </w:rPr>
            </w:pPr>
            <w:r>
              <w:rPr>
                <w:rFonts w:ascii="Arial" w:cs="Arial" w:eastAsia="Arial" w:hAnsi="Arial"/>
                <w:sz w:val="14"/>
                <w:szCs w:val="14"/>
                <w:color w:val="auto"/>
              </w:rPr>
              <w:t>Weighted Average Shares Outstanding - Basic</w:t>
            </w:r>
            <w:r>
              <w:rPr>
                <w:rFonts w:ascii="Arial" w:cs="Arial" w:eastAsia="Arial" w:hAnsi="Arial"/>
                <w:sz w:val="17"/>
                <w:szCs w:val="17"/>
                <w:color w:val="auto"/>
                <w:vertAlign w:val="superscript"/>
              </w:rPr>
              <w:t>(1)</w:t>
            </w:r>
          </w:p>
        </w:tc>
        <w:tc>
          <w:tcPr>
            <w:tcW w:w="24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b w:val="1"/>
                <w:bCs w:val="1"/>
                <w:color w:val="auto"/>
              </w:rPr>
              <w:t>84,708,071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75,770,529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83,178,546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75,765,144</w:t>
            </w:r>
          </w:p>
        </w:tc>
      </w:tr>
      <w:tr>
        <w:trPr>
          <w:trHeight w:val="270"/>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Shares Outstanding - Diluted</w:t>
            </w:r>
            <w:r>
              <w:rPr>
                <w:rFonts w:ascii="Arial" w:cs="Arial" w:eastAsia="Arial" w:hAnsi="Arial"/>
                <w:sz w:val="17"/>
                <w:szCs w:val="17"/>
                <w:color w:val="auto"/>
                <w:vertAlign w:val="superscript"/>
              </w:rPr>
              <w:t>(1)</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84,709,656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75,770,665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83,179,181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75,765,144</w:t>
            </w:r>
          </w:p>
        </w:tc>
      </w:tr>
      <w:tr>
        <w:trPr>
          <w:trHeight w:val="324"/>
        </w:trPr>
        <w:tc>
          <w:tcPr>
            <w:tcW w:w="4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EPS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0.05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0.06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r>
      <w:tr>
        <w:trPr>
          <w:trHeight w:val="258"/>
        </w:trPr>
        <w:tc>
          <w:tcPr>
            <w:tcW w:w="4400" w:type="dxa"/>
            <w:vAlign w:val="bottom"/>
          </w:tcPr>
          <w:p>
            <w:pPr>
              <w:ind w:left="20"/>
              <w:spacing w:after="0"/>
              <w:rPr>
                <w:sz w:val="20"/>
                <w:szCs w:val="20"/>
                <w:color w:val="auto"/>
              </w:rPr>
            </w:pPr>
            <w:r>
              <w:rPr>
                <w:rFonts w:ascii="Arial" w:cs="Arial" w:eastAsia="Arial" w:hAnsi="Arial"/>
                <w:sz w:val="14"/>
                <w:szCs w:val="14"/>
                <w:color w:val="auto"/>
              </w:rPr>
              <w:t>Diluted EPS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b w:val="1"/>
                <w:bCs w:val="1"/>
                <w:color w:val="auto"/>
              </w:rPr>
              <w:t>0.05</w:t>
            </w:r>
          </w:p>
        </w:tc>
        <w:tc>
          <w:tcPr>
            <w:tcW w:w="12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22"/>
                <w:szCs w:val="22"/>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0.06</w:t>
            </w:r>
          </w:p>
        </w:tc>
        <w:tc>
          <w:tcPr>
            <w:tcW w:w="100" w:type="dxa"/>
            <w:vAlign w:val="bottom"/>
          </w:tcPr>
          <w:p>
            <w:pPr>
              <w:spacing w:after="0"/>
              <w:rPr>
                <w:sz w:val="22"/>
                <w:szCs w:val="22"/>
                <w:color w:val="auto"/>
              </w:rPr>
            </w:pP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(0.04)</w:t>
            </w:r>
          </w:p>
        </w:tc>
      </w:tr>
    </w:tbl>
    <w:p>
      <w:pPr>
        <w:spacing w:after="0" w:line="179" w:lineRule="exact"/>
        <w:rPr>
          <w:sz w:val="20"/>
          <w:szCs w:val="20"/>
          <w:color w:val="auto"/>
        </w:rPr>
      </w:pPr>
    </w:p>
    <w:p>
      <w:pPr>
        <w:ind w:left="460" w:hanging="128"/>
        <w:spacing w:after="0"/>
        <w:tabs>
          <w:tab w:leader="none" w:pos="460" w:val="left"/>
        </w:tabs>
        <w:numPr>
          <w:ilvl w:val="0"/>
          <w:numId w:val="13"/>
        </w:numPr>
        <w:rPr>
          <w:rFonts w:ascii="Arial" w:cs="Arial" w:eastAsia="Arial" w:hAnsi="Arial"/>
          <w:sz w:val="15"/>
          <w:szCs w:val="15"/>
          <w:color w:val="auto"/>
          <w:vertAlign w:val="superscript"/>
        </w:rPr>
      </w:pPr>
      <w:r>
        <w:rPr>
          <w:rFonts w:ascii="Arial" w:cs="Arial" w:eastAsia="Arial" w:hAnsi="Arial"/>
          <w:sz w:val="12"/>
          <w:szCs w:val="12"/>
          <w:color w:val="auto"/>
        </w:rPr>
        <w:t>The three and nine months ended September 30, 2018 includes 1.9 million participating securities which can be converted into a fixed amount of our shares.</w:t>
      </w:r>
    </w:p>
    <w:p>
      <w:pPr>
        <w:sectPr>
          <w:pgSz w:w="11900" w:h="16838" w:orient="portrait"/>
          <w:cols w:equalWidth="0" w:num="1">
            <w:col w:w="11420"/>
          </w:cols>
          <w:pgMar w:left="240" w:top="121"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1" w:right="239" w:bottom="1440" w:gutter="0" w:footer="0" w:header="0"/>
          <w:type w:val="continuous"/>
        </w:sectPr>
      </w:pPr>
    </w:p>
    <w:bookmarkStart w:id="41" w:name="page42"/>
    <w:bookmarkEnd w:id="41"/>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For the nine months ended September 30, 2017, 1,048 shares have been excluded from the calculation of Diluted EPS because the impact would be anti-dilutive.</w:t>
      </w:r>
    </w:p>
    <w:p>
      <w:pPr>
        <w:spacing w:after="0" w:line="142"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During the nine months ended September 30, 2018, we issued 7,000,000 common shares, par value $0.01 per share, representing limited liability interest in us, in connection with a public offering, at a price of $18.65 per share. The offering closed on January 16, 2018. Net proceeds from the offering were $128,450 after deducting underwriting discounts and commissions and estimated offering expenses payable by us. To compensate the Manager for its successful efforts in raising capital for us, in connection with the offering, we granted options to the Manager related to 700,000 common shares at the public offering price which had a fair value of approximately $1,900 as of the grant date. The assumptions used in valuing the options were: a 2.52% risk-free rate, a 5.45% dividend yield, a 27.73% volatility and a ten-year term. We intend to use the net proceeds from the offering for general corporate purposes, including the funding of future investments.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16. COMMITMENTS AND CONTINGENCIES</w:t>
      </w:r>
    </w:p>
    <w:p>
      <w:pPr>
        <w:spacing w:after="0" w:line="187"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In the normal course of business we, and our subsidiaries, may be involved in various claims, legal proceedings, or may enter into contracts that contain a variety of representations and warranties and which provide general indemnifications. Within our Offshore Energy segment, a lessee did not fulfill their obligation under their charter arrangement, therefore we are pursuing rights afforded to us under the charter and the range of potential losses against the obligation is $0 to $3,334. Our maximum exposure under other arrangements is unknown as no additional claims have been made. We believe the risk of loss in connection with such arrangements is remote.</w:t>
      </w:r>
    </w:p>
    <w:p>
      <w:pPr>
        <w:spacing w:after="0" w:line="149"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We have also entered into an arrangement with our non-controlling interest holder of Repauno, whereby the non-controlling interest holder may receive additional payments contingent upon the achievement of certain conditions, not to exceed $15,000. We will account for such amounts when and if such conditions are achieved.</w:t>
      </w:r>
    </w:p>
    <w:p>
      <w:pPr>
        <w:spacing w:after="0" w:line="147"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We have entered into an arrangement with the seller of Long Ridge, whereby the seller may receive additional payments contingent upon the achievement of certain conditions, not to exceed $5,000. We will account for such amounts when and if such conditions are achieved.</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Several of our subsidiaries are lessees under various operating and capital leases. Total rent expense for operating leases was as follows: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4280" w:type="dxa"/>
            <w:vAlign w:val="bottom"/>
          </w:tcPr>
          <w:p>
            <w:pPr>
              <w:spacing w:after="0"/>
              <w:rPr>
                <w:sz w:val="17"/>
                <w:szCs w:val="17"/>
                <w:color w:val="auto"/>
              </w:rPr>
            </w:pPr>
          </w:p>
        </w:tc>
        <w:tc>
          <w:tcPr>
            <w:tcW w:w="332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284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280" w:type="dxa"/>
            <w:vAlign w:val="bottom"/>
            <w:tcBorders>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256"/>
        </w:trPr>
        <w:tc>
          <w:tcPr>
            <w:tcW w:w="42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Rent expense</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1,043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1,235</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3,199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3,755</w:t>
            </w:r>
          </w:p>
        </w:tc>
      </w:tr>
    </w:tbl>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30, 2018, minimum future rental payments under operating and capital leases are as follows:</w:t>
      </w:r>
    </w:p>
    <w:p>
      <w:pPr>
        <w:spacing w:after="0" w:line="30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9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2018</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1,588</w:t>
            </w:r>
          </w:p>
        </w:tc>
      </w:tr>
      <w:tr>
        <w:trPr>
          <w:trHeight w:val="210"/>
        </w:trPr>
        <w:tc>
          <w:tcPr>
            <w:tcW w:w="9200" w:type="dxa"/>
            <w:vAlign w:val="bottom"/>
          </w:tcPr>
          <w:p>
            <w:pPr>
              <w:ind w:left="20"/>
              <w:spacing w:after="0"/>
              <w:rPr>
                <w:sz w:val="20"/>
                <w:szCs w:val="20"/>
                <w:color w:val="auto"/>
              </w:rPr>
            </w:pPr>
            <w:r>
              <w:rPr>
                <w:rFonts w:ascii="Arial" w:cs="Arial" w:eastAsia="Arial" w:hAnsi="Arial"/>
                <w:sz w:val="14"/>
                <w:szCs w:val="14"/>
                <w:color w:val="auto"/>
              </w:rPr>
              <w:t>2019</w:t>
            </w:r>
          </w:p>
        </w:tc>
        <w:tc>
          <w:tcPr>
            <w:tcW w:w="5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6,047</w:t>
            </w:r>
          </w:p>
        </w:tc>
      </w:tr>
      <w:tr>
        <w:trPr>
          <w:trHeight w:val="222"/>
        </w:trPr>
        <w:tc>
          <w:tcPr>
            <w:tcW w:w="9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5,206</w:t>
            </w:r>
          </w:p>
        </w:tc>
      </w:tr>
      <w:tr>
        <w:trPr>
          <w:trHeight w:val="210"/>
        </w:trPr>
        <w:tc>
          <w:tcPr>
            <w:tcW w:w="9200" w:type="dxa"/>
            <w:vAlign w:val="bottom"/>
          </w:tcPr>
          <w:p>
            <w:pPr>
              <w:ind w:left="20"/>
              <w:spacing w:after="0"/>
              <w:rPr>
                <w:sz w:val="20"/>
                <w:szCs w:val="20"/>
                <w:color w:val="auto"/>
              </w:rPr>
            </w:pPr>
            <w:r>
              <w:rPr>
                <w:rFonts w:ascii="Arial" w:cs="Arial" w:eastAsia="Arial" w:hAnsi="Arial"/>
                <w:sz w:val="14"/>
                <w:szCs w:val="14"/>
                <w:color w:val="auto"/>
              </w:rPr>
              <w:t>2021</w:t>
            </w:r>
          </w:p>
        </w:tc>
        <w:tc>
          <w:tcPr>
            <w:tcW w:w="5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3,379</w:t>
            </w:r>
          </w:p>
        </w:tc>
      </w:tr>
      <w:tr>
        <w:trPr>
          <w:trHeight w:val="222"/>
        </w:trPr>
        <w:tc>
          <w:tcPr>
            <w:tcW w:w="9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2,447</w:t>
            </w:r>
          </w:p>
        </w:tc>
      </w:tr>
      <w:tr>
        <w:trPr>
          <w:trHeight w:val="210"/>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69,091</w:t>
            </w:r>
          </w:p>
        </w:tc>
      </w:tr>
      <w:tr>
        <w:trPr>
          <w:trHeight w:val="216"/>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87,758</w:t>
            </w:r>
          </w:p>
        </w:tc>
      </w:tr>
      <w:tr>
        <w:trPr>
          <w:trHeight w:val="20"/>
        </w:trPr>
        <w:tc>
          <w:tcPr>
            <w:tcW w:w="9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17. SUBSEQUENT EVENTS</w:t>
      </w:r>
    </w:p>
    <w:p>
      <w:pPr>
        <w:spacing w:after="0" w:line="322" w:lineRule="exact"/>
        <w:rPr>
          <w:sz w:val="20"/>
          <w:szCs w:val="20"/>
          <w:color w:val="auto"/>
        </w:rPr>
      </w:pPr>
    </w:p>
    <w:p>
      <w:pPr>
        <w:ind w:left="340"/>
        <w:spacing w:after="0" w:line="260" w:lineRule="auto"/>
        <w:rPr>
          <w:sz w:val="20"/>
          <w:szCs w:val="20"/>
          <w:color w:val="auto"/>
        </w:rPr>
      </w:pPr>
      <w:r>
        <w:rPr>
          <w:rFonts w:ascii="Arial" w:cs="Arial" w:eastAsia="Arial" w:hAnsi="Arial"/>
          <w:sz w:val="16"/>
          <w:szCs w:val="16"/>
          <w:color w:val="auto"/>
        </w:rPr>
        <w:t>On November 1, 2018, our Board of Directors declared a cash dividend on our common shares and eligible participating securities of $0.33 per share for the quarter ended September 30, 2018, payable on November 27, 2018 to the holders of record on November 16, 2018.</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006EBF"/>
        </w:rPr>
        <w:t>Item 2. Management’s Discussion and Analysis of Financial Condition and Results of Operations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you understand Fortress Transportation and Infrastructure Investors LLC (the “Company,” “we,” “our” or “us”). Our MD&amp;A should be read in conjunction with our unaudited consolidated financial statements and the accompanying notes, and with Part II, Item 1A, “Risk Factors” included elsewhere in this Quarterly Report on Form 10-Q.</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Overview</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own and acquire high quality infrastructure and related equipment that is essential for the transportation of goods and people globally. We target assets that, on a combined basis, generate strong cash flows with potential for earnings growth and asset appreciation. We believe that there are a large number of acquisition opportunities in our markets, and that our Manager’s expertise and business and financing relationships, together with our access to capital, will allow us to take advantage of these opportunities. We are externally managed by FIG LLC (the “Manager”), an affiliate of Fortress Investment Group LLC (“Fortress”), which has a dedicated team of experienced professionals focused on the acquisition of transportation and infrastructure assets since 2002. As of September 30, 2018, we had total consolidated assets of $2.5 billion and total equity of $1.1 billion.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Operating Segments</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We target or develop operating businesses with strong margins, stable cash flows and upside from earnings growth and asset appreciation driven by increased use and inflation. Our Equipment Leasing Business acquires assets that are designed to carry cargo or people or provide functionality to transportation infrastructure. Transportation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w:t>
      </w:r>
    </w:p>
    <w:p>
      <w:pPr>
        <w:spacing w:after="0" w:line="15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reportable segments are comprised of interests in different types of infrastructure and equipment leasing assets. We currently conduct our business through our corporate operating segment and the following six reportable segments: (i) Aviation Leasing, (ii) Offshore Energy, (iii) Shipping Containers, all of which are within Equipment Leasing Business, and (iv) Jefferson Terminal, (v) Railroad and (vi) Ports and Terminals, which together comprise our Infrastructure Business. The Aviation Leasing segment consists of aircraft and aircraft engines held for lease and are typically held long-term. The Offshore Energy segment consists of vessels and equipment that support offshore oil and gas activities and are typically subject to long-term operating leases. The Shipping Containers segment consists of an investment in an unconsolidated entity engaged in the leasing of shipping containers on both an operating lease and finance lease basis. The Jefferson Terminal segment consists of a multi-modal crude and refined products terminal and other related assets which were acquired in 2014. The Railroad segment consists of our Central Maine and Quebec Railway (“CMQR”) short line railroad operations also acquired in 2014. The Ports and Terminals segment consists of Repauno, acquired in 2016, a 1,630 acre deep-water port located along the Delaware river with an underground storage cavern and multiple industrial development opportunities, and Long Ridge, acquired in June 2017, a 1,660 acre multi-modal port located along the Ohio River with rail, dock, and multiple industrial development opportunities.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Corporate operating segment primarily consists of debt, unallocated corporate general and administrative expenses, and management fees.</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reportable segments are comprised of investments in different types of transportation infrastructure and equipment. Each segment requires different investment strategies. The accounting policies of the segments are the same as those described in the summary of significant accounting policies; however, financial information presented by segment includes the impact of intercompany eliminations.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Our Manager</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December 27, 2017, SoftBank Group Corp. (“SoftBank”) announced that it completed its previously announced acquisition of Fortress (the “SoftBank Merger”). In connection with the Merger, Fortress operates within SoftBank as an independent business headquartered in New York.</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062" w:right="2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00497F"/>
        </w:rPr>
        <w:t>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Income (Loss) (Non-GAAP)</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Chief Operating Decision Maker (“CODM”) utilizes Adjusted Net Income (Loss) as the key performance measure. This performance measure provides the CODM with the information necessary to assess operational performance, as well as make resource and allocation decisions.</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Adjusted Net Income (Loss) is defined as net income (loss)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and equity in earnings (losses) of unconsolidated entities, (b) to include the impact of cash income tax payments, and our pro-rata share of the Adjusted Net Income (Loss) from unconsolidated entities, and (c) to exclude the impact of the non-controlling share of Adjusted Net Income (Loss). We evaluate investment performance for each reportable segment primarily based on Adjusted Net Income (Loss). We believe that net income attributable to shareholders, as defined by GAAP, is the most comparable earnings measurement with which to reconcile Adjusted Net Income (Loss).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view Adjusted EBITDA as a secondary measurement to Adjusted Net Income (Loss), which we believe serves as a useful supplement to investors, analysts and management to measure economic performance of deployed revenue generating assets between periods on a consistent basis, and which we believe measures our financial performance and helps identify operational factors that management can impact in the short-term, namely our cost structure and expenses. Adjusted EBITDA may not be comparable to similarly titled measures of other companies because other entities may not calculate Adjusted EBITDA in the same manner.</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Adjusted EBITDA is defined as net income (loss)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w:t>
      </w:r>
    </w:p>
    <w:p>
      <w:pPr>
        <w:spacing w:after="0" w:line="1" w:lineRule="exact"/>
        <w:rPr>
          <w:sz w:val="20"/>
          <w:szCs w:val="20"/>
          <w:color w:val="auto"/>
        </w:rPr>
      </w:pPr>
    </w:p>
    <w:p>
      <w:pPr>
        <w:ind w:firstLine="8"/>
        <w:spacing w:after="0" w:line="260" w:lineRule="auto"/>
        <w:tabs>
          <w:tab w:leader="none" w:pos="2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include the impact of our pro-rata share of Adjusted EBITDA from unconsolidated entities, and (c) to exclude the impact of equity in earnings (losses) of unconsolidated entities and the non-controlling share of Adjusted EBITDA.</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743" w:right="2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00497F"/>
        </w:rPr>
        <w:t>Comparison of the three and nine months ended September 30, 2018 and 2017</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consolidated results of operations and reconciliation of net income (loss) attributable to shareholders to Adjusted Net Income: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income</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40,911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29,741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11,170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107,961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70,872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37,089</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Maintenance revenue</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28,286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17,533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10,753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73,401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46,778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26,623</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lease income</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1,164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2,143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987</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529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1,957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2,499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equipment leasing revenues</w:t>
            </w: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70,890</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49,616</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21,274</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186,004</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121,387</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64,617</w:t>
            </w:r>
          </w:p>
        </w:tc>
        <w:tc>
          <w:tcPr>
            <w:tcW w:w="0" w:type="dxa"/>
            <w:vAlign w:val="bottom"/>
          </w:tcPr>
          <w:p>
            <w:pPr>
              <w:spacing w:after="0"/>
              <w:rPr>
                <w:sz w:val="1"/>
                <w:szCs w:val="1"/>
                <w:color w:val="auto"/>
              </w:rPr>
            </w:pPr>
          </w:p>
        </w:tc>
      </w:tr>
      <w:tr>
        <w:trPr>
          <w:trHeight w:val="258"/>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80"/>
              <w:spacing w:after="0"/>
              <w:rPr>
                <w:sz w:val="20"/>
                <w:szCs w:val="20"/>
                <w:color w:val="auto"/>
              </w:rPr>
            </w:pPr>
            <w:r>
              <w:rPr>
                <w:rFonts w:ascii="Arial" w:cs="Arial" w:eastAsia="Arial" w:hAnsi="Arial"/>
                <w:sz w:val="14"/>
                <w:szCs w:val="14"/>
                <w:color w:val="auto"/>
              </w:rPr>
              <w:t>Lease income</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1,072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264"/>
        </w:trPr>
        <w:tc>
          <w:tcPr>
            <w:tcW w:w="4920" w:type="dxa"/>
            <w:vAlign w:val="bottom"/>
          </w:tcPr>
          <w:p>
            <w:pPr>
              <w:ind w:left="80"/>
              <w:spacing w:after="0"/>
              <w:rPr>
                <w:sz w:val="20"/>
                <w:szCs w:val="20"/>
                <w:color w:val="auto"/>
              </w:rPr>
            </w:pPr>
            <w:r>
              <w:rPr>
                <w:rFonts w:ascii="Arial" w:cs="Arial" w:eastAsia="Arial" w:hAnsi="Arial"/>
                <w:sz w:val="14"/>
                <w:szCs w:val="14"/>
                <w:color w:val="auto"/>
              </w:rPr>
              <w:t>Rail revenues</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8,907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8,258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649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28,742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24,323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4,419</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Terminal services revenues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2,522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6,325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9,622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(3,297)</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18,563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18,260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19,835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19,532</w:t>
            </w: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infrastructure revenues</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30,265</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10,746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19,519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55,974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34,842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21,132</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101,155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60,362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40,793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241,978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156,229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85,749</w:t>
            </w:r>
          </w:p>
        </w:tc>
        <w:tc>
          <w:tcPr>
            <w:tcW w:w="0" w:type="dxa"/>
            <w:vAlign w:val="bottom"/>
          </w:tcPr>
          <w:p>
            <w:pPr>
              <w:spacing w:after="0"/>
              <w:rPr>
                <w:sz w:val="1"/>
                <w:szCs w:val="1"/>
                <w:color w:val="auto"/>
              </w:rPr>
            </w:pPr>
          </w:p>
        </w:tc>
      </w:tr>
      <w:tr>
        <w:trPr>
          <w:trHeight w:val="297"/>
        </w:trPr>
        <w:tc>
          <w:tcPr>
            <w:tcW w:w="49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41,667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23,688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17,979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96,839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66,025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30,814</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4,012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3,439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12,171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10,615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1,556</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1,460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4,734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5,064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Management fees and incentive allocation to affiliate</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3,846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3,771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12,080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11,529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34,422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24,784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9,638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96,853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62,382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34,471</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15,142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8,914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6,228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39,870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21,292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18,578</w:t>
            </w: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100,549</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66,328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34,221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262,547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176,907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85,640</w:t>
            </w: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Equity in (losses) earnings of unconsolidated entities</w:t>
            </w: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(442)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(598)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(1,461)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863</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equipment, net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5,253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6,726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(1,473)</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Loss on extinguishment of debt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(2,456)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361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737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2,148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2,074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2,180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income</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668</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5,204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7,090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5,571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1,519</w:t>
            </w:r>
          </w:p>
        </w:tc>
        <w:tc>
          <w:tcPr>
            <w:tcW w:w="0" w:type="dxa"/>
            <w:vAlign w:val="bottom"/>
          </w:tcPr>
          <w:p>
            <w:pPr>
              <w:spacing w:after="0"/>
              <w:rPr>
                <w:sz w:val="1"/>
                <w:szCs w:val="1"/>
                <w:color w:val="auto"/>
              </w:rPr>
            </w:pP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Income (loss) before income taxes</w:t>
            </w:r>
          </w:p>
        </w:tc>
        <w:tc>
          <w:tcPr>
            <w:tcW w:w="24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1,274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2,036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(13,479)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(15,107)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1,628</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551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1,580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723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(1,671)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(15,059)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(16,692)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1,633</w:t>
            </w: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w:t>
            </w: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(3,855)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(19,904)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subsidiaries</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(4,669)</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(13,816)</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(6,088)</w:t>
            </w:r>
          </w:p>
        </w:tc>
        <w:tc>
          <w:tcPr>
            <w:tcW w:w="0" w:type="dxa"/>
            <w:vAlign w:val="bottom"/>
          </w:tcPr>
          <w:p>
            <w:pPr>
              <w:spacing w:after="0"/>
              <w:rPr>
                <w:sz w:val="1"/>
                <w:szCs w:val="1"/>
                <w:color w:val="auto"/>
              </w:rPr>
            </w:pP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4,578</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2,998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1,580</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4,845</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(2,876)</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7,721</w:t>
            </w:r>
          </w:p>
        </w:tc>
        <w:tc>
          <w:tcPr>
            <w:tcW w:w="0" w:type="dxa"/>
            <w:vAlign w:val="bottom"/>
          </w:tcPr>
          <w:p>
            <w:pPr>
              <w:spacing w:after="0"/>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527"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551</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1,580</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232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669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695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1,460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4,734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5,064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94"/>
        </w:trPr>
        <w:tc>
          <w:tcPr>
            <w:tcW w:w="492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40" w:type="dxa"/>
            <w:vAlign w:val="bottom"/>
          </w:tcPr>
          <w:p>
            <w:pPr>
              <w:spacing w:after="0"/>
              <w:rPr>
                <w:sz w:val="16"/>
                <w:szCs w:val="16"/>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920" w:type="dxa"/>
            <w:vAlign w:val="bottom"/>
          </w:tcPr>
          <w:p>
            <w:pPr>
              <w:ind w:left="40"/>
              <w:spacing w:after="0"/>
              <w:rPr>
                <w:sz w:val="20"/>
                <w:szCs w:val="20"/>
                <w:color w:val="auto"/>
              </w:rPr>
            </w:pPr>
            <w:r>
              <w:rPr>
                <w:rFonts w:ascii="Arial" w:cs="Arial" w:eastAsia="Arial" w:hAnsi="Arial"/>
                <w:sz w:val="14"/>
                <w:szCs w:val="14"/>
                <w:color w:val="auto"/>
              </w:rPr>
              <w:t>obligations</w:t>
            </w:r>
          </w:p>
        </w:tc>
        <w:tc>
          <w:tcPr>
            <w:tcW w:w="2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2,456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567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1,603</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9"/>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Net Income (Loss) from unconsolidated</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entities </w:t>
            </w:r>
            <w:r>
              <w:rPr>
                <w:rFonts w:ascii="Arial" w:cs="Arial" w:eastAsia="Arial" w:hAnsi="Arial"/>
                <w:sz w:val="17"/>
                <w:szCs w:val="17"/>
                <w:color w:val="auto"/>
                <w:vertAlign w:val="superscript"/>
              </w:rPr>
              <w:t>(1)</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(437)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(20)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553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(445)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Less: Equity in losses (earnings) of unconsolidated entities</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442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598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1,461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(863)</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Net Income (Loss) </w:t>
            </w:r>
            <w:r>
              <w:rPr>
                <w:rFonts w:ascii="Arial" w:cs="Arial" w:eastAsia="Arial" w:hAnsi="Arial"/>
                <w:sz w:val="17"/>
                <w:szCs w:val="17"/>
                <w:color w:val="auto"/>
                <w:vertAlign w:val="superscript"/>
              </w:rPr>
              <w:t>(2)</w:t>
            </w: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(241)</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(447)</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(241)</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Adjusted Net Income</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6,505</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3,837</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2,668</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11,802</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4,214</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7,588</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248"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Includes our proportionate share of the unconsolidated entities’ net income adjusted for the excluded and included items detailed in the table above.</w:t>
      </w:r>
    </w:p>
    <w:p>
      <w:pPr>
        <w:spacing w:after="0" w:line="151" w:lineRule="exact"/>
        <w:rPr>
          <w:rFonts w:ascii="Arial" w:cs="Arial" w:eastAsia="Arial" w:hAnsi="Arial"/>
          <w:sz w:val="16"/>
          <w:szCs w:val="16"/>
          <w:color w:val="auto"/>
          <w:vertAlign w:val="superscript"/>
        </w:rPr>
      </w:pPr>
    </w:p>
    <w:p>
      <w:pPr>
        <w:jc w:val="both"/>
        <w:ind w:left="180" w:hanging="172"/>
        <w:spacing w:after="0" w:line="229" w:lineRule="auto"/>
        <w:tabs>
          <w:tab w:leader="none" w:pos="177"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September 30, 2018 and 2017: (i) equity-based compensation of $19 and $43, (ii) provision for income tax of $2 and $(1), and (iii) changes in fair value of non-hedge derivative instruments of $221 and $404 less (iv) cash tax payments of $1 and $(1), respectively. Includes the following items for the nine months ended September 30, 2018 and 2017: (i) equity-based compensation of $96 and $118, (ii) provision for income tax of $10 and $12, and (iii) changes in fair value of non-hedge derivative instruments of $149 and $404, less (iv) cash tax payments of $14 and $31,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net income (loss) attributable to shareholders to Adjusted EBITDA:</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4,578</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2,998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1,580</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4,845</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7,721</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551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909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1,580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1,585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669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1,460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1,732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4,734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5,064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20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2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385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567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(1,036)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1,603</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(20)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553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7"/>
                <w:szCs w:val="17"/>
                <w:color w:val="auto"/>
                <w:vertAlign w:val="superscript"/>
              </w:rPr>
              <w:t>(3)</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39,162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26,686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12,476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114,482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67,575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46,907</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15,142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8,914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6,228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39,870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21,292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18,578</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7"/>
                <w:szCs w:val="17"/>
                <w:color w:val="auto"/>
                <w:vertAlign w:val="superscript"/>
              </w:rPr>
              <w:t>(4)</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402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Less: Equity in losses (earnings) of unconsolidated entities</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442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598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1,461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(863)</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(5)</w:t>
            </w: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(3,563)</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(2,753)</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(810)</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(9,175)</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(7,272)</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(1,903)</w:t>
            </w:r>
          </w:p>
        </w:tc>
        <w:tc>
          <w:tcPr>
            <w:tcW w:w="0" w:type="dxa"/>
            <w:vAlign w:val="bottom"/>
          </w:tcPr>
          <w:p>
            <w:pPr>
              <w:spacing w:after="0"/>
              <w:rPr>
                <w:sz w:val="1"/>
                <w:szCs w:val="1"/>
                <w:color w:val="auto"/>
              </w:rPr>
            </w:pPr>
          </w:p>
        </w:tc>
      </w:tr>
      <w:tr>
        <w:trPr>
          <w:trHeight w:val="238"/>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58,771</w:t>
            </w:r>
          </w:p>
        </w:tc>
        <w:tc>
          <w:tcPr>
            <w:tcW w:w="12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37,765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21,006</w:t>
            </w:r>
          </w:p>
        </w:tc>
        <w:tc>
          <w:tcPr>
            <w:tcW w:w="100" w:type="dxa"/>
            <w:vAlign w:val="bottom"/>
          </w:tcPr>
          <w:p>
            <w:pPr>
              <w:spacing w:after="0"/>
              <w:rPr>
                <w:sz w:val="20"/>
                <w:szCs w:val="20"/>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159,108</w:t>
            </w:r>
          </w:p>
        </w:tc>
        <w:tc>
          <w:tcPr>
            <w:tcW w:w="100" w:type="dxa"/>
            <w:vAlign w:val="bottom"/>
          </w:tcPr>
          <w:p>
            <w:pPr>
              <w:spacing w:after="0"/>
              <w:rPr>
                <w:sz w:val="20"/>
                <w:szCs w:val="20"/>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88,735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70,373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0</wp:posOffset>
            </wp:positionV>
            <wp:extent cx="412496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24960" cy="2603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w:t>
      </w:r>
    </w:p>
    <w:p>
      <w:pPr>
        <w:spacing w:after="0" w:line="177" w:lineRule="exact"/>
        <w:rPr>
          <w:sz w:val="20"/>
          <w:szCs w:val="20"/>
          <w:color w:val="auto"/>
        </w:rPr>
      </w:pPr>
    </w:p>
    <w:p>
      <w:pPr>
        <w:jc w:val="both"/>
        <w:ind w:left="180" w:hanging="172"/>
        <w:spacing w:after="0" w:line="232" w:lineRule="auto"/>
        <w:tabs>
          <w:tab w:leader="none" w:pos="153" w:val="left"/>
        </w:tabs>
        <w:numPr>
          <w:ilvl w:val="0"/>
          <w:numId w:val="16"/>
        </w:numPr>
        <w:rPr>
          <w:rFonts w:ascii="Arial" w:cs="Arial" w:eastAsia="Arial" w:hAnsi="Arial"/>
          <w:sz w:val="17"/>
          <w:szCs w:val="17"/>
          <w:color w:val="auto"/>
          <w:vertAlign w:val="superscript"/>
        </w:rPr>
      </w:pPr>
      <w:r>
        <w:rPr>
          <w:rFonts w:ascii="Arial" w:cs="Arial" w:eastAsia="Arial" w:hAnsi="Arial"/>
          <w:sz w:val="14"/>
          <w:szCs w:val="14"/>
          <w:color w:val="auto"/>
        </w:rPr>
        <w:t>Includes the following items for the three months ended September 30, 2018 and 2017: (i) $34,422 and $24,784 of depreciation and amortization expense, (ii) $1,911 and $1,147 of lease intangible amortization, and (iii) $2,829 and $755 of amortization for lease incentives, respectively. Includes the following items for the nine months ended September 30, 2018 and 2017: (i) $96,853 and $62,382 of depreciation and amortization expense, (ii) $5,913 and $3,494 of lease intangible amortization, and (iii) $11,716 and $1,699 of amortization for lease incentives, respectively.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693" w:right="239" w:bottom="1440" w:gutter="0" w:footer="0" w:header="0"/>
        </w:sectPr>
      </w:pPr>
    </w:p>
    <w:bookmarkStart w:id="46" w:name="page47"/>
    <w:bookmarkEnd w:id="46"/>
    <w:p>
      <w:pPr>
        <w:ind w:left="160" w:hanging="152"/>
        <w:spacing w:after="0"/>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September 30, 2018 and 2017: (i) net (loss) income of $(483) and $86, (ii) interest expense of $97 and $176, and</w:t>
      </w:r>
    </w:p>
    <w:p>
      <w:pPr>
        <w:ind w:left="180"/>
        <w:spacing w:after="0" w:line="258" w:lineRule="auto"/>
        <w:rPr>
          <w:rFonts w:ascii="Arial" w:cs="Arial" w:eastAsia="Arial" w:hAnsi="Arial"/>
          <w:sz w:val="18"/>
          <w:szCs w:val="18"/>
          <w:color w:val="auto"/>
          <w:vertAlign w:val="superscript"/>
        </w:rPr>
      </w:pPr>
      <w:r>
        <w:rPr>
          <w:rFonts w:ascii="Arial" w:cs="Arial" w:eastAsia="Arial" w:hAnsi="Arial"/>
          <w:sz w:val="14"/>
          <w:szCs w:val="14"/>
          <w:color w:val="auto"/>
        </w:rPr>
        <w:t>(iii) depreciation and amortization expense of $788 and $20, respectively. Includes the following items for the nine months ended September 30, 2018 and 2017: (i) net loss of $734 and $1,599, (ii) interest expense of $303 and $650, and (iii) depreciation and amortization expense of $816 and $740, respectively.</w:t>
      </w:r>
    </w:p>
    <w:p>
      <w:pPr>
        <w:spacing w:after="0" w:line="140" w:lineRule="exact"/>
        <w:rPr>
          <w:rFonts w:ascii="Arial" w:cs="Arial" w:eastAsia="Arial" w:hAnsi="Arial"/>
          <w:sz w:val="18"/>
          <w:szCs w:val="18"/>
          <w:color w:val="auto"/>
          <w:vertAlign w:val="superscript"/>
        </w:rPr>
      </w:pPr>
    </w:p>
    <w:p>
      <w:pPr>
        <w:jc w:val="both"/>
        <w:ind w:left="180" w:hanging="172"/>
        <w:spacing w:after="0" w:line="231" w:lineRule="auto"/>
        <w:tabs>
          <w:tab w:leader="none" w:pos="172"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September 30, 2018 and 2017: (i) equity based compensation of $19 and $43, (ii) provision for income taxes of $2 and $(1), (iii) interest expense of $1,512 and $485, (iv) depreciation and amortization expense of $1,809 and $1,822, and (v) changes in fair value of non-hedge derivative instruments of $221 and $404, respectively. Includes the following items for the nine months ended September 30, 2018 and 2017: (i) equity based compensation of $96 and $118, (ii) provision for income taxes of $10 and $12, (iii) interest expense of $3,823 and $1,489, (iv) depreciation and amortization expense of $5,097 and $5,249, and (v) changes in fair value of non-hedge derivative instruments of $149 and $404,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September 30, 2018 and 2017</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revenues increased $40,793, primarily due to higher revenues in the Aviation Leasing, Jefferson Terminal and Ports and Terminals segments.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Equipment Leasing, lease income increased $11,170, primarily driven by an increase in acquired assets on lease in the Aviation Leasing segment.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Maintenance revenue increased $10,753 as the number of aircraft and engines subject to leases with maintenance arrangements increased.</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Infrastructure, other revenue increased $18,260, of which $15,314 relates to crude marketing revenue in the Jefferson Terminal segment. The remaining revenue relates to services performed for lessees at Long Ridge in the Ports and Terminals segment.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nine months ended September 30, 2018 and 2017</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Total revenues increased $85,749, due to higher revenues in our Aviation Leasing, Jefferson Terminal and Ports and Terminals segments.</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Equipment Leasing, lease income increased $37,089, primarily due to an increase in the number of assets on lease in the Aviation Leasing segment. Additionally, maintenance revenue increased $26,623 primarily due to an increase in the number of aircraft and engines subject to leases with maintenance arrangements, and the release of maintenance claims into revenue for aircraft that are being returned from lease.</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Infrastructure, other revenue increased $19,532, of which $15,314 relates to crude marketing revenue in the Jefferson Terminal segment. The remaining revenue relates to services performed for lessees at Long Ridge.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September 30, 2018 and 2017</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$34,221, primarily due to higher (i) operating expenses, (ii) depreciation and amortization and (iii) interest expense.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increased $17,979, primarily due to increases in (i) costs associated with crude marketing of $13,317 in the Jefferson Terminal segment,</w:t>
      </w:r>
    </w:p>
    <w:p>
      <w:pPr>
        <w:spacing w:after="0" w:line="5" w:lineRule="exact"/>
        <w:rPr>
          <w:sz w:val="20"/>
          <w:szCs w:val="20"/>
          <w:color w:val="auto"/>
        </w:rPr>
      </w:pPr>
    </w:p>
    <w:p>
      <w:pPr>
        <w:ind w:firstLine="8"/>
        <w:spacing w:after="0" w:line="260" w:lineRule="auto"/>
        <w:tabs>
          <w:tab w:leader="none" w:pos="241"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compensation and benefits of $2,116 due to increased hiring in the Jefferson Terminal, Ports and Terminals and Railroad segments and (iii) repairs and maintenance of $1,835 primarily in the Offshore and Jefferson Terminal segments.</w:t>
      </w:r>
    </w:p>
    <w:p>
      <w:pPr>
        <w:spacing w:after="0" w:line="8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Depreciation and amortization increased $9,638, primarily due to additional assets acquired in the Aviation Leasing segment and assets placed into service in the Jefferson Terminal segment.</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$6,228, primarily related to interest on the 2022 Notes, the Jefferson Revolver and the Revolving Credit Facility.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nine months ended September 30, 2018 and 2017</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$85,640, mainly due to higher (i) depreciation and amortization, (ii) operating expenses and (iii) interest expense.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increased $34,471, primarily due to additional assets acquired and placed on lease in the Aviation Leasing segment.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505" w:right="23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Operating expenses increased $30,814, primarily due to increases in (i) costs associated with crude marketing of $13,317 in the Jefferson Terminal segment,</w:t>
      </w:r>
    </w:p>
    <w:p>
      <w:pPr>
        <w:spacing w:after="0" w:line="5" w:lineRule="exact"/>
        <w:rPr>
          <w:sz w:val="20"/>
          <w:szCs w:val="20"/>
          <w:color w:val="auto"/>
        </w:rPr>
      </w:pPr>
    </w:p>
    <w:p>
      <w:pPr>
        <w:ind w:firstLine="8"/>
        <w:spacing w:after="0" w:line="260" w:lineRule="auto"/>
        <w:tabs>
          <w:tab w:leader="none" w:pos="2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facility operations of $5,836 primarily in the Jefferson Terminal segment, (iii) compensation and benefits of $3,551 due to increased hiring in the Jefferson Terminal, Ports and Terminals and Railroad segments and (iv) repairs and maintenance of $3,220 primarily in the Offshore and Jefferson Terminal segments.</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Interest expense increased $18,578, primarily related to interest on the 2022 Notes, Jefferson Revolver and the Revolving Credit Facility. Refer to the Note 8 of the Consolidated Financial Statements for further detail.</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other income decreased $4,536 during the three months ended September 30, 2018, compared to the three months ended September 30, 2017, primarily due to a decrease in gains on sales of $2,447 primarily in the Aviation Leasing segment and a gain of $1,093 in 2017 due to a settlement of a note receivable.</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other income increased $1,519 during the nine months ended September 30, 2018, compared to the nine months ended September 30, 2017. The increase primarily reflects the loss on extinguishment of debt of $2,456 during the nine months ended September 30, 2017, partially offset by a decrease in gains on sales of $1,473 primarily in the Aviation Leasing segment.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Income (Loss) Attributable to Shareholders</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income attributable to shareholders increased $1,580 and $7,721 during the three and nine months ended September 30, 2018 compared to the three and nine months ended September 30, 2017, respectively, primarily due to the changes discussed above.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Income (Non-GAAP)</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Adjusted Net Income increased $2,668 and $7,588 during the three and nine months ended September 30, 2018 compared to the three and nine months ended September 30, 2017, respectively, primarily due to the changes in revenue, expenses and other income (expense) noted above. Additionally, the changes were due to (i) changes in the fair value of derivatives, (ii) pro-rata share of Adjusted Net Loss and (iii) the loss on extinguishment of debt during the nine months ended September 30, 2017.</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Adjusted EBITDA increased $21,006 and $70,373 during the three and nine months ended September 30, 2018 compared to the three and nine months ended September 30, 2017, respectively. In addition to the changes in revenue, expenses and income/(loss) noted above, which resulted in an increase in income attributable to shareholders, the changes were primarily due to (i) depreciation and amortization expense from additional assets acquired and placed into service, (ii) interest expense, (iii) changes in the fair value of derivatives, (iv) non-controlling share of Adjusted EBITDA and (v) the loss on extinguishment of debt during the nine months ended September 30, 2017.</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Aviation Leasing Segment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2018, in our Aviation Leasing segment, we own and manage 197 aviation assets, consisting of 62 commercial aircraft and 135 engines.</w:t>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of September 30, 2018, 59 of our commercial aircraft and 101 of our engines were leased to operators or other third parties. Aviation assets currently off lease are either undergoing repair and/or maintenance, being prepared to go on lease or held in short term storage awaiting a future lease. Our aviation equipment was approximately 87% utilized as of September 30, 2018, based on the equity value of our on-hire leasing equipment as a percentage of the total equity value of our aviation leasing equipment. Our aircraft currently have a weighted average remaining lease term of 29 months, and our engines currently on-lease have an average remaining lease term of 11 months. The table below provides additional information on the assets in our Aviation Leasing segment: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547"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70"/>
        </w:trPr>
        <w:tc>
          <w:tcPr>
            <w:tcW w:w="40" w:type="dxa"/>
            <w:vAlign w:val="bottom"/>
            <w:shd w:val="clear" w:color="auto" w:fill="00497F"/>
          </w:tcPr>
          <w:p>
            <w:pPr>
              <w:spacing w:after="0"/>
              <w:rPr>
                <w:sz w:val="23"/>
                <w:szCs w:val="23"/>
                <w:color w:val="auto"/>
              </w:rPr>
            </w:pPr>
          </w:p>
        </w:tc>
        <w:tc>
          <w:tcPr>
            <w:tcW w:w="4660" w:type="dxa"/>
            <w:vAlign w:val="bottom"/>
            <w:gridSpan w:val="3"/>
            <w:shd w:val="clear" w:color="auto" w:fill="00497F"/>
          </w:tcPr>
          <w:p>
            <w:pPr>
              <w:spacing w:after="0"/>
              <w:rPr>
                <w:sz w:val="20"/>
                <w:szCs w:val="20"/>
                <w:color w:val="auto"/>
              </w:rPr>
            </w:pPr>
            <w:r>
              <w:rPr>
                <w:rFonts w:ascii="Arial" w:cs="Arial" w:eastAsia="Arial" w:hAnsi="Arial"/>
                <w:sz w:val="14"/>
                <w:szCs w:val="14"/>
                <w:b w:val="1"/>
                <w:bCs w:val="1"/>
                <w:color w:val="FFFFFF"/>
              </w:rPr>
              <w:t>Aviation Assets</w:t>
            </w:r>
          </w:p>
        </w:tc>
        <w:tc>
          <w:tcPr>
            <w:tcW w:w="1660" w:type="dxa"/>
            <w:vAlign w:val="bottom"/>
            <w:shd w:val="clear" w:color="auto" w:fill="00497F"/>
          </w:tcPr>
          <w:p>
            <w:pPr>
              <w:ind w:left="740"/>
              <w:spacing w:after="0"/>
              <w:rPr>
                <w:sz w:val="20"/>
                <w:szCs w:val="20"/>
                <w:color w:val="auto"/>
              </w:rPr>
            </w:pPr>
            <w:r>
              <w:rPr>
                <w:rFonts w:ascii="Arial" w:cs="Arial" w:eastAsia="Arial" w:hAnsi="Arial"/>
                <w:sz w:val="14"/>
                <w:szCs w:val="14"/>
                <w:b w:val="1"/>
                <w:bCs w:val="1"/>
                <w:color w:val="FFFFFF"/>
              </w:rPr>
              <w:t>Widebody</w:t>
            </w:r>
          </w:p>
        </w:tc>
        <w:tc>
          <w:tcPr>
            <w:tcW w:w="520" w:type="dxa"/>
            <w:vAlign w:val="bottom"/>
            <w:shd w:val="clear" w:color="auto" w:fill="00497F"/>
          </w:tcPr>
          <w:p>
            <w:pPr>
              <w:spacing w:after="0"/>
              <w:rPr>
                <w:sz w:val="23"/>
                <w:szCs w:val="23"/>
                <w:color w:val="auto"/>
              </w:rPr>
            </w:pPr>
          </w:p>
        </w:tc>
        <w:tc>
          <w:tcPr>
            <w:tcW w:w="120" w:type="dxa"/>
            <w:vAlign w:val="bottom"/>
            <w:shd w:val="clear" w:color="auto" w:fill="00497F"/>
          </w:tcPr>
          <w:p>
            <w:pPr>
              <w:spacing w:after="0"/>
              <w:rPr>
                <w:sz w:val="23"/>
                <w:szCs w:val="23"/>
                <w:color w:val="auto"/>
              </w:rPr>
            </w:pPr>
          </w:p>
        </w:tc>
        <w:tc>
          <w:tcPr>
            <w:tcW w:w="1680" w:type="dxa"/>
            <w:vAlign w:val="bottom"/>
            <w:shd w:val="clear" w:color="auto" w:fill="00497F"/>
          </w:tcPr>
          <w:p>
            <w:pPr>
              <w:ind w:left="660"/>
              <w:spacing w:after="0"/>
              <w:rPr>
                <w:sz w:val="20"/>
                <w:szCs w:val="20"/>
                <w:color w:val="auto"/>
              </w:rPr>
            </w:pPr>
            <w:r>
              <w:rPr>
                <w:rFonts w:ascii="Arial" w:cs="Arial" w:eastAsia="Arial" w:hAnsi="Arial"/>
                <w:sz w:val="14"/>
                <w:szCs w:val="14"/>
                <w:b w:val="1"/>
                <w:bCs w:val="1"/>
                <w:color w:val="FFFFFF"/>
              </w:rPr>
              <w:t>Narrowbody</w:t>
            </w:r>
          </w:p>
        </w:tc>
        <w:tc>
          <w:tcPr>
            <w:tcW w:w="480" w:type="dxa"/>
            <w:vAlign w:val="bottom"/>
            <w:shd w:val="clear" w:color="auto" w:fill="00497F"/>
          </w:tcPr>
          <w:p>
            <w:pPr>
              <w:spacing w:after="0"/>
              <w:rPr>
                <w:sz w:val="23"/>
                <w:szCs w:val="23"/>
                <w:color w:val="auto"/>
              </w:rPr>
            </w:pPr>
          </w:p>
        </w:tc>
        <w:tc>
          <w:tcPr>
            <w:tcW w:w="100" w:type="dxa"/>
            <w:vAlign w:val="bottom"/>
            <w:shd w:val="clear" w:color="auto" w:fill="00497F"/>
          </w:tcPr>
          <w:p>
            <w:pPr>
              <w:spacing w:after="0"/>
              <w:rPr>
                <w:sz w:val="23"/>
                <w:szCs w:val="23"/>
                <w:color w:val="auto"/>
              </w:rPr>
            </w:pPr>
          </w:p>
        </w:tc>
        <w:tc>
          <w:tcPr>
            <w:tcW w:w="2160" w:type="dxa"/>
            <w:vAlign w:val="bottom"/>
            <w:shd w:val="clear" w:color="auto" w:fill="00497F"/>
          </w:tcPr>
          <w:p>
            <w:pPr>
              <w:jc w:val="right"/>
              <w:ind w:right="848"/>
              <w:spacing w:after="0"/>
              <w:rPr>
                <w:sz w:val="20"/>
                <w:szCs w:val="20"/>
                <w:color w:val="auto"/>
              </w:rPr>
            </w:pPr>
            <w:r>
              <w:rPr>
                <w:rFonts w:ascii="Arial" w:cs="Arial" w:eastAsia="Arial" w:hAnsi="Arial"/>
                <w:sz w:val="14"/>
                <w:szCs w:val="14"/>
                <w:b w:val="1"/>
                <w:bCs w:val="1"/>
                <w:color w:val="FFFFFF"/>
              </w:rPr>
              <w:t>Total</w:t>
            </w:r>
          </w:p>
        </w:tc>
      </w:tr>
      <w:tr>
        <w:trPr>
          <w:trHeight w:val="230"/>
        </w:trPr>
        <w:tc>
          <w:tcPr>
            <w:tcW w:w="40" w:type="dxa"/>
            <w:vAlign w:val="bottom"/>
          </w:tcPr>
          <w:p>
            <w:pPr>
              <w:spacing w:after="0"/>
              <w:rPr>
                <w:sz w:val="19"/>
                <w:szCs w:val="19"/>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Aircraft</w:t>
            </w:r>
          </w:p>
        </w:tc>
        <w:tc>
          <w:tcPr>
            <w:tcW w:w="1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79"/>
        </w:trPr>
        <w:tc>
          <w:tcPr>
            <w:tcW w:w="4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Assets at January 1, 2018</w:t>
            </w:r>
          </w:p>
        </w:tc>
        <w:tc>
          <w:tcPr>
            <w:tcW w:w="1660" w:type="dxa"/>
            <w:vAlign w:val="bottom"/>
          </w:tcPr>
          <w:p>
            <w:pPr>
              <w:spacing w:after="0"/>
              <w:rPr>
                <w:sz w:val="24"/>
                <w:szCs w:val="24"/>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b w:val="1"/>
                <w:bCs w:val="1"/>
                <w:color w:val="auto"/>
              </w:rPr>
              <w:t>9</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24"/>
                <w:szCs w:val="24"/>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b w:val="1"/>
                <w:bCs w:val="1"/>
                <w:color w:val="auto"/>
              </w:rPr>
              <w:t>48</w:t>
            </w:r>
          </w:p>
        </w:tc>
      </w:tr>
      <w:tr>
        <w:trPr>
          <w:trHeight w:val="270"/>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Purchases</w:t>
            </w:r>
          </w:p>
        </w:tc>
        <w:tc>
          <w:tcPr>
            <w:tcW w:w="166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color w:val="auto"/>
              </w:rPr>
              <w:t>18</w:t>
            </w:r>
          </w:p>
        </w:tc>
      </w:tr>
      <w:tr>
        <w:trPr>
          <w:trHeight w:val="270"/>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Sales</w:t>
            </w:r>
          </w:p>
        </w:tc>
        <w:tc>
          <w:tcPr>
            <w:tcW w:w="1660" w:type="dxa"/>
            <w:vAlign w:val="bottom"/>
          </w:tcPr>
          <w:p>
            <w:pPr>
              <w:spacing w:after="0"/>
              <w:rPr>
                <w:sz w:val="23"/>
                <w:szCs w:val="23"/>
                <w:color w:val="auto"/>
              </w:rPr>
            </w:pPr>
          </w:p>
        </w:tc>
        <w:tc>
          <w:tcPr>
            <w:tcW w:w="2320" w:type="dxa"/>
            <w:vAlign w:val="bottom"/>
            <w:gridSpan w:val="3"/>
          </w:tcPr>
          <w:p>
            <w:pPr>
              <w:jc w:val="right"/>
              <w:ind w:right="184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6"/>
        </w:trPr>
        <w:tc>
          <w:tcPr>
            <w:tcW w:w="4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Transfers</w:t>
            </w:r>
          </w:p>
        </w:tc>
        <w:tc>
          <w:tcPr>
            <w:tcW w:w="1660" w:type="dxa"/>
            <w:vAlign w:val="bottom"/>
          </w:tcPr>
          <w:p>
            <w:pPr>
              <w:spacing w:after="0"/>
              <w:rPr>
                <w:sz w:val="24"/>
                <w:szCs w:val="24"/>
                <w:color w:val="auto"/>
              </w:rPr>
            </w:pPr>
          </w:p>
        </w:tc>
        <w:tc>
          <w:tcPr>
            <w:tcW w:w="2320" w:type="dxa"/>
            <w:vAlign w:val="bottom"/>
            <w:gridSpan w:val="3"/>
          </w:tcPr>
          <w:p>
            <w:pPr>
              <w:jc w:val="right"/>
              <w:ind w:right="184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50"/>
        </w:trPr>
        <w:tc>
          <w:tcPr>
            <w:tcW w:w="40" w:type="dxa"/>
            <w:vAlign w:val="bottom"/>
          </w:tcPr>
          <w:p>
            <w:pPr>
              <w:spacing w:after="0"/>
              <w:rPr>
                <w:sz w:val="21"/>
                <w:szCs w:val="21"/>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Assets at September 30, 2018</w:t>
            </w:r>
          </w:p>
        </w:tc>
        <w:tc>
          <w:tcPr>
            <w:tcW w:w="16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w:t>
            </w:r>
          </w:p>
        </w:tc>
        <w:tc>
          <w:tcPr>
            <w:tcW w:w="120" w:type="dxa"/>
            <w:vAlign w:val="bottom"/>
          </w:tcPr>
          <w:p>
            <w:pPr>
              <w:spacing w:after="0"/>
              <w:rPr>
                <w:sz w:val="21"/>
                <w:szCs w:val="21"/>
                <w:color w:val="auto"/>
              </w:rPr>
            </w:pPr>
          </w:p>
        </w:tc>
        <w:tc>
          <w:tcPr>
            <w:tcW w:w="168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48</w:t>
            </w:r>
          </w:p>
        </w:tc>
        <w:tc>
          <w:tcPr>
            <w:tcW w:w="100" w:type="dxa"/>
            <w:vAlign w:val="bottom"/>
          </w:tcPr>
          <w:p>
            <w:pPr>
              <w:spacing w:after="0"/>
              <w:rPr>
                <w:sz w:val="21"/>
                <w:szCs w:val="21"/>
                <w:color w:val="auto"/>
              </w:rPr>
            </w:pPr>
          </w:p>
        </w:tc>
        <w:tc>
          <w:tcPr>
            <w:tcW w:w="2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62</w:t>
            </w:r>
          </w:p>
        </w:tc>
      </w:tr>
      <w:tr>
        <w:trPr>
          <w:trHeight w:val="554"/>
        </w:trPr>
        <w:tc>
          <w:tcPr>
            <w:tcW w:w="40" w:type="dxa"/>
            <w:vAlign w:val="bottom"/>
          </w:tcPr>
          <w:p>
            <w:pPr>
              <w:spacing w:after="0"/>
              <w:rPr>
                <w:sz w:val="24"/>
                <w:szCs w:val="24"/>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w w:val="99"/>
              </w:rPr>
              <w:t>Engines</w:t>
            </w:r>
          </w:p>
        </w:tc>
        <w:tc>
          <w:tcPr>
            <w:tcW w:w="4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79"/>
        </w:trPr>
        <w:tc>
          <w:tcPr>
            <w:tcW w:w="4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Assets at January 1, 2018</w:t>
            </w:r>
          </w:p>
        </w:tc>
        <w:tc>
          <w:tcPr>
            <w:tcW w:w="1660" w:type="dxa"/>
            <w:vAlign w:val="bottom"/>
          </w:tcPr>
          <w:p>
            <w:pPr>
              <w:spacing w:after="0"/>
              <w:rPr>
                <w:sz w:val="24"/>
                <w:szCs w:val="24"/>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b w:val="1"/>
                <w:bCs w:val="1"/>
                <w:color w:val="auto"/>
              </w:rPr>
              <w:t>57</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24"/>
                <w:szCs w:val="24"/>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b w:val="1"/>
                <w:bCs w:val="1"/>
                <w:color w:val="auto"/>
              </w:rPr>
              <w:t>110</w:t>
            </w:r>
          </w:p>
        </w:tc>
      </w:tr>
      <w:tr>
        <w:trPr>
          <w:trHeight w:val="270"/>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Purchases</w:t>
            </w:r>
          </w:p>
        </w:tc>
        <w:tc>
          <w:tcPr>
            <w:tcW w:w="166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color w:val="auto"/>
              </w:rPr>
              <w:t>26</w:t>
            </w:r>
          </w:p>
        </w:tc>
      </w:tr>
      <w:tr>
        <w:trPr>
          <w:trHeight w:val="270"/>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Sales</w:t>
            </w:r>
          </w:p>
        </w:tc>
        <w:tc>
          <w:tcPr>
            <w:tcW w:w="1660" w:type="dxa"/>
            <w:vAlign w:val="bottom"/>
          </w:tcPr>
          <w:p>
            <w:pPr>
              <w:spacing w:after="0"/>
              <w:rPr>
                <w:sz w:val="23"/>
                <w:szCs w:val="23"/>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76"/>
        </w:trPr>
        <w:tc>
          <w:tcPr>
            <w:tcW w:w="4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Transfers</w:t>
            </w:r>
          </w:p>
        </w:tc>
        <w:tc>
          <w:tcPr>
            <w:tcW w:w="1660" w:type="dxa"/>
            <w:vAlign w:val="bottom"/>
          </w:tcPr>
          <w:p>
            <w:pPr>
              <w:spacing w:after="0"/>
              <w:rPr>
                <w:sz w:val="24"/>
                <w:szCs w:val="24"/>
                <w:color w:val="auto"/>
              </w:rPr>
            </w:pPr>
          </w:p>
        </w:tc>
        <w:tc>
          <w:tcPr>
            <w:tcW w:w="2320" w:type="dxa"/>
            <w:vAlign w:val="bottom"/>
            <w:gridSpan w:val="3"/>
          </w:tcPr>
          <w:p>
            <w:pPr>
              <w:jc w:val="right"/>
              <w:ind w:right="184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color w:val="auto"/>
              </w:rPr>
              <w:t>6</w:t>
            </w:r>
          </w:p>
        </w:tc>
      </w:tr>
      <w:tr>
        <w:trPr>
          <w:trHeight w:val="250"/>
        </w:trPr>
        <w:tc>
          <w:tcPr>
            <w:tcW w:w="40" w:type="dxa"/>
            <w:vAlign w:val="bottom"/>
          </w:tcPr>
          <w:p>
            <w:pPr>
              <w:spacing w:after="0"/>
              <w:rPr>
                <w:sz w:val="21"/>
                <w:szCs w:val="21"/>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Assets at September 30, 2018</w:t>
            </w:r>
          </w:p>
        </w:tc>
        <w:tc>
          <w:tcPr>
            <w:tcW w:w="16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68</w:t>
            </w:r>
          </w:p>
        </w:tc>
        <w:tc>
          <w:tcPr>
            <w:tcW w:w="120" w:type="dxa"/>
            <w:vAlign w:val="bottom"/>
          </w:tcPr>
          <w:p>
            <w:pPr>
              <w:spacing w:after="0"/>
              <w:rPr>
                <w:sz w:val="21"/>
                <w:szCs w:val="21"/>
                <w:color w:val="auto"/>
              </w:rPr>
            </w:pPr>
          </w:p>
        </w:tc>
        <w:tc>
          <w:tcPr>
            <w:tcW w:w="168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67</w:t>
            </w:r>
          </w:p>
        </w:tc>
        <w:tc>
          <w:tcPr>
            <w:tcW w:w="100" w:type="dxa"/>
            <w:vAlign w:val="bottom"/>
          </w:tcPr>
          <w:p>
            <w:pPr>
              <w:spacing w:after="0"/>
              <w:rPr>
                <w:sz w:val="21"/>
                <w:szCs w:val="21"/>
                <w:color w:val="auto"/>
              </w:rPr>
            </w:pPr>
          </w:p>
        </w:tc>
        <w:tc>
          <w:tcPr>
            <w:tcW w:w="2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135</w:t>
            </w:r>
          </w:p>
        </w:tc>
      </w:tr>
    </w:tbl>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680" w:right="2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The following table presents our results of operations and reconciliation of net income attributable to shareholders to Adjusted Net Income: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income</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40,329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25,941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14,388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103,262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63,577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39,685</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Maintenance revenue</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28,286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17,533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10,753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73,401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46,778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26,623</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lease income</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1,047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1,047</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Other revenue</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376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934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932</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69,791</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43,474</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26,317</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178,644</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110,357</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68,287</w:t>
            </w:r>
          </w:p>
        </w:tc>
        <w:tc>
          <w:tcPr>
            <w:tcW w:w="0" w:type="dxa"/>
            <w:vAlign w:val="bottom"/>
          </w:tcPr>
          <w:p>
            <w:pPr>
              <w:spacing w:after="0"/>
              <w:rPr>
                <w:sz w:val="1"/>
                <w:szCs w:val="1"/>
                <w:color w:val="auto"/>
              </w:rPr>
            </w:pPr>
          </w:p>
        </w:tc>
      </w:tr>
      <w:tr>
        <w:trPr>
          <w:trHeight w:val="297"/>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2,115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1,706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7,412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4,496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2,916</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26,343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17,909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8,434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73,031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43,284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29,747</w:t>
            </w: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28,543</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19,621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8,922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80,751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48,056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32,695</w:t>
            </w:r>
          </w:p>
        </w:tc>
        <w:tc>
          <w:tcPr>
            <w:tcW w:w="0" w:type="dxa"/>
            <w:vAlign w:val="bottom"/>
          </w:tcPr>
          <w:p>
            <w:pPr>
              <w:spacing w:after="0"/>
              <w:rPr>
                <w:sz w:val="1"/>
                <w:szCs w:val="1"/>
                <w:color w:val="auto"/>
              </w:rPr>
            </w:pPr>
          </w:p>
        </w:tc>
      </w:tr>
      <w:tr>
        <w:trPr>
          <w:trHeight w:val="297"/>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(expense) income</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Equity in losses of unconsolidated entities</w:t>
            </w: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(192)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(542)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(1,046)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equipment, net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5,198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6,932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(1,734)</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income</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income</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2,719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4,775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6,096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(1,321)</w:t>
            </w:r>
          </w:p>
        </w:tc>
        <w:tc>
          <w:tcPr>
            <w:tcW w:w="0" w:type="dxa"/>
            <w:vAlign w:val="bottom"/>
          </w:tcPr>
          <w:p>
            <w:pPr>
              <w:spacing w:after="0"/>
              <w:rPr>
                <w:sz w:val="1"/>
                <w:szCs w:val="1"/>
                <w:color w:val="auto"/>
              </w:rPr>
            </w:pP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Income before income taxes</w:t>
            </w:r>
          </w:p>
        </w:tc>
        <w:tc>
          <w:tcPr>
            <w:tcW w:w="24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41,284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26,572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14,712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102,668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68,397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34,271</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540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1,546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1,598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40,744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25,645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15,099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101,122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66,799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34,323</w:t>
            </w: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income (loss) attributable to non-controlling interest in</w:t>
            </w:r>
          </w:p>
        </w:tc>
        <w:tc>
          <w:tcPr>
            <w:tcW w:w="2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consolidated subsidiaries</w:t>
            </w:r>
          </w:p>
        </w:tc>
        <w:tc>
          <w:tcPr>
            <w:tcW w:w="24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 attributable to shareholders</w:t>
            </w: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40,744</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25,342</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15,402</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101,146</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66,354</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34,792</w:t>
            </w:r>
          </w:p>
        </w:tc>
        <w:tc>
          <w:tcPr>
            <w:tcW w:w="0" w:type="dxa"/>
            <w:vAlign w:val="bottom"/>
          </w:tcPr>
          <w:p>
            <w:pPr>
              <w:spacing w:after="0"/>
              <w:rPr>
                <w:sz w:val="1"/>
                <w:szCs w:val="1"/>
                <w:color w:val="auto"/>
              </w:rPr>
            </w:pP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540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1,546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4"/>
        </w:trPr>
        <w:tc>
          <w:tcPr>
            <w:tcW w:w="492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40" w:type="dxa"/>
            <w:vAlign w:val="bottom"/>
          </w:tcPr>
          <w:p>
            <w:pPr>
              <w:spacing w:after="0"/>
              <w:rPr>
                <w:sz w:val="16"/>
                <w:szCs w:val="16"/>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920" w:type="dxa"/>
            <w:vAlign w:val="bottom"/>
          </w:tcPr>
          <w:p>
            <w:pPr>
              <w:ind w:left="40"/>
              <w:spacing w:after="0"/>
              <w:rPr>
                <w:sz w:val="20"/>
                <w:szCs w:val="20"/>
                <w:color w:val="auto"/>
              </w:rPr>
            </w:pPr>
            <w:r>
              <w:rPr>
                <w:rFonts w:ascii="Arial" w:cs="Arial" w:eastAsia="Arial" w:hAnsi="Arial"/>
                <w:sz w:val="14"/>
                <w:szCs w:val="14"/>
                <w:color w:val="auto"/>
              </w:rPr>
              <w:t>obligations</w:t>
            </w:r>
          </w:p>
        </w:tc>
        <w:tc>
          <w:tcPr>
            <w:tcW w:w="2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r>
              <w:rPr>
                <w:rFonts w:ascii="Arial" w:cs="Arial" w:eastAsia="Arial" w:hAnsi="Arial"/>
                <w:sz w:val="17"/>
                <w:szCs w:val="17"/>
                <w:color w:val="auto"/>
                <w:vertAlign w:val="superscript"/>
              </w:rPr>
              <w:t>(1)</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(439)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Less: Equity in losses of unconsolidated entities</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192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542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1,046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Adjusted Net Income</w:t>
            </w: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40,930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26,274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14,656</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102,140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68,227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33,913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180" w:hanging="172"/>
        <w:spacing w:after="0" w:line="225" w:lineRule="auto"/>
        <w:tabs>
          <w:tab w:leader="none" w:pos="153" w:val="left"/>
        </w:tabs>
        <w:numPr>
          <w:ilvl w:val="0"/>
          <w:numId w:val="20"/>
        </w:numPr>
        <w:rPr>
          <w:rFonts w:ascii="Arial" w:cs="Arial" w:eastAsia="Arial" w:hAnsi="Arial"/>
          <w:sz w:val="17"/>
          <w:szCs w:val="17"/>
          <w:color w:val="auto"/>
          <w:vertAlign w:val="superscript"/>
        </w:rPr>
      </w:pPr>
      <w:r>
        <w:rPr>
          <w:rFonts w:ascii="Arial" w:cs="Arial" w:eastAsia="Arial" w:hAnsi="Arial"/>
          <w:sz w:val="14"/>
          <w:szCs w:val="14"/>
          <w:color w:val="auto"/>
        </w:rPr>
        <w:t>Includes Aviation Leasing’s proportionate share of the unconsolidated entities’ net income adjusted for the excluded and included items detailed in the table above, for which there were no adjustments.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547" w:right="23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The following table sets forth a reconciliation of net income attributable to shareholders to Adjusted EBITDA:</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shareholders</w:t>
            </w: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40,744</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25,342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15,402</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101,146</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66,354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34,792</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540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927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1,546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1,598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85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308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2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7"/>
                <w:szCs w:val="17"/>
                <w:color w:val="auto"/>
                <w:vertAlign w:val="superscript"/>
              </w:rPr>
              <w:t>(2)</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31,083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11,272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90,660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48,477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42,183</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r>
              <w:rPr>
                <w:rFonts w:ascii="Arial" w:cs="Arial" w:eastAsia="Arial" w:hAnsi="Arial"/>
                <w:sz w:val="17"/>
                <w:szCs w:val="17"/>
                <w:color w:val="auto"/>
                <w:vertAlign w:val="superscript"/>
              </w:rPr>
              <w:t>(3)</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Less: Equity in losses of unconsolidated entities</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192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542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1,046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EBITDA</w:t>
            </w:r>
            <w:r>
              <w:rPr>
                <w:rFonts w:ascii="Arial" w:cs="Arial" w:eastAsia="Arial" w:hAnsi="Arial"/>
                <w:sz w:val="17"/>
                <w:szCs w:val="17"/>
                <w:color w:val="auto"/>
                <w:vertAlign w:val="superscript"/>
              </w:rPr>
              <w:t>(4)</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72,452</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45,894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26,558</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193,488</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116,351</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77,137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233" w:lineRule="exact"/>
        <w:rPr>
          <w:sz w:val="20"/>
          <w:szCs w:val="20"/>
          <w:color w:val="auto"/>
        </w:rPr>
      </w:pPr>
    </w:p>
    <w:p>
      <w:pPr>
        <w:jc w:val="both"/>
        <w:ind w:left="180" w:hanging="172"/>
        <w:spacing w:after="0" w:line="230" w:lineRule="auto"/>
        <w:tabs>
          <w:tab w:leader="none" w:pos="153" w:val="left"/>
        </w:tabs>
        <w:numPr>
          <w:ilvl w:val="0"/>
          <w:numId w:val="21"/>
        </w:numPr>
        <w:rPr>
          <w:rFonts w:ascii="Arial" w:cs="Arial" w:eastAsia="Arial" w:hAnsi="Arial"/>
          <w:sz w:val="17"/>
          <w:szCs w:val="17"/>
          <w:color w:val="auto"/>
          <w:vertAlign w:val="superscript"/>
        </w:rPr>
      </w:pPr>
      <w:r>
        <w:rPr>
          <w:rFonts w:ascii="Arial" w:cs="Arial" w:eastAsia="Arial" w:hAnsi="Arial"/>
          <w:sz w:val="14"/>
          <w:szCs w:val="14"/>
          <w:color w:val="auto"/>
        </w:rPr>
        <w:t>Includes (i) $26,343 and $17,909 of depreciation expense, (ii) $1,911 and $1,147 of lease intangible amortization, and (iii) $2,829 and $755 of amortization for lease incentives during the three months ended September 30, 2018 and 2017, respectively. Includes (i) $73,031 and $43,284 of depreciation expense, (ii) $5,913 and $3,494 of lease intangible amortization, and (iii) $11,716 and $1,699 of amortization for lease incentives during the nine months ended September 30, 2018 and 2017, respectively.</w:t>
      </w:r>
    </w:p>
    <w:p>
      <w:pPr>
        <w:spacing w:after="0" w:line="152" w:lineRule="exact"/>
        <w:rPr>
          <w:rFonts w:ascii="Arial" w:cs="Arial" w:eastAsia="Arial" w:hAnsi="Arial"/>
          <w:sz w:val="17"/>
          <w:szCs w:val="17"/>
          <w:color w:val="auto"/>
          <w:vertAlign w:val="superscript"/>
        </w:rPr>
      </w:pPr>
    </w:p>
    <w:p>
      <w:pPr>
        <w:ind w:left="180" w:hanging="172"/>
        <w:spacing w:after="0" w:line="225" w:lineRule="auto"/>
        <w:tabs>
          <w:tab w:leader="none" w:pos="153" w:val="left"/>
        </w:tabs>
        <w:numPr>
          <w:ilvl w:val="0"/>
          <w:numId w:val="21"/>
        </w:numPr>
        <w:rPr>
          <w:rFonts w:ascii="Arial" w:cs="Arial" w:eastAsia="Arial" w:hAnsi="Arial"/>
          <w:sz w:val="17"/>
          <w:szCs w:val="17"/>
          <w:color w:val="auto"/>
          <w:vertAlign w:val="superscript"/>
        </w:rPr>
      </w:pPr>
      <w:r>
        <w:rPr>
          <w:rFonts w:ascii="Arial" w:cs="Arial" w:eastAsia="Arial" w:hAnsi="Arial"/>
          <w:sz w:val="14"/>
          <w:szCs w:val="14"/>
          <w:color w:val="auto"/>
        </w:rPr>
        <w:t>Includes Aviation Leasing’s proportionate share of the unconsolidated entities’ net income adjusted for the excluded and included items detailed in the table above, for which there were no adjustments.</w:t>
      </w:r>
    </w:p>
    <w:p>
      <w:pPr>
        <w:spacing w:after="0" w:line="152" w:lineRule="exact"/>
        <w:rPr>
          <w:rFonts w:ascii="Arial" w:cs="Arial" w:eastAsia="Arial" w:hAnsi="Arial"/>
          <w:sz w:val="17"/>
          <w:szCs w:val="17"/>
          <w:color w:val="auto"/>
          <w:vertAlign w:val="superscript"/>
        </w:rPr>
      </w:pPr>
    </w:p>
    <w:p>
      <w:pPr>
        <w:ind w:left="180" w:right="20" w:hanging="172"/>
        <w:spacing w:after="0" w:line="225" w:lineRule="auto"/>
        <w:tabs>
          <w:tab w:leader="none" w:pos="153" w:val="left"/>
        </w:tabs>
        <w:numPr>
          <w:ilvl w:val="0"/>
          <w:numId w:val="21"/>
        </w:numPr>
        <w:rPr>
          <w:rFonts w:ascii="Arial" w:cs="Arial" w:eastAsia="Arial" w:hAnsi="Arial"/>
          <w:sz w:val="17"/>
          <w:szCs w:val="17"/>
          <w:color w:val="auto"/>
          <w:vertAlign w:val="superscript"/>
        </w:rPr>
      </w:pPr>
      <w:r>
        <w:rPr>
          <w:rFonts w:ascii="Arial" w:cs="Arial" w:eastAsia="Arial" w:hAnsi="Arial"/>
          <w:sz w:val="14"/>
          <w:szCs w:val="14"/>
          <w:color w:val="auto"/>
        </w:rPr>
        <w:t>Includes $0 and $192 of depreciation expense during the three months ended September 30, 2018 and 2017, respectively. Includes $172 and $354 of depreciation expense during the nine months ended September 30, 2018 and 2017,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Total revenue increased $26,317 during the three months ended September 30, 2018 compared to the three months ended September 30, 2017, due to higher lease income and maintenance revenue driven by the acquisition and placement of aviation assets on lease. Lease income increased by $14,388 mainly due to an increase in (i) aircraft lease income of $9,052 primarily driven by the addition of 24 aircraft on lease and (ii) engine lease income of $5,336 primarily driven by an increase in the number of engines which have generated revenue during the quarter from 76 in the three months ended September 30, 2017 to 101 in the three months ended September 30, 2018. Maintenance revenue increased by $10,753 due to an increase in the number of aircraft and engines on lease.</w:t>
      </w:r>
    </w:p>
    <w:p>
      <w:pPr>
        <w:spacing w:after="0" w:line="34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Total revenues increased $68,287 during the nine months ended September 30, 2018 compared to the nine months ended September 30, 2017, due to higher lease income and maintenance revenue reflecting newly acquired assets. Lease income increased $39,685 mainly due to an increase in (i) aircraft lease income of $24,386 primarily driven by the addition of 25 aircraft on lease and (ii) engine lease income of $15,299 primarily driven by an increase in the number of engines which have generated revenue from 79 to 107 in the nine months ended September 30, 2017 and 2018, respectively. Maintenance revenue increased $26,623 due to a higher number of aircraft and engines on lease, and the release of maintenance claims into revenue for aircraft that are being returned from lease. Engine maintenance and aircraft maintenance revenue increased $18,108 and $8,515, respectively, in the nine months ended September 30, 2018 compared to the nine months ended September 30, 2017.</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24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Total expenses in the Aviation Leasing segment increased by $8,922 in the three months ended September 30, 2018 as compared to the three months ended September 30, 2017, primarily due to an increase in depreciation and amortization expense and operating expenses. Depreciation and amortization expense increased by $8,434 driven by additional aircraft and engines owned and on lease. Operating expenses increased by $409, primarily the result of an increase in equipment shipping and storage costs of $287 due to preparing assets for lease and other operating expenses of $122.</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547" w:right="239" w:bottom="1440" w:gutter="0" w:footer="0" w:header="0"/>
        </w:sectPr>
      </w:pPr>
    </w:p>
    <w:bookmarkStart w:id="51" w:name="page52"/>
    <w:bookmarkEnd w:id="51"/>
    <w:p>
      <w:pPr>
        <w:jc w:val="both"/>
        <w:ind w:right="20"/>
        <w:spacing w:after="0" w:line="249" w:lineRule="auto"/>
        <w:rPr>
          <w:sz w:val="20"/>
          <w:szCs w:val="20"/>
          <w:color w:val="auto"/>
        </w:rPr>
      </w:pPr>
      <w:r>
        <w:rPr>
          <w:rFonts w:ascii="Arial" w:cs="Arial" w:eastAsia="Arial" w:hAnsi="Arial"/>
          <w:sz w:val="16"/>
          <w:szCs w:val="16"/>
          <w:color w:val="auto"/>
        </w:rPr>
        <w:t>Total expenses increased $32,695 in the nine months ended September 30, 2018 compared to the nine months ended September 30, 2017 primarily due to an increase in depreciation and amortization and an increase in operating expenses. Depreciation and amortization increased by $29,747 reflecting the depreciation of additional aircraft and engines owned or put on lease in the nine months ended September 30, 2018. Operating expenses increased $2,916, primarily reflecting increases in (i) bad debt expense of $1,436 related to receivables deemed uncollectible, (ii) professional fees of $466 due to an increased number of assets placed on lease, (iii) equipment shipping and storage costs of $296 due to preparing assets for lease, and (iv) other operating expense of $718 due to positioning our assets for lease and the overall growth of the aviation portfolio.</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w:t>
      </w:r>
    </w:p>
    <w:p>
      <w:pPr>
        <w:spacing w:after="0" w:line="187" w:lineRule="exact"/>
        <w:rPr>
          <w:sz w:val="20"/>
          <w:szCs w:val="20"/>
          <w:color w:val="auto"/>
        </w:rPr>
      </w:pPr>
    </w:p>
    <w:p>
      <w:pPr>
        <w:jc w:val="both"/>
        <w:ind w:right="40"/>
        <w:spacing w:after="0" w:line="260" w:lineRule="auto"/>
        <w:rPr>
          <w:sz w:val="20"/>
          <w:szCs w:val="20"/>
          <w:color w:val="auto"/>
        </w:rPr>
      </w:pPr>
      <w:r>
        <w:rPr>
          <w:rFonts w:ascii="Arial" w:cs="Arial" w:eastAsia="Arial" w:hAnsi="Arial"/>
          <w:sz w:val="16"/>
          <w:szCs w:val="16"/>
          <w:color w:val="auto"/>
        </w:rPr>
        <w:t>Total other income decreased $2,683 in the three months ended September 30, 2018 as compared to the three months ended September 30, 2017 primarily due to a decrease of $2,656 in gain on the sale of leasing equipment in 2018.</w:t>
      </w:r>
    </w:p>
    <w:p>
      <w:pPr>
        <w:spacing w:after="0" w:line="250"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other income decreased $1,321 in the nine months ended September 30, 2018 compared to the nine months ended September 30, 2017 primarily due to a decrease of $1,734 in gain on the sale of leasing equipment in 2018.</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Income (Non-GAAP)</w:t>
      </w:r>
    </w:p>
    <w:p>
      <w:pPr>
        <w:spacing w:after="0" w:line="18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Adjusted Net Income increased $14,656 and $33,913 during the three and nine months ended September 30, 2018 compared to the three and nine months ended September 30, 2017, respectively, primarily reflecting the changes to net income attributable to shareholders noted above, adjusted for the provision for income taxes, and cash payment for taxes.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87"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Adjusted EBITDA increased $26,558 and $77,137 during the three and nine months ended September 30, 2018 compared to the three and nine months ended September 30, 2017, respectively. In addition to the changes in net income attributable to shareholders noted above, this movement was primarily due to higher depreciation and amortization expense for the additional aircraft and engines owned and on lease in the three and nine months ended September 30, 2018 and higher provision for income tax.</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Offshore Energy Segment</w:t>
      </w:r>
    </w:p>
    <w:p>
      <w:pPr>
        <w:spacing w:after="0" w:line="187" w:lineRule="exact"/>
        <w:rPr>
          <w:sz w:val="20"/>
          <w:szCs w:val="20"/>
          <w:color w:val="auto"/>
        </w:rPr>
      </w:pPr>
    </w:p>
    <w:p>
      <w:pPr>
        <w:jc w:val="both"/>
        <w:ind w:right="40"/>
        <w:spacing w:after="0" w:line="260" w:lineRule="auto"/>
        <w:rPr>
          <w:sz w:val="20"/>
          <w:szCs w:val="20"/>
          <w:color w:val="auto"/>
        </w:rPr>
      </w:pPr>
      <w:r>
        <w:rPr>
          <w:rFonts w:ascii="Arial" w:cs="Arial" w:eastAsia="Arial" w:hAnsi="Arial"/>
          <w:sz w:val="16"/>
          <w:szCs w:val="16"/>
          <w:color w:val="auto"/>
        </w:rPr>
        <w:t>In our Offshore Energy segment, we own one remotely operated vehicle (“ROV”) support vessel, one construction support vessel (“CSV”) and one anchor handling tug supply (“AHTS”) vessel. The chart below describes the assets in our Offshore Energy segment as of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54875" cy="1046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1046480"/>
                    </a:xfrm>
                    <a:prstGeom prst="rect">
                      <a:avLst/>
                    </a:prstGeom>
                    <a:noFill/>
                  </pic:spPr>
                </pic:pic>
              </a:graphicData>
            </a:graphic>
          </wp:anchor>
        </w:drawing>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rPr>
        <w:t>Offshore Energy Assets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Borders>
              <w:top w:val="single" w:sz="8" w:color="auto"/>
              <w:bottom w:val="single" w:sz="8" w:color="auto"/>
              <w:right w:val="single" w:sz="8" w:color="auto"/>
            </w:tcBorders>
            <w:shd w:val="clear" w:color="auto" w:fill="D8D8D8"/>
          </w:tcPr>
          <w:p>
            <w:pPr>
              <w:ind w:left="180"/>
              <w:spacing w:after="0"/>
              <w:rPr>
                <w:sz w:val="20"/>
                <w:szCs w:val="20"/>
                <w:color w:val="auto"/>
              </w:rPr>
            </w:pPr>
            <w:r>
              <w:rPr>
                <w:rFonts w:ascii="Arial" w:cs="Arial" w:eastAsia="Arial" w:hAnsi="Arial"/>
                <w:sz w:val="14"/>
                <w:szCs w:val="14"/>
                <w:color w:val="auto"/>
              </w:rPr>
              <w:t>Asset Type</w:t>
            </w:r>
          </w:p>
        </w:tc>
        <w:tc>
          <w:tcPr>
            <w:tcW w:w="92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Year Built</w:t>
            </w:r>
          </w:p>
        </w:tc>
        <w:tc>
          <w:tcPr>
            <w:tcW w:w="6480" w:type="dxa"/>
            <w:vAlign w:val="bottom"/>
            <w:tcBorders>
              <w:top w:val="single" w:sz="8" w:color="auto"/>
              <w:bottom w:val="single" w:sz="8" w:color="auto"/>
            </w:tcBorders>
            <w:shd w:val="clear" w:color="auto" w:fill="D8D8D8"/>
          </w:tcPr>
          <w:p>
            <w:pPr>
              <w:ind w:left="2880"/>
              <w:spacing w:after="0"/>
              <w:rPr>
                <w:sz w:val="20"/>
                <w:szCs w:val="20"/>
                <w:color w:val="auto"/>
              </w:rPr>
            </w:pPr>
            <w:r>
              <w:rPr>
                <w:rFonts w:ascii="Arial" w:cs="Arial" w:eastAsia="Arial" w:hAnsi="Arial"/>
                <w:sz w:val="14"/>
                <w:szCs w:val="14"/>
                <w:color w:val="auto"/>
              </w:rPr>
              <w:t>Description</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0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4"/>
                <w:szCs w:val="14"/>
                <w:color w:val="auto"/>
              </w:rPr>
              <w:t>AHTS Vessel</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2010</w:t>
            </w:r>
          </w:p>
        </w:tc>
        <w:tc>
          <w:tcPr>
            <w:tcW w:w="6480" w:type="dxa"/>
            <w:vAlign w:val="bottom"/>
          </w:tcPr>
          <w:p>
            <w:pPr>
              <w:ind w:left="160"/>
              <w:spacing w:after="0"/>
              <w:rPr>
                <w:sz w:val="20"/>
                <w:szCs w:val="20"/>
                <w:color w:val="auto"/>
              </w:rPr>
            </w:pPr>
            <w:r>
              <w:rPr>
                <w:rFonts w:ascii="Arial" w:cs="Arial" w:eastAsia="Arial" w:hAnsi="Arial"/>
                <w:sz w:val="14"/>
                <w:szCs w:val="14"/>
                <w:color w:val="auto"/>
              </w:rPr>
              <w:t>Anchor handling tug supply vessel with accommodation for 30 personnel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402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6480" w:type="dxa"/>
            <w:vAlign w:val="bottom"/>
            <w:vMerge w:val="restart"/>
          </w:tcPr>
          <w:p>
            <w:pPr>
              <w:ind w:left="160"/>
              <w:spacing w:after="0"/>
              <w:rPr>
                <w:sz w:val="20"/>
                <w:szCs w:val="20"/>
                <w:color w:val="auto"/>
              </w:rPr>
            </w:pPr>
            <w:r>
              <w:rPr>
                <w:rFonts w:ascii="Arial" w:cs="Arial" w:eastAsia="Arial" w:hAnsi="Arial"/>
                <w:sz w:val="14"/>
                <w:szCs w:val="14"/>
                <w:color w:val="auto"/>
              </w:rPr>
              <w:t>and a total bollard pull of 68.5 tons</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2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648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40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4"/>
                <w:szCs w:val="14"/>
                <w:color w:val="auto"/>
              </w:rPr>
              <w:t>Construction Support Vessel</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2014</w:t>
            </w:r>
          </w:p>
        </w:tc>
        <w:tc>
          <w:tcPr>
            <w:tcW w:w="6480" w:type="dxa"/>
            <w:vAlign w:val="bottom"/>
          </w:tcPr>
          <w:p>
            <w:pPr>
              <w:ind w:left="160"/>
              <w:spacing w:after="0"/>
              <w:rPr>
                <w:sz w:val="20"/>
                <w:szCs w:val="20"/>
                <w:color w:val="auto"/>
              </w:rPr>
            </w:pPr>
            <w:r>
              <w:rPr>
                <w:rFonts w:ascii="Arial" w:cs="Arial" w:eastAsia="Arial" w:hAnsi="Arial"/>
                <w:sz w:val="14"/>
                <w:szCs w:val="14"/>
                <w:color w:val="auto"/>
              </w:rPr>
              <w:t>DP-3 construction support and well intervention vessel with 250-ton main crane, 2,000 square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402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6480" w:type="dxa"/>
            <w:vAlign w:val="bottom"/>
            <w:vMerge w:val="restart"/>
          </w:tcPr>
          <w:p>
            <w:pPr>
              <w:ind w:left="160"/>
              <w:spacing w:after="0"/>
              <w:rPr>
                <w:sz w:val="20"/>
                <w:szCs w:val="20"/>
                <w:color w:val="auto"/>
              </w:rPr>
            </w:pPr>
            <w:r>
              <w:rPr>
                <w:rFonts w:ascii="Arial" w:cs="Arial" w:eastAsia="Arial" w:hAnsi="Arial"/>
                <w:sz w:val="14"/>
                <w:szCs w:val="14"/>
                <w:color w:val="auto"/>
              </w:rPr>
              <w:t>meter open deck space, moon pool and accommodation for 100 personnel</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2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648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40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4"/>
                <w:szCs w:val="14"/>
                <w:color w:val="auto"/>
              </w:rPr>
              <w:t>ROV Support Vessel</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2011</w:t>
            </w:r>
          </w:p>
        </w:tc>
        <w:tc>
          <w:tcPr>
            <w:tcW w:w="6480" w:type="dxa"/>
            <w:vAlign w:val="bottom"/>
          </w:tcPr>
          <w:p>
            <w:pPr>
              <w:ind w:left="160"/>
              <w:spacing w:after="0"/>
              <w:rPr>
                <w:sz w:val="20"/>
                <w:szCs w:val="20"/>
                <w:color w:val="auto"/>
              </w:rPr>
            </w:pPr>
            <w:r>
              <w:rPr>
                <w:rFonts w:ascii="Arial" w:cs="Arial" w:eastAsia="Arial" w:hAnsi="Arial"/>
                <w:sz w:val="14"/>
                <w:szCs w:val="14"/>
                <w:color w:val="auto"/>
              </w:rPr>
              <w:t>DP-2 dive and ROV support vessel with 50-ton crane, moon pool and accommodation for 120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402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6480" w:type="dxa"/>
            <w:vAlign w:val="bottom"/>
            <w:vMerge w:val="restart"/>
          </w:tcPr>
          <w:p>
            <w:pPr>
              <w:ind w:left="160"/>
              <w:spacing w:after="0"/>
              <w:rPr>
                <w:sz w:val="20"/>
                <w:szCs w:val="20"/>
                <w:color w:val="auto"/>
              </w:rPr>
            </w:pPr>
            <w:r>
              <w:rPr>
                <w:rFonts w:ascii="Arial" w:cs="Arial" w:eastAsia="Arial" w:hAnsi="Arial"/>
                <w:sz w:val="14"/>
                <w:szCs w:val="14"/>
                <w:color w:val="auto"/>
              </w:rPr>
              <w:t>personnel</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2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648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39"/>
        </w:trPr>
        <w:tc>
          <w:tcPr>
            <w:tcW w:w="4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80" w:type="dxa"/>
            <w:vAlign w:val="bottom"/>
          </w:tcPr>
          <w:p>
            <w:pPr>
              <w:ind w:left="680"/>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47" w:right="21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income</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582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4,699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7,295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(2,596)</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Finance lease income</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364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1,096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1,156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1,932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1,515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2,504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(989)</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1,099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6,117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7,310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10,955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(3,645)</w:t>
            </w:r>
          </w:p>
        </w:tc>
        <w:tc>
          <w:tcPr>
            <w:tcW w:w="0" w:type="dxa"/>
            <w:vAlign w:val="bottom"/>
          </w:tcPr>
          <w:p>
            <w:pPr>
              <w:spacing w:after="0"/>
              <w:rPr>
                <w:sz w:val="1"/>
                <w:szCs w:val="1"/>
                <w:color w:val="auto"/>
              </w:rPr>
            </w:pPr>
          </w:p>
        </w:tc>
      </w:tr>
      <w:tr>
        <w:trPr>
          <w:trHeight w:val="297"/>
        </w:trPr>
        <w:tc>
          <w:tcPr>
            <w:tcW w:w="49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3,751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5,103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10,067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12,661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(2,594)</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1,627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1,607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4,855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4,820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959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946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2,793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2,800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6,337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7,656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17,715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20,281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(2,566)</w:t>
            </w:r>
          </w:p>
        </w:tc>
        <w:tc>
          <w:tcPr>
            <w:tcW w:w="0" w:type="dxa"/>
            <w:vAlign w:val="bottom"/>
          </w:tcPr>
          <w:p>
            <w:pPr>
              <w:spacing w:after="0"/>
              <w:rPr>
                <w:sz w:val="1"/>
                <w:szCs w:val="1"/>
                <w:color w:val="auto"/>
              </w:rPr>
            </w:pPr>
          </w:p>
        </w:tc>
      </w:tr>
      <w:tr>
        <w:trPr>
          <w:trHeight w:val="297"/>
        </w:trPr>
        <w:tc>
          <w:tcPr>
            <w:tcW w:w="49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Other income</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Other income</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1,093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(1,093)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1,093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(1,093)</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income</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1,097</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(1,093)</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1,104</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24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(5,234)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(10,393)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(2,171)</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(benefit from) income taxes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(5,238)</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(437)</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(4,801)</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(10,402)</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(8,222)</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(2,180)</w:t>
            </w: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w:t>
            </w:r>
          </w:p>
        </w:tc>
        <w:tc>
          <w:tcPr>
            <w:tcW w:w="2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subsidiaries</w:t>
            </w:r>
          </w:p>
        </w:tc>
        <w:tc>
          <w:tcPr>
            <w:tcW w:w="24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(5,238)</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(375)</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(4,863)</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(10,402)</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(7,696)</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(2,706)</w:t>
            </w:r>
          </w:p>
        </w:tc>
        <w:tc>
          <w:tcPr>
            <w:tcW w:w="0" w:type="dxa"/>
            <w:vAlign w:val="bottom"/>
          </w:tcPr>
          <w:p>
            <w:pPr>
              <w:spacing w:after="0"/>
              <w:rPr>
                <w:sz w:val="1"/>
                <w:szCs w:val="1"/>
                <w:color w:val="auto"/>
              </w:rPr>
            </w:pP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(benefit from) income taxes</w:t>
            </w: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492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40" w:type="dxa"/>
            <w:vAlign w:val="bottom"/>
          </w:tcPr>
          <w:p>
            <w:pPr>
              <w:spacing w:after="0"/>
              <w:rPr>
                <w:sz w:val="16"/>
                <w:szCs w:val="16"/>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920" w:type="dxa"/>
            <w:vAlign w:val="bottom"/>
          </w:tcPr>
          <w:p>
            <w:pPr>
              <w:ind w:left="40"/>
              <w:spacing w:after="0"/>
              <w:rPr>
                <w:sz w:val="20"/>
                <w:szCs w:val="20"/>
                <w:color w:val="auto"/>
              </w:rPr>
            </w:pPr>
            <w:r>
              <w:rPr>
                <w:rFonts w:ascii="Arial" w:cs="Arial" w:eastAsia="Arial" w:hAnsi="Arial"/>
                <w:sz w:val="14"/>
                <w:szCs w:val="14"/>
                <w:color w:val="auto"/>
              </w:rPr>
              <w:t>obligations</w:t>
            </w:r>
          </w:p>
        </w:tc>
        <w:tc>
          <w:tcPr>
            <w:tcW w:w="2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Adjusted Net Loss</w:t>
            </w: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(5,234)</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(4,854)</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(10,400)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(7,696)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(2,704)</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4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547" w:right="2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(5,238)</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(4,863)</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(10,402)</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(7,696)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(2,706)</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Provision for (benefit from) income taxes</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2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1,627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4,855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4,820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959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946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2,793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(1)</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(2,648)</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2,112</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(4,760)</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(2,745)</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(2,422)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25"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September 30, 2018 and 2017: (i) depreciation expense of $0 and $42 and (ii) interest expense of $0 and $19,</w:t>
      </w:r>
    </w:p>
    <w:p>
      <w:pPr>
        <w:ind w:left="180" w:right="20"/>
        <w:spacing w:after="0" w:line="258" w:lineRule="auto"/>
        <w:rPr>
          <w:rFonts w:ascii="Arial" w:cs="Arial" w:eastAsia="Arial" w:hAnsi="Arial"/>
          <w:sz w:val="18"/>
          <w:szCs w:val="18"/>
          <w:color w:val="auto"/>
          <w:vertAlign w:val="superscript"/>
        </w:rPr>
      </w:pPr>
      <w:r>
        <w:rPr>
          <w:rFonts w:ascii="Arial" w:cs="Arial" w:eastAsia="Arial" w:hAnsi="Arial"/>
          <w:sz w:val="14"/>
          <w:szCs w:val="14"/>
          <w:color w:val="auto"/>
        </w:rPr>
        <w:t>respectively. Includes the following items for the nine months ended September 30, 2018 and 2017: (i) depreciation expense of $0 and $165 and (ii) interest expense of $0 and $82,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Total revenues decreased $5,018 during the three months ended September 30, 2018 compared to the three months ended September 30, 2017 primarily due to lower lease income. The decrease in lease income reflects the CSV vessel having been off lease during the quarter for 2018 compared to 2017 when the vessel was on short-term lease arrangements. Other revenues decreased $1,779 primarily due to decreased crew provisions reimbursement income for the offshore construction vessel during 2018 compared to 2017 when it was on the short-term lease arrangements.</w:t>
      </w:r>
    </w:p>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Total revenues decreased $3,645 during the nine months ended September 30, 2018 compared to the nine months ended September 30, 2017 primarily due to lower lease income and other revenue. The decrease in lease income reflects the CSV vessel having been off lease since May 2018 during the nine months in 2018 as compared to being on short-term lease arrangements in 2017. Other revenue decreased $989 primarily due to decreased crew provisions reimbursement income for the offshore construction vessel during 2018 compared to 2017 when it was on the short-term lease arrangements.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Total expenses in the Offshore Energy segment decreased by $1,319 in the three months ended June 30, 2018 as compared to the three months ended June 30, 2017, primarily due to decreases in operating expenses. Operating expenses decreased $1,352 reflecting lower (i) legal fees of $1,098 (ii) project costs of $604, (iii) mobilization and cost for spare parts of $460 (iv) crew costs of $142 and (v) other operating costs of $550 offset by increased repair and maintenance costs of $1,502.</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Total expenses decreased $2,566 in the nine months ended September 30, 2018 compared to the nine months ended September 30, 2017, primarily due to decreases in operating expenses. Operating expenses decreased $2,594 reflecting lower (i) legal fees of $3,085 (ii) mobilization and cost for spare parts of $377 and (iii) other operating costs of $1,185 offset by increased (i) repair and maintenance costs of $1,672, (ii) project costs of $305 and (iii) crew costs of $76.</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 (Non-GAAP)</w:t>
      </w:r>
    </w:p>
    <w:p>
      <w:pPr>
        <w:spacing w:after="0" w:line="1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Adjusted Net Loss increased $4,854 during the three months ended September 30, 2018 compared to the three months ended September 30, 2017. The change is primarily due to the changes to net loss attributable to shareholders described above.</w:t>
      </w:r>
    </w:p>
    <w:p>
      <w:pPr>
        <w:spacing w:after="0" w:line="25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Net Loss increased $2,704 during the nine months ended September 30, 2018 compared to the nine months ended September 30, 2017. The change is primarily due to the changes to net loss attributable to shareholders described above.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547" w:right="2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8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Adjusted EBITDA decreased $4,760 during the three months ended September 30, 2018 compared to the three months ended September 30, 2017. The decrease is primarily due to the changes to net loss attributable to shareholders described above, and the non-controlling interest share of Adjusted EBITDA, which was settled during the third quarter of 2017.</w:t>
      </w:r>
    </w:p>
    <w:p>
      <w:pPr>
        <w:spacing w:after="0" w:line="14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Adjusted EBITDA decreased $2,422 during the nine months ended September 30, 2018 compared to the nine months ended September 30, 2017. The decrease is primarily due to the changes to net loss attributable to shareholders described above, and the non-controlling interest share of Adjusted EBITDA, which was settled during the third quarter of 2017.</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Shipping Containers Segment</w:t>
      </w:r>
    </w:p>
    <w:p>
      <w:pPr>
        <w:spacing w:after="0" w:line="1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our Shipping Containers segment, we own, through a joint venture an interest in approximately 29,000 maritime shipping containers and related equipment through one portfolio. The chart below describes the assets in our Shipping Containers segment as of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54875" cy="848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848995"/>
                    </a:xfrm>
                    <a:prstGeom prst="rect">
                      <a:avLst/>
                    </a:prstGeom>
                    <a:noFill/>
                  </pic:spPr>
                </pic:pic>
              </a:graphicData>
            </a:graphic>
          </wp:anchor>
        </w:drawing>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4"/>
          <w:szCs w:val="14"/>
          <w:color w:val="FFFFFF"/>
        </w:rPr>
        <w:t>Shipping Containers Assets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Borders>
              <w:top w:val="single" w:sz="8" w:color="auto"/>
              <w:bottom w:val="single" w:sz="8" w:color="auto"/>
              <w:right w:val="single" w:sz="8" w:color="auto"/>
            </w:tcBorders>
            <w:shd w:val="clear" w:color="auto" w:fill="D8D8D8"/>
          </w:tcPr>
          <w:p>
            <w:pPr>
              <w:jc w:val="right"/>
              <w:ind w:right="648"/>
              <w:spacing w:after="0"/>
              <w:rPr>
                <w:sz w:val="20"/>
                <w:szCs w:val="20"/>
                <w:color w:val="auto"/>
              </w:rPr>
            </w:pPr>
            <w:r>
              <w:rPr>
                <w:rFonts w:ascii="Arial" w:cs="Arial" w:eastAsia="Arial" w:hAnsi="Arial"/>
                <w:sz w:val="14"/>
                <w:szCs w:val="14"/>
                <w:color w:val="auto"/>
              </w:rPr>
              <w:t>Number of Containers</w:t>
            </w:r>
          </w:p>
        </w:tc>
        <w:tc>
          <w:tcPr>
            <w:tcW w:w="1720" w:type="dxa"/>
            <w:vAlign w:val="bottom"/>
            <w:tcBorders>
              <w:top w:val="single" w:sz="8" w:color="auto"/>
              <w:bottom w:val="single" w:sz="8" w:color="auto"/>
              <w:right w:val="single" w:sz="8" w:color="auto"/>
            </w:tcBorders>
            <w:shd w:val="clear" w:color="auto" w:fill="D8D8D8"/>
          </w:tcPr>
          <w:p>
            <w:pPr>
              <w:ind w:left="700"/>
              <w:spacing w:after="0"/>
              <w:rPr>
                <w:sz w:val="20"/>
                <w:szCs w:val="20"/>
                <w:color w:val="auto"/>
              </w:rPr>
            </w:pPr>
            <w:r>
              <w:rPr>
                <w:rFonts w:ascii="Arial" w:cs="Arial" w:eastAsia="Arial" w:hAnsi="Arial"/>
                <w:sz w:val="14"/>
                <w:szCs w:val="14"/>
                <w:color w:val="auto"/>
              </w:rPr>
              <w:t>Type</w:t>
            </w:r>
          </w:p>
        </w:tc>
        <w:tc>
          <w:tcPr>
            <w:tcW w:w="172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Average Age</w:t>
            </w:r>
          </w:p>
        </w:tc>
        <w:tc>
          <w:tcPr>
            <w:tcW w:w="170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Lease Type</w:t>
            </w:r>
          </w:p>
        </w:tc>
        <w:tc>
          <w:tcPr>
            <w:tcW w:w="170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Customer Mix</w:t>
            </w:r>
          </w:p>
        </w:tc>
        <w:tc>
          <w:tcPr>
            <w:tcW w:w="2260" w:type="dxa"/>
            <w:vAlign w:val="bottom"/>
            <w:tcBorders>
              <w:top w:val="single" w:sz="8" w:color="auto"/>
              <w:bottom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Economic Interest (%)</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2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20’ Dry</w:t>
            </w:r>
          </w:p>
        </w:tc>
        <w:tc>
          <w:tcPr>
            <w:tcW w:w="172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2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2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20’ Reefer</w:t>
            </w:r>
          </w:p>
        </w:tc>
        <w:tc>
          <w:tcPr>
            <w:tcW w:w="172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Direct Finance</w:t>
            </w:r>
          </w:p>
        </w:tc>
        <w:tc>
          <w:tcPr>
            <w:tcW w:w="170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320" w:type="dxa"/>
            <w:vAlign w:val="bottom"/>
            <w:tcBorders>
              <w:right w:val="single" w:sz="8" w:color="auto"/>
            </w:tcBorders>
            <w:vMerge w:val="restart"/>
          </w:tcPr>
          <w:p>
            <w:pPr>
              <w:jc w:val="right"/>
              <w:ind w:right="1768"/>
              <w:spacing w:after="0"/>
              <w:rPr>
                <w:sz w:val="20"/>
                <w:szCs w:val="20"/>
                <w:color w:val="auto"/>
              </w:rPr>
            </w:pPr>
            <w:r>
              <w:rPr>
                <w:rFonts w:ascii="Arial" w:cs="Arial" w:eastAsia="Arial" w:hAnsi="Arial"/>
                <w:sz w:val="14"/>
                <w:szCs w:val="14"/>
                <w:color w:val="auto"/>
              </w:rPr>
              <w:t>29,000</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40’ Dry</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~10 Years</w:t>
            </w:r>
          </w:p>
        </w:tc>
        <w:tc>
          <w:tcPr>
            <w:tcW w:w="170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3 Customers</w:t>
            </w:r>
          </w:p>
        </w:tc>
        <w:tc>
          <w:tcPr>
            <w:tcW w:w="2260" w:type="dxa"/>
            <w:vAlign w:val="bottom"/>
            <w:vMerge w:val="restart"/>
          </w:tcPr>
          <w:p>
            <w:pPr>
              <w:jc w:val="right"/>
              <w:ind w:right="928"/>
              <w:spacing w:after="0"/>
              <w:rPr>
                <w:sz w:val="20"/>
                <w:szCs w:val="20"/>
                <w:color w:val="auto"/>
              </w:rPr>
            </w:pPr>
            <w:r>
              <w:rPr>
                <w:rFonts w:ascii="Arial" w:cs="Arial" w:eastAsia="Arial" w:hAnsi="Arial"/>
                <w:sz w:val="14"/>
                <w:szCs w:val="14"/>
                <w:color w:val="auto"/>
              </w:rPr>
              <w:t>51%</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320" w:type="dxa"/>
            <w:vAlign w:val="bottom"/>
            <w:tcBorders>
              <w:right w:val="single" w:sz="8" w:color="auto"/>
            </w:tcBorders>
            <w:vMerge w:val="continue"/>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Lease/Operating Lease</w:t>
            </w:r>
          </w:p>
        </w:tc>
        <w:tc>
          <w:tcPr>
            <w:tcW w:w="1700" w:type="dxa"/>
            <w:vAlign w:val="bottom"/>
            <w:tcBorders>
              <w:right w:val="single" w:sz="8" w:color="auto"/>
            </w:tcBorders>
            <w:vMerge w:val="continue"/>
          </w:tcPr>
          <w:p>
            <w:pPr>
              <w:spacing w:after="0"/>
              <w:rPr>
                <w:sz w:val="7"/>
                <w:szCs w:val="7"/>
                <w:color w:val="auto"/>
              </w:rPr>
            </w:pPr>
          </w:p>
        </w:tc>
        <w:tc>
          <w:tcPr>
            <w:tcW w:w="22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32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40’ HC Dry</w:t>
            </w:r>
          </w:p>
        </w:tc>
        <w:tc>
          <w:tcPr>
            <w:tcW w:w="172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22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320" w:type="dxa"/>
            <w:vAlign w:val="bottom"/>
            <w:tcBorders>
              <w:right w:val="single" w:sz="8" w:color="auto"/>
            </w:tcBorders>
          </w:tcPr>
          <w:p>
            <w:pPr>
              <w:spacing w:after="0"/>
              <w:rPr>
                <w:sz w:val="6"/>
                <w:szCs w:val="6"/>
                <w:color w:val="auto"/>
              </w:rPr>
            </w:pPr>
          </w:p>
        </w:tc>
        <w:tc>
          <w:tcPr>
            <w:tcW w:w="1720" w:type="dxa"/>
            <w:vAlign w:val="bottom"/>
            <w:tcBorders>
              <w:right w:val="single" w:sz="8" w:color="auto"/>
            </w:tcBorders>
            <w:vMerge w:val="continue"/>
          </w:tcPr>
          <w:p>
            <w:pPr>
              <w:spacing w:after="0"/>
              <w:rPr>
                <w:sz w:val="6"/>
                <w:szCs w:val="6"/>
                <w:color w:val="auto"/>
              </w:rPr>
            </w:pPr>
          </w:p>
        </w:tc>
        <w:tc>
          <w:tcPr>
            <w:tcW w:w="1720" w:type="dxa"/>
            <w:vAlign w:val="bottom"/>
            <w:tcBorders>
              <w:right w:val="single" w:sz="8" w:color="auto"/>
            </w:tcBorders>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22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3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40’ HC Reefer</w:t>
            </w:r>
          </w:p>
        </w:tc>
        <w:tc>
          <w:tcPr>
            <w:tcW w:w="172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right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40"/>
          </w:cols>
          <w:pgMar w:left="240" w:top="527" w:right="219"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t>The following table presents our results of operations and reconciliation of Net income (loss) attributable to shareholders to Adjusted Net Income (Loss):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97"/>
        </w:trPr>
        <w:tc>
          <w:tcPr>
            <w:tcW w:w="49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97"/>
        </w:trPr>
        <w:tc>
          <w:tcPr>
            <w:tcW w:w="49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(losses) of unconsolidated entities</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other income (expense)</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394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 (loss) before income taxes</w:t>
            </w: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Benefit from income taxes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117</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451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color w:val="auto"/>
              </w:rPr>
              <w:t>Add: Benefit from income taxes</w:t>
            </w:r>
          </w:p>
        </w:tc>
        <w:tc>
          <w:tcPr>
            <w:tcW w:w="24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2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920" w:type="dxa"/>
            <w:vAlign w:val="bottom"/>
          </w:tcPr>
          <w:p>
            <w:pPr>
              <w:ind w:left="40"/>
              <w:spacing w:after="0"/>
              <w:rPr>
                <w:sz w:val="20"/>
                <w:szCs w:val="20"/>
                <w:color w:val="auto"/>
              </w:rPr>
            </w:pPr>
            <w:r>
              <w:rPr>
                <w:rFonts w:ascii="Arial" w:cs="Arial" w:eastAsia="Arial" w:hAnsi="Arial"/>
                <w:sz w:val="14"/>
                <w:szCs w:val="14"/>
                <w:color w:val="auto"/>
              </w:rPr>
              <w:t>Add: Pro-rata share of Adjusted Net Income (Loss) from unconsolidated</w:t>
            </w:r>
          </w:p>
        </w:tc>
        <w:tc>
          <w:tcPr>
            <w:tcW w:w="24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118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399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tcPr>
          <w:p>
            <w:pPr>
              <w:ind w:left="40"/>
              <w:spacing w:after="0" w:line="189" w:lineRule="exact"/>
              <w:rPr>
                <w:sz w:val="20"/>
                <w:szCs w:val="20"/>
                <w:color w:val="auto"/>
              </w:rPr>
            </w:pPr>
            <w:r>
              <w:rPr>
                <w:rFonts w:ascii="Arial" w:cs="Arial" w:eastAsia="Arial" w:hAnsi="Arial"/>
                <w:sz w:val="14"/>
                <w:szCs w:val="14"/>
                <w:color w:val="auto"/>
              </w:rPr>
              <w:t xml:space="preserve">entities </w:t>
            </w:r>
            <w:r>
              <w:rPr>
                <w:rFonts w:ascii="Arial" w:cs="Arial" w:eastAsia="Arial" w:hAnsi="Arial"/>
                <w:sz w:val="17"/>
                <w:szCs w:val="17"/>
                <w:color w:val="auto"/>
                <w:vertAlign w:val="superscript"/>
              </w:rPr>
              <w:t>(1)</w:t>
            </w: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Less: Cash payments for income taxes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losses (earnings) of unconsolidated entities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Net Income (Loss)</w:t>
            </w: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72"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16"/>
          <w:szCs w:val="16"/>
          <w:color w:val="auto"/>
          <w:vertAlign w:val="superscript"/>
        </w:rPr>
      </w:pPr>
      <w:r>
        <w:rPr>
          <w:rFonts w:ascii="Arial" w:cs="Arial" w:eastAsia="Arial" w:hAnsi="Arial"/>
          <w:sz w:val="13"/>
          <w:szCs w:val="13"/>
          <w:color w:val="auto"/>
        </w:rPr>
        <w:t>Includes Shipping Container’s proportionate share of the unconsolidated entities’ net income adjusted for the excluded and included items detailed in the table above.</w:t>
      </w:r>
    </w:p>
    <w:p>
      <w:pPr>
        <w:spacing w:after="0" w:line="229" w:lineRule="exact"/>
        <w:rPr>
          <w:rFonts w:ascii="Arial" w:cs="Arial" w:eastAsia="Arial" w:hAnsi="Arial"/>
          <w:sz w:val="16"/>
          <w:szCs w:val="16"/>
          <w:color w:val="auto"/>
          <w:vertAlign w:val="superscript"/>
        </w:rPr>
      </w:pPr>
    </w:p>
    <w:p>
      <w:pPr>
        <w:ind w:left="5620"/>
        <w:spacing w:after="0"/>
        <w:rPr>
          <w:rFonts w:ascii="Arial" w:cs="Arial" w:eastAsia="Arial" w:hAnsi="Arial"/>
          <w:sz w:val="16"/>
          <w:szCs w:val="16"/>
          <w:color w:val="auto"/>
          <w:vertAlign w:val="superscript"/>
        </w:rPr>
      </w:pPr>
      <w:r>
        <w:rPr>
          <w:rFonts w:ascii="Arial" w:cs="Arial" w:eastAsia="Arial" w:hAnsi="Arial"/>
          <w:sz w:val="16"/>
          <w:szCs w:val="16"/>
          <w:color w:val="auto"/>
        </w:rPr>
        <w:t>56</w:t>
      </w:r>
    </w:p>
    <w:p>
      <w:pPr>
        <w:sectPr>
          <w:pgSz w:w="11900" w:h="16838" w:orient="portrait"/>
          <w:cols w:equalWidth="0" w:num="1">
            <w:col w:w="11420"/>
          </w:cols>
          <w:pgMar w:left="240" w:top="547" w:right="23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The following table sets forth a reconciliation of net income (loss) attributable to shareholders to Adjusted EBITDA: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117</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451</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Benefit from income taxes</w:t>
            </w: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2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7"/>
                <w:szCs w:val="17"/>
                <w:color w:val="auto"/>
                <w:vertAlign w:val="superscript"/>
              </w:rPr>
              <w:t>(2)</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575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Less: Equity in losses (earnings) of unconsolidated entities</w:t>
            </w: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(113)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(394)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EBITDA</w:t>
            </w: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155</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526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625</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1,003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w:t>
      </w:r>
    </w:p>
    <w:p>
      <w:pPr>
        <w:spacing w:after="0" w:line="139"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September 30, 2018 and 2017: (i) net income of $58 and $313, (ii) interest expense of $97 and $176, and (iii)</w:t>
      </w:r>
    </w:p>
    <w:p>
      <w:pPr>
        <w:ind w:left="180"/>
        <w:spacing w:after="0" w:line="258" w:lineRule="auto"/>
        <w:rPr>
          <w:rFonts w:ascii="Arial" w:cs="Arial" w:eastAsia="Arial" w:hAnsi="Arial"/>
          <w:sz w:val="18"/>
          <w:szCs w:val="18"/>
          <w:color w:val="auto"/>
          <w:vertAlign w:val="superscript"/>
        </w:rPr>
      </w:pPr>
      <w:r>
        <w:rPr>
          <w:rFonts w:ascii="Arial" w:cs="Arial" w:eastAsia="Arial" w:hAnsi="Arial"/>
          <w:sz w:val="14"/>
          <w:szCs w:val="14"/>
          <w:color w:val="auto"/>
        </w:rPr>
        <w:t>depreciation and amortization expense of $0 and $20, respectively. Includes the following items for the nine months ended September 30, 2018 and 2017: (i) net income (loss) of $244 and $(454), (ii) interest expense of $303 and $650, and (iii) depreciation and amortization expense of $28 and $740,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other income decreased $246 in the three months ended September 30, 2018 compared to the three months ended September 30, 2017, reflecting lower income earned from the sales of operating lease containers within our shipping container joint venture primarily driven by increased storage costs.</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other income increased $710 in the nine months ended September 30, 2018 compared to the nine months ended September 30, 2017, reflecting income earned from the sales of operating lease containers within our shipping container joint venture.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Income (Loss) (Non-GAAP)</w:t>
      </w:r>
    </w:p>
    <w:p>
      <w:pPr>
        <w:spacing w:after="0" w:line="1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Adjusted Net Income decreased $212 in the three months ended September 30, 2018 compared to the three months ended September 30, 2017, reflecting the decrease in equity in earnings of unconsolidated entities.</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Net Income (Loss) increased $836 in the nine months ended September 30, 2018 compared to the nine months ended September 30, 2017, reflecting the increase in equity in earnings of unconsolidated entities.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Adjusted EBITDA decreased $371 and $378 during the three and nine months ended September 30, 2018 compared to the three and nine months ended September 30, 2017, respectively. The decrease primarily reflects the entities’ change in equity in unconsolidated entities and lower pro-rata share of Adjusted EBITDA from unconsolidated entities.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560" w:right="2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00497F"/>
        </w:rPr>
        <w:t>Jefferson Terminal Segment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Terminal services revenues</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2,522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6,325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9,622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(3,297)</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Other revenue</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15,314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15,314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15,314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15,314</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17,836</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1,730</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16,106</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21,639</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9,622</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12,017</w:t>
            </w:r>
          </w:p>
        </w:tc>
        <w:tc>
          <w:tcPr>
            <w:tcW w:w="0" w:type="dxa"/>
            <w:vAlign w:val="bottom"/>
          </w:tcPr>
          <w:p>
            <w:pPr>
              <w:spacing w:after="0"/>
              <w:rPr>
                <w:sz w:val="1"/>
                <w:szCs w:val="1"/>
                <w:color w:val="auto"/>
              </w:rPr>
            </w:pPr>
          </w:p>
        </w:tc>
      </w:tr>
      <w:tr>
        <w:trPr>
          <w:trHeight w:val="297"/>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23,893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7,039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16,854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47,105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21,919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25,186</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4,999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14,726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11,885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2,841</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4,257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1,408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2,849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12,070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4,283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7,787</w:t>
            </w: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33,149</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12,425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20,724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73,901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38,087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35,814</w:t>
            </w:r>
          </w:p>
        </w:tc>
        <w:tc>
          <w:tcPr>
            <w:tcW w:w="0" w:type="dxa"/>
            <w:vAlign w:val="bottom"/>
          </w:tcPr>
          <w:p>
            <w:pPr>
              <w:spacing w:after="0"/>
              <w:rPr>
                <w:sz w:val="1"/>
                <w:szCs w:val="1"/>
                <w:color w:val="auto"/>
              </w:rPr>
            </w:pPr>
          </w:p>
        </w:tc>
      </w:tr>
      <w:tr>
        <w:trPr>
          <w:trHeight w:val="297"/>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Equity in losses of unconsolidated entities</w:t>
            </w: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(363)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737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2,074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987</w:t>
            </w: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income</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468</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1,191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1,854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24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(14,845)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(9,504)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(50,408)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(27,116)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(23,292)</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(benefit from) income taxes</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(14,856)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(9,501)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(50,440)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(27,147)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(23,293)</w:t>
            </w: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w:t>
            </w: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(3,759)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(20,017)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subsidiaries</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(4,806)</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(13,209)</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(6,808)</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(11,097)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(4,695)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(30,423)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(13,938)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(16,485)</w:t>
            </w:r>
          </w:p>
        </w:tc>
        <w:tc>
          <w:tcPr>
            <w:tcW w:w="0" w:type="dxa"/>
            <w:vAlign w:val="bottom"/>
          </w:tcPr>
          <w:p>
            <w:pPr>
              <w:spacing w:after="0"/>
              <w:rPr>
                <w:sz w:val="1"/>
                <w:szCs w:val="1"/>
                <w:color w:val="auto"/>
              </w:rPr>
            </w:pP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(benefit from) income taxes</w:t>
            </w: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89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269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492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40" w:type="dxa"/>
            <w:vAlign w:val="bottom"/>
          </w:tcPr>
          <w:p>
            <w:pPr>
              <w:spacing w:after="0"/>
              <w:rPr>
                <w:sz w:val="16"/>
                <w:szCs w:val="16"/>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920" w:type="dxa"/>
            <w:vAlign w:val="bottom"/>
          </w:tcPr>
          <w:p>
            <w:pPr>
              <w:ind w:left="40"/>
              <w:spacing w:after="0"/>
              <w:rPr>
                <w:sz w:val="20"/>
                <w:szCs w:val="20"/>
                <w:color w:val="auto"/>
              </w:rPr>
            </w:pPr>
            <w:r>
              <w:rPr>
                <w:rFonts w:ascii="Arial" w:cs="Arial" w:eastAsia="Arial" w:hAnsi="Arial"/>
                <w:sz w:val="14"/>
                <w:szCs w:val="14"/>
                <w:color w:val="auto"/>
              </w:rPr>
              <w:t>obligations</w:t>
            </w:r>
          </w:p>
        </w:tc>
        <w:tc>
          <w:tcPr>
            <w:tcW w:w="2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567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1,603</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Pro-rata share of Adjusted Net Loss from unconsolidated entities </w:t>
            </w:r>
            <w:r>
              <w:rPr>
                <w:rFonts w:ascii="Arial" w:cs="Arial" w:eastAsia="Arial" w:hAnsi="Arial"/>
                <w:sz w:val="17"/>
                <w:szCs w:val="17"/>
                <w:color w:val="auto"/>
                <w:vertAlign w:val="superscript"/>
              </w:rPr>
              <w:t>(1)</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(363)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Less: Equity in losses of unconsolidated entities</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363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450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Net (Loss) Income</w:t>
            </w:r>
            <w:r>
              <w:rPr>
                <w:rFonts w:ascii="Arial" w:cs="Arial" w:eastAsia="Arial" w:hAnsi="Arial"/>
                <w:sz w:val="17"/>
                <w:szCs w:val="17"/>
                <w:color w:val="auto"/>
                <w:vertAlign w:val="superscript"/>
              </w:rPr>
              <w:t>(2)</w:t>
            </w: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(239)</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(440)</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(233)</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Adjusted Net Loss</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(10,857)</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(6,081)</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(4,776)</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(29,831)</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(15,269)</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(14,562)</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180" w:hanging="172"/>
        <w:spacing w:after="0" w:line="225" w:lineRule="auto"/>
        <w:tabs>
          <w:tab w:leader="none" w:pos="153" w:val="left"/>
        </w:tabs>
        <w:numPr>
          <w:ilvl w:val="0"/>
          <w:numId w:val="25"/>
        </w:numPr>
        <w:rPr>
          <w:rFonts w:ascii="Arial" w:cs="Arial" w:eastAsia="Arial" w:hAnsi="Arial"/>
          <w:sz w:val="17"/>
          <w:szCs w:val="17"/>
          <w:color w:val="auto"/>
          <w:vertAlign w:val="superscript"/>
        </w:rPr>
      </w:pPr>
      <w:r>
        <w:rPr>
          <w:rFonts w:ascii="Arial" w:cs="Arial" w:eastAsia="Arial" w:hAnsi="Arial"/>
          <w:sz w:val="14"/>
          <w:szCs w:val="14"/>
          <w:color w:val="auto"/>
        </w:rPr>
        <w:t>Includes Jefferson Terminal’s proportionate share of the unconsolidated entities’ net income adjusted for the excluded and included items detailed in the table above, for which there were no adjustments.</w:t>
      </w:r>
    </w:p>
    <w:p>
      <w:pPr>
        <w:spacing w:after="0" w:line="152" w:lineRule="exact"/>
        <w:rPr>
          <w:rFonts w:ascii="Arial" w:cs="Arial" w:eastAsia="Arial" w:hAnsi="Arial"/>
          <w:sz w:val="17"/>
          <w:szCs w:val="17"/>
          <w:color w:val="auto"/>
          <w:vertAlign w:val="superscript"/>
        </w:rPr>
      </w:pPr>
    </w:p>
    <w:p>
      <w:pPr>
        <w:jc w:val="both"/>
        <w:ind w:left="180" w:hanging="172"/>
        <w:spacing w:after="0" w:line="232" w:lineRule="auto"/>
        <w:tabs>
          <w:tab w:leader="none" w:pos="153" w:val="left"/>
        </w:tabs>
        <w:numPr>
          <w:ilvl w:val="0"/>
          <w:numId w:val="25"/>
        </w:numPr>
        <w:rPr>
          <w:rFonts w:ascii="Arial" w:cs="Arial" w:eastAsia="Arial" w:hAnsi="Arial"/>
          <w:sz w:val="17"/>
          <w:szCs w:val="17"/>
          <w:color w:val="auto"/>
          <w:vertAlign w:val="superscript"/>
        </w:rPr>
      </w:pPr>
      <w:r>
        <w:rPr>
          <w:rFonts w:ascii="Arial" w:cs="Arial" w:eastAsia="Arial" w:hAnsi="Arial"/>
          <w:sz w:val="14"/>
          <w:szCs w:val="14"/>
          <w:color w:val="auto"/>
        </w:rPr>
        <w:t>Includes the following items for the three months ended September 30, 2018 and 2017: (i) equity-based compensation of $17 and $36, (ii) provision for income taxes of $2 and $(1), (iii) changes in fair value of non-hedge derivative instruments of $221 and $404, less (iv) cash paid for income taxes of $1 and $(1), respectively. Includes the following items for the nine months ended September 30, 2018 and 2017: (i) equity-based compensation of $88 and $90, (ii) provision for income taxes of $10 and $12, (iii) changes in fair value of non-hedge derivative instruments of $149 and $404, less (iv) cash paid for income taxes of $14 and $31, respectively.</w:t>
      </w:r>
    </w:p>
    <w:p>
      <w:pPr>
        <w:sectPr>
          <w:pgSz w:w="11900" w:h="16838" w:orient="portrait"/>
          <w:cols w:equalWidth="0" w:num="1">
            <w:col w:w="11420"/>
          </w:cols>
          <w:pgMar w:left="240" w:top="581" w:right="239" w:bottom="1440" w:gutter="0" w:footer="0" w:header="0"/>
        </w:sect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581" w:right="2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(11,097)</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(4,695)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(6,402)</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(30,423)</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(13,938)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(16,485)</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Provision for (benefit from) income taxes</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32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2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385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567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(1,036)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1,603</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4,999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14,726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11,885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2,841</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4,257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1,408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2,849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12,070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4,283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7,787</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r>
              <w:rPr>
                <w:rFonts w:ascii="Arial" w:cs="Arial" w:eastAsia="Arial" w:hAnsi="Arial"/>
                <w:sz w:val="17"/>
                <w:szCs w:val="17"/>
                <w:color w:val="auto"/>
                <w:vertAlign w:val="superscript"/>
              </w:rPr>
              <w:t>(3)</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Less: Equity in losses of unconsolidated entities</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363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450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(4)</w:t>
            </w: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(3,510)</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(2,439)</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(1,071)</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(8,846)</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(6,509)</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(2,337)</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(4,064)</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(2,697)</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(1,367)</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(10,803)</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(5,056)</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65" w:lineRule="exact"/>
        <w:rPr>
          <w:sz w:val="20"/>
          <w:szCs w:val="20"/>
          <w:color w:val="auto"/>
        </w:rPr>
      </w:pPr>
    </w:p>
    <w:p>
      <w:pPr>
        <w:jc w:val="both"/>
        <w:ind w:left="180" w:hanging="161"/>
        <w:spacing w:after="0" w:line="228" w:lineRule="auto"/>
        <w:rPr>
          <w:sz w:val="20"/>
          <w:szCs w:val="20"/>
          <w:color w:val="auto"/>
        </w:rPr>
      </w:pPr>
      <w:r>
        <w:rPr>
          <w:rFonts w:ascii="Arial" w:cs="Arial" w:eastAsia="Arial" w:hAnsi="Arial"/>
          <w:sz w:val="17"/>
          <w:szCs w:val="17"/>
          <w:color w:val="auto"/>
          <w:vertAlign w:val="superscript"/>
        </w:rPr>
        <w:t>(3)</w:t>
      </w:r>
      <w:r>
        <w:rPr>
          <w:rFonts w:ascii="Arial" w:cs="Arial" w:eastAsia="Arial" w:hAnsi="Arial"/>
          <w:sz w:val="14"/>
          <w:szCs w:val="14"/>
          <w:color w:val="auto"/>
        </w:rPr>
        <w:t>Jefferson Terminal’s pro-rata share of Adjusted EBITDA from unconsolidated entities includes the proportionate share of the unconsolidated entities’ net income adjusted for the excluded and included items detailed in the table above.</w:t>
      </w:r>
    </w:p>
    <w:p>
      <w:pPr>
        <w:spacing w:after="0" w:line="153" w:lineRule="exact"/>
        <w:rPr>
          <w:sz w:val="20"/>
          <w:szCs w:val="20"/>
          <w:color w:val="auto"/>
        </w:rPr>
      </w:pPr>
    </w:p>
    <w:p>
      <w:pPr>
        <w:jc w:val="both"/>
        <w:ind w:left="180" w:hanging="172"/>
        <w:spacing w:after="0" w:line="231" w:lineRule="auto"/>
        <w:tabs>
          <w:tab w:leader="none" w:pos="177"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September 30, 2018 and 2017: (i) equity-based compensation of $17 and $36, (ii) provision for (benefit from) income taxes of $2 and $(1), (iii) interest expense of $1,498 and $447, (iv) changes in fair value of non-hedge derivative instruments of $221 and $404, and (vii) depreciation and amortization expense of $1,772 and $1,553, respectively. Includes the following items for the nine months ended September 30, 2018 and 2017: (i) equity-based compensation of $88 and $90, (ii) provision for income taxes of $10 and $12, (iii) interest expense of $3,780 and $1,364, (iv) changes in fair value of non-hedge derivative instruments of $149 and $404, and (vii) depreciation and amortization expense of $4,819 and $4,639,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revenues increased $16,106 and $12,017 during the three and nine months ended September 30, 2018 compared to the three and nine months ended September 30, 2017, respectively, primarily reflecting crude marketing revenue of $15,314 earned during 2018.</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expenses increased $20,724 during the three months ended September 30, 2018 compared to the three months ended September 30, 2017 primarily due to higher operating expenses of $16,854, which reflected higher (i) cost of sales of $13,317, (ii) facility operations costs of $1,077, (iii) compensation and benefits of $870 relating to new hires, (iv) repairs and maintenance expenses of $439, (v) tax expenses of $244, and (vi) general operating costs of $907.</w:t>
      </w:r>
    </w:p>
    <w:p>
      <w:pPr>
        <w:spacing w:after="0" w:line="14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Total expenses increased $35,814 in the nine months ended September 30, 2018 compared to the nine months ended September 30, 2017, primarily due to higher operating expenses of $25,186. During 2018, Jefferson Terminal transitioned terminal operations to a new terminal operator. As a result of this transition, there was an increase in facility operating costs related to the ramp-up of the new operator of $1,144. Due to the transition, the terminal had various other facility operating costs totaling $4,172. Additionally, the increase in total operating expenses reflect higher (i) cost of sales of $13,317, (ii) professional fees of $2,784 in legal expenses, and (iii) repairs and maintenance of $1,189, for maintenance performed during 2018 on various projects, and (iv) compensation and benefits of $963 due to new hires. General operating costs increased by (v) $354 related to tax expense, and (vi) environmental expense of $287 related to waste disposal costs incurred in 2018. Other operating expenses also increased by $976.</w:t>
      </w:r>
    </w:p>
    <w:p>
      <w:pPr>
        <w:spacing w:after="0" w:line="15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Interest expense increased $2,849 and $7,787 during the three and nine months ended September 30, 2018 compared to the three and nine months ended September 30, 2017, respectively, due to a decrease in interest capitalized under the Series 2016 bonds and a decrease in construction in progress as certain terminal storage assets were placed into service in the first quarter of 2018. Further, there was additional debt outstanding during the periods as a result of the Revolving Credit Facility.</w:t>
      </w:r>
    </w:p>
    <w:p>
      <w:pPr>
        <w:spacing w:after="0" w:line="14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Depreciation expense increased $1,021 and $2,841 during the three and nine months ended September 30, 2018 compared to the three and nine months ended September 30, 2017, respectively, due to new assets being placed into service during the periods.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547" w:right="2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i w:val="1"/>
          <w:iCs w:val="1"/>
          <w:color w:val="00497F"/>
        </w:rPr>
        <w:t>Other Income</w:t>
      </w:r>
    </w:p>
    <w:p>
      <w:pPr>
        <w:spacing w:after="0" w:line="1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other income decreased $723 and increased $505 during the three and nine months ended September 30, 2018 compared to the three and nine months ended September 30, 2017, respectively, due to unrealized gains/losses recorded for forward crude transactions.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 (Non-GAAP)</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Adjusted Net Loss increased $4,776 and $14,562 during the three and nine months ended September 30, 2018 compared to the three and nine months ended September 30, 2017, respectively. The increase reflects the changes in net loss attributable to shareholders noted above, offset by the changes in fair value of non-hedge derivatives and the non-controlling interest share of Adjusted Net Loss.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Adjusted EBITDA decreased $1,367 and $5,747 during the three and nine months ended September 30, 2018 compared to the three and nine months ended September 30, 2017, respectively. The changes reflect the changes in net loss attributable to shareholders noted above, as well as a decrease in the non-controlling share of adjusted EBITDA of $1,071 and $2,337. Offsetting these decreases were an increase in interest expense of $2,849 and $7,787 noted above, as well as depreciation and amortization expense of $1,021 and $2,841, respectively.</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878" w:right="2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color w:val="00497F"/>
        </w:rPr>
        <w:t>Railroad Segment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 and reconciliation of net income (loss) attributable to shareholders to Adjusted Net Income (Loss):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80"/>
              <w:spacing w:after="0"/>
              <w:rPr>
                <w:sz w:val="20"/>
                <w:szCs w:val="20"/>
                <w:color w:val="auto"/>
              </w:rPr>
            </w:pPr>
            <w:r>
              <w:rPr>
                <w:rFonts w:ascii="Arial" w:cs="Arial" w:eastAsia="Arial" w:hAnsi="Arial"/>
                <w:sz w:val="14"/>
                <w:szCs w:val="14"/>
                <w:color w:val="auto"/>
              </w:rPr>
              <w:t>Rail revenues</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8,907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8,258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28,742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24,323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4,419</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8,907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8,258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28,742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24,323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4,419</w:t>
            </w:r>
          </w:p>
        </w:tc>
        <w:tc>
          <w:tcPr>
            <w:tcW w:w="0" w:type="dxa"/>
            <w:vAlign w:val="bottom"/>
          </w:tcPr>
          <w:p>
            <w:pPr>
              <w:spacing w:after="0"/>
              <w:rPr>
                <w:sz w:val="1"/>
                <w:szCs w:val="1"/>
                <w:color w:val="auto"/>
              </w:rPr>
            </w:pPr>
          </w:p>
        </w:tc>
      </w:tr>
      <w:tr>
        <w:trPr>
          <w:trHeight w:val="297"/>
        </w:trPr>
        <w:tc>
          <w:tcPr>
            <w:tcW w:w="49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8,274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6,980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23,525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22,431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1,094</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613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507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1,760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1,525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719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9,120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7,751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26,004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24,666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1,338</w:t>
            </w:r>
          </w:p>
        </w:tc>
        <w:tc>
          <w:tcPr>
            <w:tcW w:w="0" w:type="dxa"/>
            <w:vAlign w:val="bottom"/>
          </w:tcPr>
          <w:p>
            <w:pPr>
              <w:spacing w:after="0"/>
              <w:rPr>
                <w:sz w:val="1"/>
                <w:szCs w:val="1"/>
                <w:color w:val="auto"/>
              </w:rPr>
            </w:pPr>
          </w:p>
        </w:tc>
      </w:tr>
      <w:tr>
        <w:trPr>
          <w:trHeight w:val="297"/>
        </w:trPr>
        <w:tc>
          <w:tcPr>
            <w:tcW w:w="49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(loss) on sale of equipment, net</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other income (expense)</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(Loss) income before income taxes</w:t>
            </w: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2,793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3,342</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Provision for income taxes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(loss) income</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(166)</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2,793</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3,342</w:t>
            </w:r>
          </w:p>
        </w:tc>
        <w:tc>
          <w:tcPr>
            <w:tcW w:w="0" w:type="dxa"/>
            <w:vAlign w:val="bottom"/>
          </w:tcPr>
          <w:p>
            <w:pPr>
              <w:spacing w:after="0"/>
              <w:rPr>
                <w:sz w:val="1"/>
                <w:szCs w:val="1"/>
                <w:color w:val="auto"/>
              </w:rPr>
            </w:pPr>
          </w:p>
        </w:tc>
      </w:tr>
      <w:tr>
        <w:trPr>
          <w:trHeight w:val="174"/>
        </w:trPr>
        <w:tc>
          <w:tcPr>
            <w:tcW w:w="4920" w:type="dxa"/>
            <w:vAlign w:val="bottom"/>
          </w:tcPr>
          <w:p>
            <w:pPr>
              <w:ind w:left="40"/>
              <w:spacing w:after="0"/>
              <w:rPr>
                <w:sz w:val="20"/>
                <w:szCs w:val="20"/>
                <w:color w:val="auto"/>
              </w:rPr>
            </w:pPr>
            <w:r>
              <w:rPr>
                <w:rFonts w:ascii="Arial" w:cs="Arial" w:eastAsia="Arial" w:hAnsi="Arial"/>
                <w:sz w:val="14"/>
                <w:szCs w:val="14"/>
                <w:color w:val="auto"/>
              </w:rPr>
              <w:t>Less: Net (loss) income attributable to non-controlling interest in</w:t>
            </w:r>
          </w:p>
        </w:tc>
        <w:tc>
          <w:tcPr>
            <w:tcW w:w="240" w:type="dxa"/>
            <w:vAlign w:val="bottom"/>
          </w:tcPr>
          <w:p>
            <w:pPr>
              <w:spacing w:after="0"/>
              <w:rPr>
                <w:sz w:val="15"/>
                <w:szCs w:val="15"/>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consolidated subsidiaries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income attributable to shareholders</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(140)</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2,562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3,068</w:t>
            </w:r>
          </w:p>
        </w:tc>
        <w:tc>
          <w:tcPr>
            <w:tcW w:w="0" w:type="dxa"/>
            <w:vAlign w:val="bottom"/>
          </w:tcPr>
          <w:p>
            <w:pPr>
              <w:spacing w:after="0"/>
              <w:rPr>
                <w:sz w:val="1"/>
                <w:szCs w:val="1"/>
                <w:color w:val="auto"/>
              </w:rPr>
            </w:pP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2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Less: Cash payments for income taxes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Less: Non-controlling share of Adjusted Net Income </w:t>
            </w:r>
            <w:r>
              <w:rPr>
                <w:rFonts w:ascii="Arial" w:cs="Arial" w:eastAsia="Arial" w:hAnsi="Arial"/>
                <w:sz w:val="17"/>
                <w:szCs w:val="17"/>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Net (Loss) Income</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2,692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2,759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180" w:right="20" w:hanging="172"/>
        <w:spacing w:after="0" w:line="218" w:lineRule="auto"/>
        <w:tabs>
          <w:tab w:leader="none" w:pos="192"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Includes equity-based compensation of $2 and $7 for the three months ended September 30, 2018 and 2017, respectively, and $8 and $28 for the nine months ended September 30, 2018 and 2017,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581" w:right="23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t>The following table sets forth a reconciliation of net income (loss) attributable to shareholders to Adjusted EBITDA:</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(loss) income attributable to shareholders</w:t>
            </w: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(140)</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2,562</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3,068</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2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613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1,760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233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719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(1)</w:t>
            </w: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(53)</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699</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1,234</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5,022</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2,034</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2,988</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25" w:lineRule="exact"/>
        <w:rPr>
          <w:sz w:val="20"/>
          <w:szCs w:val="20"/>
          <w:color w:val="auto"/>
        </w:rPr>
      </w:pPr>
    </w:p>
    <w:p>
      <w:pPr>
        <w:ind w:left="160" w:hanging="152"/>
        <w:spacing w:after="0"/>
        <w:tabs>
          <w:tab w:leader="none" w:pos="16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September 30, 2018 and 2017: (i) equity-based compensation of $2 and $7, (ii) interest expense of $14 and $19, and (iii)</w:t>
      </w:r>
    </w:p>
    <w:p>
      <w:pPr>
        <w:ind w:left="180"/>
        <w:spacing w:after="0" w:line="258" w:lineRule="auto"/>
        <w:rPr>
          <w:rFonts w:ascii="Arial" w:cs="Arial" w:eastAsia="Arial" w:hAnsi="Arial"/>
          <w:sz w:val="18"/>
          <w:szCs w:val="18"/>
          <w:color w:val="auto"/>
          <w:vertAlign w:val="superscript"/>
        </w:rPr>
      </w:pPr>
      <w:r>
        <w:rPr>
          <w:rFonts w:ascii="Arial" w:cs="Arial" w:eastAsia="Arial" w:hAnsi="Arial"/>
          <w:sz w:val="14"/>
          <w:szCs w:val="14"/>
          <w:color w:val="auto"/>
        </w:rPr>
        <w:t>depreciation and amortization expense of $37 and $35, respectively. Includes the following items for the nine months ended September 30, 2018 and 2017: (i) equity-based compensation of $8 and $28, (ii) interest expense of $43 and $43, and (iii) depreciation and amortization expense of $106 and $91,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revenues increased $649 during the three months ended September 30, 2018 compared to the three months ended September 30, 2017, primarily due to higher freight transportation revenue of $651.</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revenues increased $4,419 during the nine months ended September 30, 2018 compared to the nine months ended September 30, 2017, primarily due to higher freight transportation revenue of $4,585.</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expenses increased $1,369 during the three months ended September 30, 2018 compared to the three months ended September 30, 2017 primarily due to higher operating expenses. The increase in operating expenses of $1,294 reflects higher (i) compensation and benefits of $539, (ii) other miscellaneous operating expense of $566 (iii) fuel expense of $124 and (iv) bad debt of $65.</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Total expenses increased $1,338 during the nine months ended September 30, 2018 compared to the nine months ended September 30, 2017 primarily due to higher operating expenses. The increase in operating expenses of $1,094 reflects higher (i) compensation and benefits of $837, (ii) other miscellaneous operating expense of $648, (iii) fuel expense of $598, (iv) materials and supplies of $207 and (v) bad debt of $87. Partially offsetting these increases was a decrease in general operating expense of $1,283 due to certain tax benefits taken in the nine months ended September 30, 2018 for the 2017 annual period that were enacted during 2018.</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 Income (Non-GAAP)</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Adjusted Net (Loss) Income decreased $613 during the three months ended September 30, 2018 compared to the three months ended September 30, 2017. In addition to the changes in net (loss) income attributable to shareholders noted above, Adjusted Net (Loss) Income was impacted by a decrease in equity-based compensation expense of $29.</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Adjusted Net (Loss) Income increased $2,759 during the nine months ended September 30, 2018 compared to the nine months ended September 30, 2017. In addition to the changes in net (loss) income attributable to shareholders noted above, Adjusted Net (Loss) Income was impacted by a decrease in equity-based compensation expense of $329.</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547" w:right="23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Adjusted EBITDA decreased $535 during the three months ended September 30, 2018 compared to the three months ended September 30, 2017. In addition to the changes in net income attributable to shareholders noted above, Adjusted EBITDA was also impacted by an increase in depreciation expense of $106 partially offset by a decrease in interest expense of $31 and lower equity-based compensation expense of $29.</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Adjusted EBITDA increased $2,988 during the nine months ended September 30, 2018 compared to the nine months ended September 30, 2017. In addition to the changes in net income attributable to shareholders noted above, Adjusted EBITDA was also impacted by an increase in depreciation expense of $235, interest expense of $9 and lower equity-based compensation expense of $329.</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Ports and Terminals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80"/>
              <w:spacing w:after="0"/>
              <w:rPr>
                <w:sz w:val="20"/>
                <w:szCs w:val="20"/>
                <w:color w:val="auto"/>
              </w:rPr>
            </w:pPr>
            <w:r>
              <w:rPr>
                <w:rFonts w:ascii="Arial" w:cs="Arial" w:eastAsia="Arial" w:hAnsi="Arial"/>
                <w:sz w:val="14"/>
                <w:szCs w:val="14"/>
                <w:color w:val="auto"/>
              </w:rPr>
              <w:t>Lease income</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1,072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3,249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2,946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4,521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4,218</w:t>
            </w: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3,522</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2,764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5,593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4,696</w:t>
            </w: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3,634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2,852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782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8,730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4,510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4,220</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840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2,481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1,613</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545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4,474</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3,908</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566</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11,756</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6,195</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5,561</w:t>
            </w:r>
          </w:p>
        </w:tc>
        <w:tc>
          <w:tcPr>
            <w:tcW w:w="0" w:type="dxa"/>
            <w:vAlign w:val="bottom"/>
          </w:tcPr>
          <w:p>
            <w:pPr>
              <w:spacing w:after="0"/>
              <w:rPr>
                <w:sz w:val="1"/>
                <w:szCs w:val="1"/>
                <w:color w:val="auto"/>
              </w:rPr>
            </w:pP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24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(952)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(3,150)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2,198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(6,163)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(865)</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(benefit from) income taxes</w:t>
            </w: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(952)</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(3,150)</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2,198</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(6,163)</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(5,298)</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(865)</w:t>
            </w: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w:t>
            </w: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subsidiaries</w:t>
            </w: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(882)</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(3,150)</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2,268</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(6,069)</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(4,815)</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(1,254)</w:t>
            </w:r>
          </w:p>
        </w:tc>
        <w:tc>
          <w:tcPr>
            <w:tcW w:w="0" w:type="dxa"/>
            <w:vAlign w:val="bottom"/>
          </w:tcPr>
          <w:p>
            <w:pPr>
              <w:spacing w:after="0"/>
              <w:rPr>
                <w:sz w:val="1"/>
                <w:szCs w:val="1"/>
                <w:color w:val="auto"/>
              </w:rPr>
            </w:pP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(benefit from) income taxes</w:t>
            </w:r>
          </w:p>
        </w:tc>
        <w:tc>
          <w:tcPr>
            <w:tcW w:w="2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97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253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492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40" w:type="dxa"/>
            <w:vAlign w:val="bottom"/>
          </w:tcPr>
          <w:p>
            <w:pPr>
              <w:spacing w:after="0"/>
              <w:rPr>
                <w:sz w:val="16"/>
                <w:szCs w:val="16"/>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920" w:type="dxa"/>
            <w:vAlign w:val="bottom"/>
          </w:tcPr>
          <w:p>
            <w:pPr>
              <w:ind w:left="40"/>
              <w:spacing w:after="0"/>
              <w:rPr>
                <w:sz w:val="20"/>
                <w:szCs w:val="20"/>
                <w:color w:val="auto"/>
              </w:rPr>
            </w:pPr>
            <w:r>
              <w:rPr>
                <w:rFonts w:ascii="Arial" w:cs="Arial" w:eastAsia="Arial" w:hAnsi="Arial"/>
                <w:sz w:val="14"/>
                <w:szCs w:val="14"/>
                <w:color w:val="auto"/>
              </w:rPr>
              <w:t>obligations</w:t>
            </w:r>
          </w:p>
        </w:tc>
        <w:tc>
          <w:tcPr>
            <w:tcW w:w="2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Adjusted Net Loss</w:t>
            </w: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(785)</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(3,150)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2,365</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(5,816)</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(4,815)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527" w:right="23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(882)</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(3,150)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2,268</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(6,069)</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(1,254)</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Provision for (benefit from) income taxes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2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840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2,481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868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1,613</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Interest expense</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545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Less: Non-controlling share of Adjusted EBITDA</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EBITDA</w:t>
            </w: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revenue increased $2,764 during the three months ended September 30, 2018 compared to the three months ended September 30, 2017, primarily due to other revenue of $2,946 which relates to services performed for lessees at Long Ridge.</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revenue increased $4,696 during the nine months ended September 30, 2018 compared to the nine months ended September 30, 2017, primarily due to other revenue of $4,218 which relates to services performed for lessees at Long Ridge and higher lease income from leases in place at Long Ridge of $478.</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expenses increased $566 in the three months ended September 30, 2018 compared to the three months ended September 30, 2017. The increase is primarily due to higher operating expenses of $782, of which $720 relates to compensation and benefits due to increased hiring. The increase was partially offset by a decrease in interest expense of $273.</w:t>
      </w:r>
    </w:p>
    <w:p>
      <w:pPr>
        <w:spacing w:after="0" w:line="9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Total expenses increased $5,561 in the nine months ended September 30, 2018 as compared to the nine months ended September 30, 2017, primarily due to increases in (i) operating expenses of $4,220, which primarily consists of compensation and benefits of $1,753 due to increased hiring, facility operations of $1,213 due to increased activity and utilities of $612 and (ii) depreciation and amortization of $1,613 due to the assets that were placed into service at Repauno.</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 (Non-GAAP)</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Adjusted Net Loss decreased $2,365 and increased $1,001 during the three and nine months ended September 30, 2018 compared to the three and nine months ended September 30, 2017, respectively, due to the changes in net loss attributable to shareholders noted above, offset by equity based compensation of $97 and $253,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Adjusted EBITDA increased $2,149 and $340 in the three and nine months ended September 30, 2018 as compared to the three and nine months ended September 30, 2017, respectively. In addition to the changes in net loss attributable to shareholders noted above, Adjusted EBITDA for the three and nine months ended September 30, 2018 includes (i) increase in depreciation and amortization expense of $57 and $1,613, (ii) increase in equity-based compensation expense of $97 and $253 and (iii) decrease in interest expense of $273 and $272 compared to the three and nine months ended September 30, 2017, respectively.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493" w:right="2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color w:val="00497F"/>
        </w:rPr>
        <w:t>Corporate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2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4,012</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3,439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573</w:t>
            </w:r>
          </w:p>
        </w:tc>
        <w:tc>
          <w:tcPr>
            <w:tcW w:w="100" w:type="dxa"/>
            <w:vAlign w:val="bottom"/>
          </w:tcPr>
          <w:p>
            <w:pPr>
              <w:spacing w:after="0"/>
              <w:rPr>
                <w:sz w:val="22"/>
                <w:szCs w:val="22"/>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12,171</w:t>
            </w:r>
          </w:p>
        </w:tc>
        <w:tc>
          <w:tcPr>
            <w:tcW w:w="100" w:type="dxa"/>
            <w:vAlign w:val="bottom"/>
          </w:tcPr>
          <w:p>
            <w:pPr>
              <w:spacing w:after="0"/>
              <w:rPr>
                <w:sz w:val="22"/>
                <w:szCs w:val="22"/>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10,615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1,556</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1,375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4,426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4,788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Management fees and incentive allocation to affiliate</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3,846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3,771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12,080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11,529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9,693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6,023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3,670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23,743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12,682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11,061</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18,926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14,959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3,967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52,420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39,614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12,806</w:t>
            </w:r>
          </w:p>
        </w:tc>
        <w:tc>
          <w:tcPr>
            <w:tcW w:w="0" w:type="dxa"/>
            <w:vAlign w:val="bottom"/>
          </w:tcPr>
          <w:p>
            <w:pPr>
              <w:spacing w:after="0"/>
              <w:rPr>
                <w:sz w:val="1"/>
                <w:szCs w:val="1"/>
                <w:color w:val="auto"/>
              </w:rPr>
            </w:pPr>
          </w:p>
        </w:tc>
      </w:tr>
      <w:tr>
        <w:trPr>
          <w:trHeight w:val="297"/>
        </w:trPr>
        <w:tc>
          <w:tcPr>
            <w:tcW w:w="49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Other expense</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on extinguishment of debt</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Total other expense</w:t>
            </w:r>
          </w:p>
        </w:tc>
        <w:tc>
          <w:tcPr>
            <w:tcW w:w="24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56"/>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24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(18,926)</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(14,959)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(3,967)</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(52,420)</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(42,070)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(10,350)</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Provision for income taxes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(18,926)</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(14,959)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(3,967)</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(52,420)</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(42,070)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(10,350)</w:t>
            </w:r>
          </w:p>
        </w:tc>
        <w:tc>
          <w:tcPr>
            <w:tcW w:w="0" w:type="dxa"/>
            <w:vAlign w:val="bottom"/>
          </w:tcPr>
          <w:p>
            <w:pPr>
              <w:spacing w:after="0"/>
              <w:rPr>
                <w:sz w:val="1"/>
                <w:szCs w:val="1"/>
                <w:color w:val="auto"/>
              </w:rPr>
            </w:pPr>
          </w:p>
        </w:tc>
      </w:tr>
      <w:tr>
        <w:trPr>
          <w:trHeight w:val="174"/>
        </w:trPr>
        <w:tc>
          <w:tcPr>
            <w:tcW w:w="4920" w:type="dxa"/>
            <w:vAlign w:val="bottom"/>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w:t>
            </w:r>
          </w:p>
        </w:tc>
        <w:tc>
          <w:tcPr>
            <w:tcW w:w="240" w:type="dxa"/>
            <w:vAlign w:val="bottom"/>
          </w:tcPr>
          <w:p>
            <w:pPr>
              <w:spacing w:after="0"/>
              <w:rPr>
                <w:sz w:val="15"/>
                <w:szCs w:val="15"/>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20" w:type="dxa"/>
            <w:vAlign w:val="bottom"/>
          </w:tcPr>
          <w:p>
            <w:pPr>
              <w:ind w:left="40"/>
              <w:spacing w:after="0"/>
              <w:rPr>
                <w:sz w:val="20"/>
                <w:szCs w:val="20"/>
                <w:color w:val="auto"/>
              </w:rPr>
            </w:pPr>
            <w:r>
              <w:rPr>
                <w:rFonts w:ascii="Arial" w:cs="Arial" w:eastAsia="Arial" w:hAnsi="Arial"/>
                <w:sz w:val="14"/>
                <w:szCs w:val="14"/>
                <w:color w:val="auto"/>
              </w:rPr>
              <w:t>subsidiaries</w:t>
            </w:r>
          </w:p>
        </w:tc>
        <w:tc>
          <w:tcPr>
            <w:tcW w:w="2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(18,926)</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(14,959)</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(3,967)</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(52,420)</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(42,070)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(10,350)</w:t>
            </w:r>
          </w:p>
        </w:tc>
        <w:tc>
          <w:tcPr>
            <w:tcW w:w="0" w:type="dxa"/>
            <w:vAlign w:val="bottom"/>
          </w:tcPr>
          <w:p>
            <w:pPr>
              <w:spacing w:after="0"/>
              <w:rPr>
                <w:sz w:val="1"/>
                <w:szCs w:val="1"/>
                <w:color w:val="auto"/>
              </w:rPr>
            </w:pP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1,375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1,726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4,426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4,788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0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2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553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Less: Cash payments for income taxes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953</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Net Loss</w:t>
            </w: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(17,571)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(13,673)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(47,432)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(11,653)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581" w:right="239" w:bottom="1440" w:gutter="0" w:footer="0" w:header="0"/>
        </w:sectPr>
      </w:pPr>
    </w:p>
    <w:bookmarkStart w:id="65" w:name="page66"/>
    <w:bookmarkEnd w:id="65"/>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(18,926)</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(14,959)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(3,967)</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(52,420)</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(42,070)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(10,350)</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1,375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1,726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4,426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4,788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0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2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(20)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553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9,693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6,023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3,670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23,743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12,682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11,061</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EBITDA</w:t>
            </w: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Adjusted EBITDA</w:t>
            </w: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(7,878)</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(7,210)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(23,689)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(22,144)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(1,545)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4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Total expenses increased $3,967 during the three months ended September 30, 2018 compared to the three months ended September 30, 2017, primarily due to increases in (i) interest expense of $3,670 due to the 2022 Notes and 2025 Notes (collectively, the “Senior Notes”) and (ii) general and administrative expense of $573, which primarily consists of SOX consulting fees of $291 and the expense reimbursement to our Manager of $270.</w:t>
      </w:r>
    </w:p>
    <w:p>
      <w:pPr>
        <w:spacing w:after="0" w:line="8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expenses increased $12,806 during the nine months ended September 30, 2018 compared to the nine months ended September 30, 2017, primarily due to increases in (i) interest expense of $11,061 due to the 2022 Notes and (ii) general and administrative expense of $1,556, which primarily consists of the expense reimbursement to our Manager of $1,067 and SOX consulting fees of $623.</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other expense decreased $2,456 during the nine months ended September 30, 2018 compared to the nine months ended September 30, 2017, due to the loss on extinguishment of debt in 2017.</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 (Non-GAAP)</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Adjusted Net Loss increased $3,898 and $11,653 during the three and nine months ended September 30, 2018 compared to the three and nine months ended September 30, 2017. In addition to the changes in net loss attributable to shareholders noted above, Adjusted Net Loss increased $2,456 in the nine months ended September 30, 2017 related to the extinguishment of debt.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Adjusted EBITDA decreased $668 and $1,545 during the three and nine months ended September 30, 2018 compared to the three and nine months ended September 30, 2017. In addition to the changes in net loss attributable to shareholders noted above, Adjusted EBITDA includes the impact of higher interest expense of $3,670 and $11,061 during the three and nine months ended September 30, 2018, respectively, related to the Senior Notes. Adjusted EBITDA for the nine months ended September 30, 2017 period reflects the impact of the loss on the extinguishment of debt.</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Liquidity and Capital Resources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principal uses of liquidity have been and continue to be (i) acquisitions of transportation infrastructure and equipment, (ii) dividends to our shareholders and holders of eligible participating securities, (iii) expenses associated with our operating activities, and (iv) debt service obligations associated with our investments (all dollar amounts are expressed in thousands).</w:t>
      </w:r>
    </w:p>
    <w:p>
      <w:pPr>
        <w:spacing w:after="0" w:line="14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the nine months ended September 30, 2018 and 2017, cash used for the purpose of making investments was $533,463 and $392,177, respectively.</w:t>
      </w:r>
    </w:p>
    <w:p>
      <w:pPr>
        <w:spacing w:after="0" w:line="167"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the nine months ended September 30, 2018 and 2017, dividends to shareholders and holders of eligible participating securities were $82,623 and $75,041, respectively.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493" w:right="239" w:bottom="1440" w:gutter="0" w:footer="0" w:header="0"/>
        </w:sectPr>
      </w:pPr>
    </w:p>
    <w:bookmarkStart w:id="66" w:name="page67"/>
    <w:bookmarkEnd w:id="66"/>
    <w:p>
      <w:pPr>
        <w:ind w:left="660" w:hanging="328"/>
        <w:spacing w:after="0" w:line="260"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principal sources of liquidity to fund these uses have been and continue to be (i) revenues from our transportation infrastructure and equipment assets (including finance lease collections and maintenance reserve collections) net of operating expenses, (ii) proceeds from borrowings or the issuance of debt securities, (iii) proceeds from asset sales and (iv) proceeds from the issuance of common shares.</w:t>
      </w:r>
    </w:p>
    <w:p>
      <w:pPr>
        <w:spacing w:after="0" w:line="147" w:lineRule="exact"/>
        <w:rPr>
          <w:sz w:val="20"/>
          <w:szCs w:val="20"/>
          <w:color w:val="auto"/>
        </w:rPr>
      </w:pPr>
    </w:p>
    <w:p>
      <w:pPr>
        <w:ind w:left="660" w:right="20" w:hanging="328"/>
        <w:spacing w:after="0" w:line="260"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During the nine months ended September 30, 2018 and 2017, cash flows from operating activities, plus the principal collections on finance leases and maintenance reserve collections were $128,881 and $71,574, respectively.</w:t>
      </w:r>
    </w:p>
    <w:p>
      <w:pPr>
        <w:spacing w:after="0" w:line="141" w:lineRule="exact"/>
        <w:rPr>
          <w:rFonts w:ascii="Arial" w:cs="Arial" w:eastAsia="Arial" w:hAnsi="Arial"/>
          <w:sz w:val="16"/>
          <w:szCs w:val="16"/>
          <w:color w:val="auto"/>
        </w:rPr>
      </w:pPr>
    </w:p>
    <w:p>
      <w:pPr>
        <w:jc w:val="both"/>
        <w:ind w:left="660" w:hanging="328"/>
        <w:spacing w:after="0" w:line="248"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During the nine months ended September 30, 2018, additional borrowings were obtained in connection with the Senior Notes of $100,000, the 2025 notes of $291,000, the Revolving Credit Facility of $150,000, the Jefferson Revolver of $49,489, net of financing costs, and the CMQR Credit Agreement of $24,750. We made total principal repayments of $181,856, primarily relating to the FTAI Pride Credit Agreement, the Revolving Credit Facility and the CMQR Credit Agreement. During the nine months ended September 30, 2017, additional borrowings were obtained in connection with the Term Loan of $97,163, net of deferred financing costs, the Revolving Credit Facility of $60,000, the CMQR Credit Agreement of $20,030 and the Senior Notes of $239,998, net of deferred financing costs and repayment of the Term Loan. We made total principal repayments of $22,623 primarily related to the FTAI Pride Credit Agreement and the CMQR Credit Agreement.</w:t>
      </w:r>
    </w:p>
    <w:p>
      <w:pPr>
        <w:spacing w:after="0" w:line="154"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During the nine months ended September 30, 2018 and 2017, proceeds from the sale of assets were $30,487 and $87,144, respectively.</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During the nine months ended September 30, 2018, proceeds from the issuance of common shares were $128,451, net of issuance costs of $2,100.</w:t>
      </w:r>
    </w:p>
    <w:p>
      <w:pPr>
        <w:spacing w:after="0" w:line="167" w:lineRule="exact"/>
        <w:rPr>
          <w:rFonts w:ascii="Arial" w:cs="Arial" w:eastAsia="Arial" w:hAnsi="Arial"/>
          <w:sz w:val="16"/>
          <w:szCs w:val="16"/>
          <w:color w:val="auto"/>
        </w:rPr>
      </w:pPr>
    </w:p>
    <w:p>
      <w:pPr>
        <w:ind w:left="660" w:right="20" w:hanging="328"/>
        <w:spacing w:after="0" w:line="260"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During the nine months ended September 30, 2018 and 2017, we received $872 and $0 in cash distributions from our unconsolidated investees, respectively.</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currently evaluating several potential Infrastructure and Equipment Leasing transactions, which could occur within the next 12 months. However, as of the date of this filing, none of these pipeline transactions or negotiations are definitive or included within our planned liquidity needs. We cannot assure you if or when any such transaction will be consummated or the terms of any such transaction.</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a dividend reinvestment plan in place which allows shareholders to automatically reinvest dividends in our common shares. The plan became effective on February 24, 2017.</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Historical Cash Flow</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nine months ended September 30, 2018 and 2017</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the historical cash flow for the nine months ended September 30, 2018 and 2017:</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4"/>
          </w:tcPr>
          <w:p>
            <w:pPr>
              <w:jc w:val="right"/>
              <w:ind w:right="82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5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2017</w:t>
            </w:r>
          </w:p>
        </w:tc>
      </w:t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 Data:</w:t>
            </w:r>
          </w:p>
        </w:tc>
        <w:tc>
          <w:tcPr>
            <w:tcW w:w="5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4"/>
        </w:trPr>
        <w:tc>
          <w:tcPr>
            <w:tcW w:w="7200" w:type="dxa"/>
            <w:vAlign w:val="bottom"/>
          </w:tcPr>
          <w:p>
            <w:pPr>
              <w:ind w:left="500"/>
              <w:spacing w:after="0"/>
              <w:rPr>
                <w:sz w:val="20"/>
                <w:szCs w:val="20"/>
                <w:color w:val="auto"/>
              </w:rPr>
            </w:pPr>
            <w:r>
              <w:rPr>
                <w:rFonts w:ascii="Arial" w:cs="Arial" w:eastAsia="Arial" w:hAnsi="Arial"/>
                <w:sz w:val="14"/>
                <w:szCs w:val="14"/>
                <w:color w:val="auto"/>
              </w:rPr>
              <w:t>Net cash provided by operating activities</w:t>
            </w:r>
          </w:p>
        </w:tc>
        <w:tc>
          <w:tcPr>
            <w:tcW w:w="50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580" w:type="dxa"/>
            <w:vAlign w:val="bottom"/>
          </w:tcPr>
          <w:p>
            <w:pPr>
              <w:jc w:val="right"/>
              <w:ind w:right="48"/>
              <w:spacing w:after="0"/>
              <w:rPr>
                <w:sz w:val="20"/>
                <w:szCs w:val="20"/>
                <w:color w:val="auto"/>
              </w:rPr>
            </w:pPr>
            <w:r>
              <w:rPr>
                <w:rFonts w:ascii="Arial" w:cs="Arial" w:eastAsia="Arial" w:hAnsi="Arial"/>
                <w:sz w:val="14"/>
                <w:szCs w:val="14"/>
                <w:b w:val="1"/>
                <w:bCs w:val="1"/>
                <w:color w:val="auto"/>
              </w:rPr>
              <w:t>86,415</w:t>
            </w:r>
          </w:p>
        </w:tc>
        <w:tc>
          <w:tcPr>
            <w:tcW w:w="10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52,443</w:t>
            </w:r>
          </w:p>
        </w:tc>
      </w:tr>
      <w:tr>
        <w:trPr>
          <w:trHeight w:val="276"/>
        </w:trPr>
        <w:tc>
          <w:tcPr>
            <w:tcW w:w="72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cash used in investing activities</w:t>
            </w:r>
          </w:p>
        </w:tc>
        <w:tc>
          <w:tcPr>
            <w:tcW w:w="5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(501,606)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(304,686)</w:t>
            </w:r>
          </w:p>
        </w:tc>
      </w:tr>
      <w:tr>
        <w:trPr>
          <w:trHeight w:val="258"/>
        </w:trPr>
        <w:tc>
          <w:tcPr>
            <w:tcW w:w="7200" w:type="dxa"/>
            <w:vAlign w:val="bottom"/>
          </w:tcPr>
          <w:p>
            <w:pPr>
              <w:ind w:left="500"/>
              <w:spacing w:after="0"/>
              <w:rPr>
                <w:sz w:val="20"/>
                <w:szCs w:val="20"/>
                <w:color w:val="auto"/>
              </w:rPr>
            </w:pPr>
            <w:r>
              <w:rPr>
                <w:rFonts w:ascii="Arial" w:cs="Arial" w:eastAsia="Arial" w:hAnsi="Arial"/>
                <w:sz w:val="14"/>
                <w:szCs w:val="14"/>
                <w:color w:val="auto"/>
              </w:rPr>
              <w:t>Net cash provided by financing activities</w:t>
            </w:r>
          </w:p>
        </w:tc>
        <w:tc>
          <w:tcPr>
            <w:tcW w:w="500" w:type="dxa"/>
            <w:vAlign w:val="bottom"/>
          </w:tcPr>
          <w:p>
            <w:pPr>
              <w:spacing w:after="0"/>
              <w:rPr>
                <w:sz w:val="22"/>
                <w:szCs w:val="22"/>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b w:val="1"/>
                <w:bCs w:val="1"/>
                <w:color w:val="auto"/>
              </w:rPr>
              <w:t>507,885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331,562</w:t>
            </w:r>
          </w:p>
        </w:tc>
      </w:tr>
    </w:tbl>
    <w:p>
      <w:pPr>
        <w:spacing w:after="0" w:line="176"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Net cash provided by operating activities was $86,415 in the nine months ended September 30, 2018 as compared to $52,443 in the nine months ended September 30, 2017, representing a $33,972 increase. Net loss was $15,059 for the nine months ended September 30, 2018, compared $16,692 for the nine months ended September 30, 2017, a decrease in net loss of $1,633. The increase in operating cash flow was attributable to changes to reconcile net income which include an increase of (i) $34,471 relating to depreciation and amortization, (ii) $12,436 relating to amortization of lease intangibles and incentives, (iii) $1,523 relating to bad debt expense, and (iv) $1,473 relating to gain on sale of assets offset by a decrease of $2,456 in loss on extinguishment of debt and an increase of $4,265 in security deposits and maintenance claims included in earnings. The overall increase was offset by changes in (i) other assets of $21,486 due to crude inventory and prepaid expenses in the nine months ended September 30, 2018, and (ii) in accounts receivable of $11,040 offset by increases in</w:t>
      </w:r>
    </w:p>
    <w:p>
      <w:pPr>
        <w:spacing w:after="0" w:line="3" w:lineRule="exact"/>
        <w:rPr>
          <w:sz w:val="20"/>
          <w:szCs w:val="20"/>
          <w:color w:val="auto"/>
        </w:rPr>
      </w:pPr>
    </w:p>
    <w:p>
      <w:pPr>
        <w:ind w:left="5620" w:right="2080" w:hanging="5612"/>
        <w:spacing w:after="0" w:line="577" w:lineRule="auto"/>
        <w:tabs>
          <w:tab w:leader="none" w:pos="193" w:val="left"/>
        </w:tabs>
        <w:numPr>
          <w:ilvl w:val="0"/>
          <w:numId w:val="32"/>
        </w:numPr>
        <w:rPr>
          <w:rFonts w:ascii="Arial" w:cs="Arial" w:eastAsia="Arial" w:hAnsi="Arial"/>
          <w:sz w:val="16"/>
          <w:szCs w:val="16"/>
          <w:color w:val="auto"/>
        </w:rPr>
      </w:pPr>
      <w:r>
        <w:rPr>
          <w:rFonts w:ascii="Arial" w:cs="Arial" w:eastAsia="Arial" w:hAnsi="Arial"/>
          <w:sz w:val="16"/>
          <w:szCs w:val="16"/>
          <w:color w:val="auto"/>
        </w:rPr>
        <w:t>accounts payable of $14,336 and (ii) other liabilities of $5,112 due to the expansion of business operations across all segments. 67</w:t>
      </w:r>
    </w:p>
    <w:p>
      <w:pPr>
        <w:sectPr>
          <w:pgSz w:w="11900" w:h="16838" w:orient="portrait"/>
          <w:cols w:equalWidth="0" w:num="1">
            <w:col w:w="11420"/>
          </w:cols>
          <w:pgMar w:left="240" w:top="547" w:right="239" w:bottom="1440" w:gutter="0" w:footer="0" w:header="0"/>
        </w:sectPr>
      </w:pPr>
    </w:p>
    <w:bookmarkStart w:id="67" w:name="page68"/>
    <w:bookmarkEnd w:id="67"/>
    <w:p>
      <w:pPr>
        <w:jc w:val="both"/>
        <w:spacing w:after="0" w:line="249" w:lineRule="auto"/>
        <w:rPr>
          <w:sz w:val="20"/>
          <w:szCs w:val="20"/>
          <w:color w:val="auto"/>
        </w:rPr>
      </w:pPr>
      <w:r>
        <w:rPr>
          <w:rFonts w:ascii="Arial" w:cs="Arial" w:eastAsia="Arial" w:hAnsi="Arial"/>
          <w:sz w:val="16"/>
          <w:szCs w:val="16"/>
          <w:color w:val="auto"/>
        </w:rPr>
        <w:t>Net cash used in investing activities was $501,606 in the nine months ended September 30, 2018 as compared to $304,686 in the nine months ended September 30, 2017, representing a $196,920 increase. The increase was attributable to an increase of (i) $5,565 relating to purchase deposits in the Aviation Leasing segment, (ii) $92,100 relating to acquisition of property, plant and equipment mainly due to on-going capital projects at Repauno, Hannibal and Jefferson Terminal, (iii) $56,657 relating to proceeds from sale of leasing equipment, and (iv) $66,497 relating to acquisition of leasing equipment and lease intangibles in the Aviation Leasing segment. This increase in investing activities was offset by a decrease in cash used in investments in unconsolidated entities of $23,788.</w:t>
      </w:r>
    </w:p>
    <w:p>
      <w:pPr>
        <w:spacing w:after="0" w:line="34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Net cash provided by financing activities was $507,885 in the nine months ended September 30, 2018 as compared to $331,562 in the nine months ended September 30, 2017, representing a $176,323 increase. The increase was attributable to an increase of (i) $128,451 relating to proceeds from the issuance of common stock net of issuance costs, (ii) $23,024 relating to receipt of maintenance deposits, and (iii) $198,048 relating to proceeds from borrowings, attributable to the Senior Notes, 2025 Notes and Revolving Credit Facilities. These increases were offset by an increase of $159,233 on the repayment of debt, attributable to repayments under the CMQR Credit Agreement and the Revolving Credit Facility, and an increase of $7,582 relating to cash dividends.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Funds Available for Distribution (Non-GAAP)</w:t>
      </w:r>
    </w:p>
    <w:p>
      <w:pPr>
        <w:spacing w:after="0" w:line="18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We use Funds Available for Distribution (“FAD”) in evaluating our ability to meet our stated dividend policy. FAD is not a financial measure in accordance with GAAP. The GAAP measure most directly comparable to FAD is net cash provided by operating activities. We believe FAD is a useful metric for investors and analysts for similar purposes.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define FAD as: net cash provided by operating activities plus principal collections on finance leases, proceeds from sale of assets, and return of capital distributions from unconsolidated entities, less required payments on debt obligations and capital distributions to non-controlling interest, and excluding changes in working capital. The following table sets forth a reconciliation of Net Cash Provided by Operating Activities to FAD: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4"/>
          </w:tcPr>
          <w:p>
            <w:pPr>
              <w:jc w:val="right"/>
              <w:ind w:right="84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2017</w:t>
            </w:r>
          </w:p>
        </w:tc>
      </w:tr>
      <w:tr>
        <w:trPr>
          <w:trHeight w:val="21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86,415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52,443</w:t>
            </w:r>
          </w:p>
        </w:tc>
      </w:tr>
      <w:tr>
        <w:trPr>
          <w:trHeight w:val="210"/>
        </w:trPr>
        <w:tc>
          <w:tcPr>
            <w:tcW w:w="7200" w:type="dxa"/>
            <w:vAlign w:val="bottom"/>
          </w:tcPr>
          <w:p>
            <w:pPr>
              <w:ind w:left="40"/>
              <w:spacing w:after="0"/>
              <w:rPr>
                <w:sz w:val="20"/>
                <w:szCs w:val="20"/>
                <w:color w:val="auto"/>
              </w:rPr>
            </w:pPr>
            <w:r>
              <w:rPr>
                <w:rFonts w:ascii="Arial" w:cs="Arial" w:eastAsia="Arial" w:hAnsi="Arial"/>
                <w:sz w:val="14"/>
                <w:szCs w:val="14"/>
                <w:color w:val="auto"/>
              </w:rPr>
              <w:t>Add: Principal Collections on Finance Leases</w:t>
            </w:r>
          </w:p>
        </w:tc>
        <w:tc>
          <w:tcPr>
            <w:tcW w:w="480" w:type="dxa"/>
            <w:vAlign w:val="bottom"/>
          </w:tcPr>
          <w:p>
            <w:pPr>
              <w:spacing w:after="0"/>
              <w:rPr>
                <w:sz w:val="18"/>
                <w:szCs w:val="18"/>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b w:val="1"/>
                <w:bCs w:val="1"/>
                <w:color w:val="auto"/>
              </w:rPr>
              <w:t>658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347</w:t>
            </w:r>
          </w:p>
        </w:tc>
      </w:tr>
      <w:tr>
        <w:trPr>
          <w:trHeight w:val="222"/>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Proceeds from sale of assets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30,487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87,144</w:t>
            </w:r>
          </w:p>
        </w:tc>
      </w:tr>
      <w:tr>
        <w:trPr>
          <w:trHeight w:val="210"/>
        </w:trPr>
        <w:tc>
          <w:tcPr>
            <w:tcW w:w="7200" w:type="dxa"/>
            <w:vAlign w:val="bottom"/>
          </w:tcPr>
          <w:p>
            <w:pPr>
              <w:ind w:left="40"/>
              <w:spacing w:after="0"/>
              <w:rPr>
                <w:sz w:val="20"/>
                <w:szCs w:val="20"/>
                <w:color w:val="auto"/>
              </w:rPr>
            </w:pPr>
            <w:r>
              <w:rPr>
                <w:rFonts w:ascii="Arial" w:cs="Arial" w:eastAsia="Arial" w:hAnsi="Arial"/>
                <w:sz w:val="14"/>
                <w:szCs w:val="14"/>
                <w:color w:val="auto"/>
              </w:rPr>
              <w:t>Add: Return of Capital Distributions from Unconsolidated Entities</w:t>
            </w:r>
          </w:p>
        </w:tc>
        <w:tc>
          <w:tcPr>
            <w:tcW w:w="480" w:type="dxa"/>
            <w:vAlign w:val="bottom"/>
          </w:tcPr>
          <w:p>
            <w:pPr>
              <w:spacing w:after="0"/>
              <w:rPr>
                <w:sz w:val="18"/>
                <w:szCs w:val="18"/>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b w:val="1"/>
                <w:bCs w:val="1"/>
                <w:color w:val="auto"/>
              </w:rPr>
              <w:t>872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22"/>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Required Payments on Debt Obligations </w:t>
            </w:r>
            <w:r>
              <w:rPr>
                <w:rFonts w:ascii="Arial" w:cs="Arial" w:eastAsia="Arial" w:hAnsi="Arial"/>
                <w:sz w:val="17"/>
                <w:szCs w:val="17"/>
                <w:color w:val="auto"/>
                <w:vertAlign w:val="superscript"/>
              </w:rPr>
              <w:t>(1)</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(6,231)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(8,368)</w:t>
            </w:r>
          </w:p>
        </w:tc>
      </w:tr>
      <w:tr>
        <w:trPr>
          <w:trHeight w:val="210"/>
        </w:trPr>
        <w:tc>
          <w:tcPr>
            <w:tcW w:w="7200" w:type="dxa"/>
            <w:vAlign w:val="bottom"/>
          </w:tcPr>
          <w:p>
            <w:pPr>
              <w:ind w:left="40"/>
              <w:spacing w:after="0"/>
              <w:rPr>
                <w:sz w:val="20"/>
                <w:szCs w:val="20"/>
                <w:color w:val="auto"/>
              </w:rPr>
            </w:pPr>
            <w:r>
              <w:rPr>
                <w:rFonts w:ascii="Arial" w:cs="Arial" w:eastAsia="Arial" w:hAnsi="Arial"/>
                <w:sz w:val="14"/>
                <w:szCs w:val="14"/>
                <w:color w:val="auto"/>
              </w:rPr>
              <w:t>Less: Capital Distributions to Non-Controlling Interest</w:t>
            </w:r>
          </w:p>
        </w:tc>
        <w:tc>
          <w:tcPr>
            <w:tcW w:w="48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8"/>
                <w:szCs w:val="18"/>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1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Exclude: Changes in Working Capital</w:t>
            </w:r>
          </w:p>
        </w:tc>
        <w:tc>
          <w:tcPr>
            <w:tcW w:w="4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11,735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(1,563)</w:t>
            </w:r>
          </w:p>
        </w:tc>
      </w:tr>
      <w:tr>
        <w:trPr>
          <w:trHeight w:val="216"/>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Funds Available for Distribution (FAD)</w:t>
            </w: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123,936</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130,003</w:t>
            </w:r>
          </w:p>
        </w:tc>
      </w:tr>
      <w:tr>
        <w:trPr>
          <w:trHeight w:val="20"/>
        </w:trPr>
        <w:tc>
          <w:tcPr>
            <w:tcW w:w="7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w:t>
      </w:r>
    </w:p>
    <w:p>
      <w:pPr>
        <w:spacing w:after="0" w:line="170" w:lineRule="exact"/>
        <w:rPr>
          <w:sz w:val="20"/>
          <w:szCs w:val="20"/>
          <w:color w:val="auto"/>
        </w:rPr>
      </w:pPr>
    </w:p>
    <w:p>
      <w:pPr>
        <w:jc w:val="both"/>
        <w:ind w:left="180" w:hanging="172"/>
        <w:spacing w:after="0" w:line="230" w:lineRule="auto"/>
        <w:tabs>
          <w:tab w:leader="none" w:pos="153" w:val="left"/>
        </w:tabs>
        <w:numPr>
          <w:ilvl w:val="0"/>
          <w:numId w:val="33"/>
        </w:numPr>
        <w:rPr>
          <w:rFonts w:ascii="Arial" w:cs="Arial" w:eastAsia="Arial" w:hAnsi="Arial"/>
          <w:sz w:val="17"/>
          <w:szCs w:val="17"/>
          <w:color w:val="auto"/>
          <w:vertAlign w:val="superscript"/>
        </w:rPr>
      </w:pPr>
      <w:r>
        <w:rPr>
          <w:rFonts w:ascii="Arial" w:cs="Arial" w:eastAsia="Arial" w:hAnsi="Arial"/>
          <w:sz w:val="14"/>
          <w:szCs w:val="14"/>
          <w:color w:val="auto"/>
        </w:rPr>
        <w:t>Required payments on debt obligations for the nine months ended September 30, 2018 exclude $25,625 repayment of the CMQR Credit Agreement and $150,000 repayment of the Revolving Credit Facilities, and for the nine months ended September 30, 2017 exclude $100,000 repayment of the Term Loan and $14,255 repayment of the CMQR loan, both of which were voluntary refinancings as repayments of these amounts were not required at such time.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Limitations</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FAD is subject to a number of limitations and assumptions and there can be no assurance that we will generate FAD sufficient to meet our intended dividends. FAD has material limitations as a liquidity measure because such measure excludes items that are required elements of our net cash provided by operating activities as described below. FAD should not be considered in isolation nor as a substitute for analysis of our results of operations under GAAP, and it is not the only metric that should be considered in evaluating our ability to meet our stated dividend policy. Specifically:</w:t>
      </w:r>
    </w:p>
    <w:p>
      <w:pPr>
        <w:spacing w:after="0" w:line="149" w:lineRule="exact"/>
        <w:rPr>
          <w:sz w:val="20"/>
          <w:szCs w:val="20"/>
          <w:color w:val="auto"/>
        </w:rPr>
      </w:pPr>
    </w:p>
    <w:p>
      <w:pPr>
        <w:ind w:left="660" w:right="20" w:hanging="328"/>
        <w:spacing w:after="0" w:line="260"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FAD does not include equity capital called from our existing limited partners, proceeds from any debt issuance or future equity offering, historical cash and cash equivalents and expected investments in our operations.</w:t>
      </w:r>
    </w:p>
    <w:p>
      <w:pPr>
        <w:spacing w:after="0" w:line="141"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FAD does not give pro forma effect to prior acquisitions, certain of which cannot be quantified.</w:t>
      </w:r>
    </w:p>
    <w:p>
      <w:pPr>
        <w:spacing w:after="0" w:line="167"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While FAD reflects the cash inflows from sale of certain assets, FAD does not reflect the cash outflows to acquire assets as we rely on alternative sources of liquidity to fund such purchases.</w:t>
      </w:r>
    </w:p>
    <w:p>
      <w:pPr>
        <w:spacing w:after="0" w:line="141" w:lineRule="exact"/>
        <w:rPr>
          <w:rFonts w:ascii="Arial" w:cs="Arial" w:eastAsia="Arial" w:hAnsi="Arial"/>
          <w:sz w:val="16"/>
          <w:szCs w:val="16"/>
          <w:color w:val="auto"/>
        </w:rPr>
      </w:pPr>
    </w:p>
    <w:p>
      <w:pPr>
        <w:ind w:left="660" w:right="20" w:hanging="328"/>
        <w:spacing w:after="0" w:line="260"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FAD does not reflect expenditures related to capital expenditures, acquisitions and other investments as we have multiple sources of liquidity and intends to fund these expenditures with future incurrences of indebtedness, additional capital contributions and/or future issuances of equity.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547" w:right="239" w:bottom="1440" w:gutter="0" w:footer="0" w:header="0"/>
        </w:sectPr>
      </w:pPr>
    </w:p>
    <w:bookmarkStart w:id="68" w:name="page69"/>
    <w:bookmarkEnd w:id="68"/>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FAD does not reflect any maintenance capital expenditures necessary to maintain the same level of cash generation from our capital investments.</w:t>
      </w:r>
    </w:p>
    <w:p>
      <w:pPr>
        <w:spacing w:after="0" w:line="167" w:lineRule="exact"/>
        <w:rPr>
          <w:rFonts w:ascii="Arial" w:cs="Arial" w:eastAsia="Arial" w:hAnsi="Arial"/>
          <w:sz w:val="16"/>
          <w:szCs w:val="16"/>
          <w:color w:val="auto"/>
        </w:rPr>
      </w:pPr>
    </w:p>
    <w:p>
      <w:pPr>
        <w:ind w:left="660" w:right="20" w:hanging="328"/>
        <w:spacing w:after="0" w:line="260"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FAD does not reflect changes in working capital balances as management believes that changes in working capital are primarily driven by short term timing differences, which are not meaningful to our distribution decisions.</w:t>
      </w:r>
    </w:p>
    <w:p>
      <w:pPr>
        <w:spacing w:after="0" w:line="141"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Management has significant discretion to make distributions, and we are not bound by any contractual provision that requires us to use cash for distributions.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If such factors were included in FAD, there can be no assurance that the results would be consistent with our presentation of FAD.</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Debt Obligations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Refer to Note 8 of the Consolidated Financial Statements for additional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Contractual Obligations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future obligations, by period due, as of September 30, 2018, under our various contractual obligations and commitments.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We had no off-balance sheet arrangements as of September 30, 2018.</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5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FTAI Pride Credit Agreement</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1,563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47,743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49,306</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CMQR Credit Agreement</w:t>
            </w:r>
          </w:p>
        </w:tc>
        <w:tc>
          <w:tcPr>
            <w:tcW w:w="28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21,925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21,925</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Revolving Credit Facility</w:t>
            </w:r>
          </w:p>
        </w:tc>
        <w:tc>
          <w:tcPr>
            <w:tcW w:w="2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Jefferson Revolver</w:t>
            </w:r>
          </w:p>
        </w:tc>
        <w:tc>
          <w:tcPr>
            <w:tcW w:w="28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50,000</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Series 2012 Bonds</w:t>
            </w:r>
          </w:p>
        </w:tc>
        <w:tc>
          <w:tcPr>
            <w:tcW w:w="2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33,660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41,220</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Series 2016 Bonds</w:t>
            </w:r>
          </w:p>
        </w:tc>
        <w:tc>
          <w:tcPr>
            <w:tcW w:w="28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144,200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144,200</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Senior Notes due 2022</w:t>
            </w:r>
          </w:p>
        </w:tc>
        <w:tc>
          <w:tcPr>
            <w:tcW w:w="2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550,000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550,000</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Senior Notes due 2025</w:t>
            </w:r>
          </w:p>
        </w:tc>
        <w:tc>
          <w:tcPr>
            <w:tcW w:w="28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300,000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300,000</w:t>
            </w:r>
          </w:p>
        </w:tc>
      </w:tr>
      <w:tr>
        <w:trPr>
          <w:trHeight w:val="180"/>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principal payments on loans and</w:t>
            </w:r>
          </w:p>
        </w:tc>
        <w:tc>
          <w:tcPr>
            <w:tcW w:w="2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r>
      <w:tr>
        <w:trPr>
          <w:trHeight w:val="178"/>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bonds payable</w:t>
            </w:r>
          </w:p>
        </w:tc>
        <w:tc>
          <w:tcPr>
            <w:tcW w:w="2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1,563</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71,338</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146,010</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51,960</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552,120</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333,660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1,156,651</w:t>
            </w:r>
          </w:p>
        </w:tc>
      </w:tr>
      <w:tr>
        <w:trPr>
          <w:trHeight w:val="324"/>
        </w:trPr>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Total estimated interest payments </w:t>
            </w:r>
            <w:r>
              <w:rPr>
                <w:rFonts w:ascii="Arial" w:cs="Arial" w:eastAsia="Arial" w:hAnsi="Arial"/>
                <w:sz w:val="17"/>
                <w:szCs w:val="17"/>
                <w:color w:val="auto"/>
                <w:vertAlign w:val="superscript"/>
              </w:rPr>
              <w:t>(1)</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20,040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75,432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62,966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60,112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30,098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68,712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317,360</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Obligation to third-party</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10,100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27,310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37,410</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obligations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1,490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5,662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4,836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3,143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2,336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69,083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86,550</w:t>
            </w: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Capital lease obligations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1,208</w:t>
            </w:r>
          </w:p>
        </w:tc>
      </w:tr>
      <w:tr>
        <w:trPr>
          <w:trHeight w:val="250"/>
        </w:trPr>
        <w:tc>
          <w:tcPr>
            <w:tcW w:w="27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31,728</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108,789</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68,172</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63,491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32,545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137,803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442,528</w:t>
            </w:r>
          </w:p>
        </w:tc>
      </w:tr>
      <w:tr>
        <w:trPr>
          <w:trHeight w:val="243"/>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Total contractual obligations</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33,291</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180,127</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214,182</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115,451</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584,665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471,463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1,599,179</w:t>
            </w: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60" w:hanging="152"/>
        <w:spacing w:after="0"/>
        <w:tabs>
          <w:tab w:leader="none" w:pos="16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Estimated interest rates as of September 30, 2018.</w:t>
      </w:r>
    </w:p>
    <w:p>
      <w:pPr>
        <w:spacing w:after="0" w:line="14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expect to meet our future short-term liquidity requirements through cash on hand or future financings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Application of Critical Accounting Policies</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Goodwill</w:t>
      </w:r>
      <w:r>
        <w:rPr>
          <w:rFonts w:ascii="Arial" w:cs="Arial" w:eastAsia="Arial" w:hAnsi="Arial"/>
          <w:sz w:val="16"/>
          <w:szCs w:val="16"/>
          <w:color w:val="00497F"/>
        </w:rPr>
        <w:t>—</w:t>
      </w:r>
      <w:r>
        <w:rPr>
          <w:rFonts w:ascii="Arial" w:cs="Arial" w:eastAsia="Arial" w:hAnsi="Arial"/>
          <w:sz w:val="16"/>
          <w:szCs w:val="16"/>
          <w:color w:val="333333"/>
        </w:rPr>
        <w:t>Goodwill includes the excess of the purchase price over the fair value of the net tangible and intangible assets associated with the acquisitions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333333"/>
        </w:rPr>
        <w:t>CMQR and Jefferson Terminal. The carrying amount of goodwill is approximately $116,584 as of September 30, 2018 and December 31, 2017.</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333333"/>
        </w:rPr>
        <w:t>We review the carrying values of goodwill at least annually to assess impairment since these assets are not amortized. An annual impairment review is conducted as of October 1st of each year. Additionally, we review the carrying value of goodwill whenever events or changes in circumstances indicate that its carrying amount may not be recoverable. The determination of fair value involves significant management judgment.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547" w:right="239" w:bottom="1440" w:gutter="0" w:footer="0" w:header="0"/>
        </w:sectPr>
      </w:pPr>
    </w:p>
    <w:bookmarkStart w:id="69" w:name="page70"/>
    <w:bookmarkEnd w:id="69"/>
    <w:p>
      <w:pPr>
        <w:jc w:val="both"/>
        <w:spacing w:after="0" w:line="253" w:lineRule="auto"/>
        <w:rPr>
          <w:sz w:val="20"/>
          <w:szCs w:val="20"/>
          <w:color w:val="auto"/>
        </w:rPr>
      </w:pPr>
      <w:r>
        <w:rPr>
          <w:rFonts w:ascii="Arial" w:cs="Arial" w:eastAsia="Arial" w:hAnsi="Arial"/>
          <w:sz w:val="16"/>
          <w:szCs w:val="16"/>
          <w:color w:val="333333"/>
        </w:rPr>
        <w:t>For an annual goodwill impairment assessment, an optional qualitative analysis may be performed. If the option is not elected or if it is more likely than not that the fair value of a reporting unit is less than its carrying amount, then a two-step goodwill impairment test is performed to identify potential goodwill impairment and measure an impairment loss. A qualitative analysis was not elected for the year ended December 31, 2017.</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333333"/>
        </w:rPr>
        <w:t>The first step of an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certain factors including our assumptions about operating results, business plans, income projections, anticipated future cash flows and market data. If the estimated fair value of the reporting unit is less than the carrying amount, a second step must be completed in order to determine the amount of goodwill impairment that should be recorded, if any.</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333333"/>
        </w:rPr>
        <w:t>In performing the annual analysis, our two reporting units subject to the test are the Jefferson Terminal and Railroad reporting units. We estimate the fair value of the reporting units using an income approach, specifically a discounted cash flow analysis. This analysis requires us to make significant assumptions and estimates about the extent and timing of future cash flows, discount rates and growth rates. The estimates and assumptions used consider historical performance if indicative of future performance, and are consistent with the assumptions used in determining future profit plans for the reporting units. We also utilize market valuation models and other financial ratios, which require us to make certain assumptions and estimates regarding the applicability of those models to our assets and businesses.</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333333"/>
        </w:rPr>
        <w:t xml:space="preserve">Although we believe the estimates of fair value are reasonable, the determination of certain valuation inputs is subject to management’s judgment. Changes in these inputs, including as a result of events beyond our control, could materially affect the results of the impairment review. If the forecasted cash flows of the Jefferson Terminal and Railroad reporting units or other key inputs are negatively revised in the future, the estimated fair value of the Jefferson Terminal and Railroad reporting units could be adversely impacted, potentially leading to an impairment in the future that could materially affect our operating results. Specifically, as it relates to the Jefferson Terminal segment, forecasted revenue is dependent on the ramp up of volumes under current contracts and the acquisition of additional storage contracts for the heavy and light crude and refined products during 2018 </w:t>
      </w:r>
      <w:r>
        <w:rPr>
          <w:rFonts w:ascii="Arial" w:cs="Arial" w:eastAsia="Arial" w:hAnsi="Arial"/>
          <w:sz w:val="16"/>
          <w:szCs w:val="16"/>
          <w:color w:val="000000"/>
        </w:rPr>
        <w:t>subject to obtaining rail capacity for crude, permits</w:t>
      </w:r>
      <w:r>
        <w:rPr>
          <w:rFonts w:ascii="Arial" w:cs="Arial" w:eastAsia="Arial" w:hAnsi="Arial"/>
          <w:sz w:val="16"/>
          <w:szCs w:val="16"/>
          <w:color w:val="333333"/>
        </w:rPr>
        <w:t xml:space="preserve"> </w:t>
      </w:r>
      <w:r>
        <w:rPr>
          <w:rFonts w:ascii="Arial" w:cs="Arial" w:eastAsia="Arial" w:hAnsi="Arial"/>
          <w:sz w:val="16"/>
          <w:szCs w:val="16"/>
          <w:color w:val="000000"/>
        </w:rPr>
        <w:t>for pipeline and movements in future oil spreads. Jefferson Terminal was designed to reach a storage capacity of 21.7 million barrels, and 2.1 million of storage, or approximately 10% of capacity, is currently operational. If the Company strategy changes from planned capacity downward due to an inability to source contracts or expand volumes, the fair value of the reporting units would be negatively affected, which could lead to an impairment</w:t>
      </w:r>
      <w:r>
        <w:rPr>
          <w:rFonts w:ascii="Arial" w:cs="Arial" w:eastAsia="Arial" w:hAnsi="Arial"/>
          <w:sz w:val="16"/>
          <w:szCs w:val="16"/>
          <w:color w:val="333333"/>
        </w:rPr>
        <w:t>. The expansion of</w:t>
      </w:r>
      <w:r>
        <w:rPr>
          <w:rFonts w:ascii="Arial" w:cs="Arial" w:eastAsia="Arial" w:hAnsi="Arial"/>
          <w:sz w:val="16"/>
          <w:szCs w:val="16"/>
          <w:color w:val="000000"/>
        </w:rPr>
        <w:t xml:space="preserve"> </w:t>
      </w:r>
      <w:r>
        <w:rPr>
          <w:rFonts w:ascii="Arial" w:cs="Arial" w:eastAsia="Arial" w:hAnsi="Arial"/>
          <w:sz w:val="16"/>
          <w:szCs w:val="16"/>
          <w:color w:val="333333"/>
        </w:rPr>
        <w:t>refineries in the Beaumont/Port Arthur area, as well as growing crude oil production in the U.S. and Canada, are expected to result in increased demand for storage on the U.S. Gulf Coast. Other assumptions utilized in our annual impairment analysis that are significant in determination of the fair value of the reporting unit include the discount rate utilized in our discounted cash flow analysis of 14% and our terminal growth rate of 3%.</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333333"/>
        </w:rPr>
        <w:t>Furthermore, development of both inbound and outbound pipelines to and from the Jefferson Terminal over the next two to three years will affect our forecasted growth and therefore our estimated fair value. We continue to expect the Jefferson Terminal segment to generate positive Adjusted EBITDA during the fourth quarter of 2018. Although certain of our anticipated contracts or expected volumes from existing contracts for Jefferson Terminal have been delayed, we continue to believe our projected revenues are achievable and have not yet modified those projections based on ongoing negotiations with our customers and discussions with major pipeline companies. Further delays in executing these contracts or achieving our projections could adversely affect the fair value of the reporting unit. However, strengthening macroeconomic conditions such as increased oil prices and the increasing spread between Western Canadian Crude and Western Texas Intermediate are better than we anticipated, and we remain positive for the outlook of Jefferson Terminal’s earnings potential.</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333333"/>
        </w:rPr>
        <w:t>For the year ended December 31, 2017, there was no impairment of goodwill.</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3. Quantitative and Qualitative Disclosures About Market Risk</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574" w:right="23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i w:val="1"/>
          <w:iCs w:val="1"/>
          <w:color w:val="00497F"/>
        </w:rPr>
        <w:t>Interest Rate Risk</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borrowing agreements generally require payments based on a variable interest rate index, such as LIBOR. Therefore, to the extent our borrowing costs are not fixed, increases in interest rates may reduce our net income by increasing the cost of our debt without any corresponding increase in rents or cash flow from our finance leases. We manage our exposure to interest rate movements through the use of interest rate derivatives (interest rate swaps and caps). As a result, when market rates of interest change, there is generally not a material impact on our interest expense, future earnings or cash flows.</w:t>
      </w:r>
    </w:p>
    <w:p>
      <w:pPr>
        <w:spacing w:after="0" w:line="14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It also does not include a variety of other potential factors that could affect our business as a result of changes in interest rates.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September 30, 2018, assuming we do not hedge our exposure to interest rate fluctuations related to our outstanding floating rate debt, a hypothetical 100-basis point increase/decrease in our variable interest rate on our borrowings would result in an increase/decrease in interest expense of approximately $1,205 over the next 12 months before the impact of interest rate derivatives.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Foreign Currency Exchange Risk</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functional currency is U.S. dollars. All of our leasing arrangements are denominated in U.S. dollars. Currently, the majority of freight rail revenue is also denominated in U.S. dollars, but a portion is denominated in Canadian dollars. Although foreign exchange risk could arise from our operations in multiple jurisdictions, we do not have significant exposure to foreign currency risk as our leasing arrangements are denominated in U.S. dollars. All of our purchase agreements are negotiated in U.S. dollars, and we currently receive the majority of revenue in U.S. dollars. We pay substantially all of our expenses in U.S. dollars; however we pay some expenses in Canadian dollars. Because we currently receive the majority of our revenues in U.S. dollars and pay substantially all of our expenses in U.S. dollars, we do not expect a change in foreign exchange rates would have a significant impact on our results of operations or cash flows.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4.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Disclosure Controls and Procedures</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our management, including our Chief Executive Officer and Chief Financial Officer, of the effectiveness of our disclosure controls and procedures (as defined in Rule 13a-15(e) under the Securities Exchange Act of 1934 (the “Exchange Act”)). Based on the evaluation of our disclosure controls and procedures as of September 30, 2018, and due to the material weakness in our internal control over financial reporting described in Management’s Report on Internal Control over Financial Reporting included in our Annual Report on Form 10-K for the year ended December 31, 2017 filed with the Securities and Exchange Commission on March 1, 2018, our Chief Executive Officer and Chief Financial Officer concluded that, as of such date, our disclosure controls and procedures were not effective.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Internal Control over Financial Reporting</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No change other than certain remediation efforts related to our internal control over financial reporting (as defined in Rule 13a-15(f) under the Exchange Act) occurred during our most recent fiscal quarter that has materially affected, or is reasonably likely to materially affect, our internal control over financial reporting. We have made no significant changes in our remediation plans during the three months ended September 30, 2018 that could materially affect, or are reasonably likely to materially affect, our internal control over financial reporting. For further information with regard to our “Remediation Plans,” please refer to Item 9A of our Annual Report on Form 10-K for the year ended December 31, 2017 filed with the Securities and Exchange Commission on March 1, 2018.</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527"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006EBF"/>
        </w:rPr>
        <w:t>PART II—OTHER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Legal Proceedings</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1A. Risk Factors</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Form 10-Q in evaluating us and our common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our Manager, risks related to taxation and risks related to our common shares. However, these categories do overlap and should not be considered exclusive.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industry.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Excess supply in oil and gas markets can put significant downward pressure on prices for these commodities, and may affect demand for assets used in production, refining and transportation of oil and gas. In the past, a significant decline in oil prices has led to lower offshore exploration and production budgets worldwide.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Further, demand for our assets is related to passenger and cargo traffic growth, which in turn is dependent on general business and economic conditions. Global economic downturns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may also become exposed to increased credit risk from our customers and third parties who have obligations to us, which could result in increased non-performance of contracts by our lessees or charterers and adversely impact our business, prospects, financial condition, results of operations and cash flows.</w:t>
      </w:r>
    </w:p>
    <w:p>
      <w:pPr>
        <w:spacing w:after="0" w:line="3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industries in which we operate have experienced periods of oversupply during which lease rates and asset values have declined, particularly during the recent economic downturn, and any future oversupply could materially adversely affect our results of operations and cash flows.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recent economic downturn. Factors that could lead to such oversupply include, without limitation:</w:t>
      </w:r>
    </w:p>
    <w:p>
      <w:pPr>
        <w:spacing w:after="0" w:line="20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general demand for the type of assets that we purchase;</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general macroeconomic conditions, including market prices for commodities that our assets may serve;</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geopolitical events, including war, prolonged armed conflict and acts of terrorism;</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outbreaks of communicable diseases and natural disasters;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630" w:right="239" w:bottom="1440" w:gutter="0" w:footer="0" w:header="0"/>
        </w:sectPr>
      </w:pPr>
    </w:p>
    <w:bookmarkStart w:id="72" w:name="page73"/>
    <w:bookmarkEnd w:id="72"/>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governmental regulation;</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interest rates;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availability of credit;</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restructurings and bankruptcies of companies in the industries in which we operate, including our customers;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manufacturer production levels and technological innovation;</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manufacturers merging or exiting the industry or ceasing to produce certain asset types;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retirement and obsolescence of the assets that we own;</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railroad infrastructure may be damaged, including by flooding and railroad derailments;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increases in supply levels of assets in the market due to the sale or merging of operating lessors; and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reintroduction of previously unused or dormant assets into the industries in which we operate.</w:t>
      </w:r>
    </w:p>
    <w:p>
      <w:pPr>
        <w:spacing w:after="0" w:line="22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lessees may redeliver our assets to locations where there is oversupply, which may lead to additional repositioning costs for us if we move them to areas with higher demand. Positioning expenses vary depending on geographic location, distance, freight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can be no assurance that any target returns will be achieved.</w:t>
      </w:r>
    </w:p>
    <w:p>
      <w:pPr>
        <w:spacing w:after="0" w:line="24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target returns for assets are targets only and are not forecasts of future profits. We develop target returns based on our Manager’s assessment of appropriate expectations for returns on assets and the ability of our Manager to enhance the return generated by those assets through active management. There can be no assurance that these assessments and expectations will be achieved and failure to achieve any or all of them may materially adversely impact our ability to achieve any target return with respect to any or all of our assets.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our target returns are based on estimates and assumptions regarding a number of other factors, including, without limitation, holding periods, the absence of material adverse events affecting specific investments (which could include, without limitation, natural disasters, terrorism, social unrest or civil disturbances), general and local economic and market conditions, changes in law, taxation, regulation or governmental policies and changes in the political approach to transportation investment, either generally or in specific countries in which we may invest or seek to invest. Many of these factors, as well as the other risks described elsewhere in this report, are beyond our control and all could adversely affect our ability to achieve a target return with respect to an asset. Further, target returns are targets for the return generated by specific assets and not by us. Numerous factors could prevent us from achieving similar returns, notwithstanding the performance of individual assets, including, without limitation, taxation and fees payable by us or our operating subsidiaries, including fees and incentive allocation payable to our Manager.</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There can be no assurance that the returns generated by any of our assets will meet our target returns, or any other level of return, or that we will achieve or successfully implement our asset acquisition objectives, and failure to achieve the target return in respect of any of our assets could, among other things, have a material adverse effect on our business, prospects, financial condition, results of operations and cash flow. Further, even if the returns generated by individual assets meet target returns, there can be no assurance that the returns generated by other existing or future assets would do so, and the historical performance of the assets in our existing portfolio should not be considered as indicative of future results with respect to any assets.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601" w:right="239" w:bottom="1440" w:gutter="0" w:footer="0" w:header="0"/>
        </w:sectPr>
      </w:pPr>
    </w:p>
    <w:bookmarkStart w:id="73" w:name="page74"/>
    <w:bookmarkEnd w:id="73"/>
    <w:p>
      <w:pPr>
        <w:jc w:val="both"/>
        <w:spacing w:after="0" w:line="286" w:lineRule="auto"/>
        <w:rPr>
          <w:sz w:val="20"/>
          <w:szCs w:val="20"/>
          <w:color w:val="auto"/>
        </w:rPr>
      </w:pPr>
      <w:r>
        <w:rPr>
          <w:rFonts w:ascii="Arial" w:cs="Arial" w:eastAsia="Arial" w:hAnsi="Arial"/>
          <w:sz w:val="16"/>
          <w:szCs w:val="16"/>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whom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Depending on the specific sector, the risk of contractual defaults may be elevated due to excess capacity as a result of oversupply during the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recent economic downturn,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18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acquire a high concentration of a particular asset, or concentrate our investments in a particular sector, our business and financial results could be adversely affected by sector-specific or asset-specific factors. For example, if a particular sector experiences difficulties such as increased competition or oversupply, the operators we rely on as a lessor may be adversely affected and consequently our business and financial results may be similarly affected. If we acquire a high concentration of a particular asset and the market demand for a particular asset declines, it is redesigned or replaced by its manufacturer or it experiences design or technical problems, the value and rates relating to such asset may decline, and we may be unable to lease or charter such asset on favorable terms, if at all. Any decrease in the value and rates of our assets may have a material adverse effect on our business, prospects, financial condition, results of operations and cash flows.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581" w:right="23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i w:val="1"/>
          <w:iCs w:val="1"/>
          <w:color w:val="auto"/>
        </w:rPr>
        <w:t>We operate in highly competitive markets.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business of acquiring transportation and transportation-related infrastructure assets is highly competitive. Market competition for opportunities includes traditional transportation and infrastructure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39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transportation-related infrastructure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Asia and the Middle East, it may become more difficult and expensive to enforce our rights and recover our assets.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liens may arise on our assets.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Certain of our assets are currently subject to liens under separate financing arrangements entered into by certain subsidiaries in connection with acquisitions of assets. In the event of a default under such arrangements by the applicable subsidiary, the lenders thereunder would be permitted to take possession of or sell such assets. See “Management’s Discussion and Analysis of Financial Condition and Results of Operations-Liquidity and Capital Resources.”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values of the assets that we purchase may fluctuate due to various factors.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charter,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581" w:right="23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i w:val="1"/>
          <w:iCs w:val="1"/>
          <w:color w:val="auto"/>
        </w:rPr>
        <w:t>We may not generate a sufficient amount of cash or generate sufficient free cash flow to fund our operations or repay our indebtedness.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ability to make payments on our indebtedness as required depends on our ability to generate cash flow in the future. This ability, to a certain extent, is subject to general economic, financial, competitive, legislative, regulatory and other factors that are beyond our control. If we do not generate sufficient free cash flow to satisfy our debt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finance and credit markets. Our inability to generate sufficient free cash flow to satisfy our debt obligations, or to refinance our obligations on commercially reasonable terms or on a timely basis, would materially affect our business, financial condition and results of operations.</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may acquire operating businesses, including businesses whose operations are not fully matured and stabilized. These businesses may be subject to significant operating and development risks, including increased competition, cost overruns and delays, and difficulties in obtaining approvals or financing. These factors could materially affect our business, financial condition, liquidity and results of operations.</w:t>
      </w:r>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acquired, and may in the future acquire, operating businesses including businesses whose operations are not fully matured and stabilized (including, but not limited to, our businesses within the Jefferson Terminal and Ports and Terminals segments). While we have deep experience in the construction and operation of these companies, we are nevertheless subject to significant risks and contingencies of an operating business, and these risks are greater where the operations of such businesses are not fully matured and stabilized. Key factors that may affect our operating businesses include, but are not limited to:</w:t>
      </w:r>
    </w:p>
    <w:p>
      <w:pPr>
        <w:spacing w:after="0" w:line="203"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competition from market participants;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general economic and/or industry trends, including pricing for the products or services offered by our operating businesses;</w:t>
      </w:r>
    </w:p>
    <w:p>
      <w:pPr>
        <w:spacing w:after="0" w:line="221" w:lineRule="exact"/>
        <w:rPr>
          <w:rFonts w:ascii="Arial" w:cs="Arial" w:eastAsia="Arial" w:hAnsi="Arial"/>
          <w:sz w:val="16"/>
          <w:szCs w:val="16"/>
          <w:color w:val="auto"/>
        </w:rPr>
      </w:pPr>
    </w:p>
    <w:p>
      <w:pPr>
        <w:ind w:left="980" w:hanging="648"/>
        <w:spacing w:after="0" w:line="260" w:lineRule="auto"/>
        <w:tabs>
          <w:tab w:leader="none" w:pos="65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issuance and/or continued availability of necessary permits, licenses, approvals and agreements from governmental agencies and third parties as are required to construct and operate such businesses;</w:t>
      </w:r>
    </w:p>
    <w:p>
      <w:pPr>
        <w:spacing w:after="0" w:line="195"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changes or deficiencies in the design or construction of development projects;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unforeseen engineering, environmental or geological problems;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potential increases in construction and operating costs due to changes in the cost and availability of fuel, power, materials and supplies;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availability and cost of skilled labor and equipment;</w:t>
      </w:r>
    </w:p>
    <w:p>
      <w:pPr>
        <w:spacing w:after="0" w:line="221" w:lineRule="exact"/>
        <w:rPr>
          <w:rFonts w:ascii="Arial" w:cs="Arial" w:eastAsia="Arial" w:hAnsi="Arial"/>
          <w:sz w:val="16"/>
          <w:szCs w:val="16"/>
          <w:color w:val="auto"/>
        </w:rPr>
      </w:pPr>
    </w:p>
    <w:p>
      <w:pPr>
        <w:ind w:left="980" w:hanging="648"/>
        <w:spacing w:after="0" w:line="253" w:lineRule="auto"/>
        <w:tabs>
          <w:tab w:leader="none" w:pos="656"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ability to enter into additional satisfactory agreements with contractors and to maintain good relationships with these contractors in order to construct development projects within our expected cost parameters and time frame, and the ability of those contractors to perform their obligations under the contracts and to maintain their creditworthiness;</w:t>
      </w:r>
    </w:p>
    <w:p>
      <w:pPr>
        <w:spacing w:after="0" w:line="201"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potential liability for injury or casualty losses which are not covered by insurance;</w:t>
      </w:r>
    </w:p>
    <w:p>
      <w:pPr>
        <w:spacing w:after="0" w:line="221" w:lineRule="exact"/>
        <w:rPr>
          <w:rFonts w:ascii="Arial" w:cs="Arial" w:eastAsia="Arial" w:hAnsi="Arial"/>
          <w:sz w:val="16"/>
          <w:szCs w:val="16"/>
          <w:color w:val="auto"/>
        </w:rPr>
      </w:pPr>
    </w:p>
    <w:p>
      <w:pPr>
        <w:ind w:left="980" w:right="20" w:hanging="648"/>
        <w:spacing w:after="0" w:line="260" w:lineRule="auto"/>
        <w:tabs>
          <w:tab w:leader="none" w:pos="656" w:val="left"/>
        </w:tabs>
        <w:numPr>
          <w:ilvl w:val="0"/>
          <w:numId w:val="39"/>
        </w:numPr>
        <w:rPr>
          <w:rFonts w:ascii="Arial" w:cs="Arial" w:eastAsia="Arial" w:hAnsi="Arial"/>
          <w:sz w:val="16"/>
          <w:szCs w:val="16"/>
          <w:color w:val="auto"/>
        </w:rPr>
      </w:pPr>
      <w:r>
        <w:rPr>
          <w:rFonts w:ascii="Arial" w:cs="Arial" w:eastAsia="Arial" w:hAnsi="Arial"/>
          <w:sz w:val="16"/>
          <w:szCs w:val="16"/>
          <w:color w:val="auto"/>
        </w:rPr>
        <w:t>potential opposition from non-governmental organizations, environmental groups, local or other groups which may delay or prevent development activities;</w:t>
      </w:r>
    </w:p>
    <w:p>
      <w:pPr>
        <w:spacing w:after="0" w:line="195"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local and economic conditions;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changes in legal requirements; and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force majeure events, including catastrophes and adverse weather conditions.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Any of these factors could materially affect our business, financial condition, liquidity and results of operations.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581" w:right="2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our Manager expects to utilize third 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 party contractors to perform in accordance with our expectations could materially adversely affect our business, prospects, financial condition, results of operations and cash flows.</w:t>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the risks and costs of obsolescence of our assets.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Technological and other improvements expose us to the risk that certain of our assets may become technologically or commercially obsolete. For example, in our Aviation Leasing segment,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segment,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The North American rail sector is a highly regulated industry and increased costs of compliance with, or liability for violation of, existing or future laws, regulations and other requirements could significantly increase our costs of doing business, thereby adversely affecting our profitability.</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rail sector is subject to extensive laws, regulations and other requirements including, but not limited to, those relating to the environment, safety, rates and charges, service obligations, employment, labor, immigration, minimum wages and overtime pay, health care and benefits, working conditions, public accessibility and other requirements. These laws and regulations are enforced by U.S. and Canadian federal agencies including the U.S. and Canadian Environmental Protection Agencies, the U.S. and Canadian Departments of Transportation (USDOT or Transport Canada), the Occupational Safety and Health Act (OSHA or Canadian provincial equivalents), the U.S. Federal Railroad Administration, or FRA, and the U.S. Surface Transportation Board, or STB, as well as numerous other state, provincial, local and federal agencies. Ongoing compliance with, or a violation of, these laws, regulations and other requirements could have a material adverse effect on our business, financial condition and results of operations.</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believe that our rail operations are in substantial compliance with applicable laws and regulations. However, these laws and regulations, and the interpretation or enforcement thereof, are subject to frequent change and varying interpretation by regulatory authorities, and we are unable to predict the ongoing cost to us of complying with these laws and regulations or the future impact of these laws and regulations on our operations. In addition, from time to time we are subject to inspections and investigations by various regulators. Violation of environmental or other laws, regulations and permits can result in the imposition of significant administrative, civil and criminal penalties, injunctions and construction bans or delays.</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Legislation passed by the U.S. Congress or Canadian Parliament or new regulations issued by federal agencies can significantly affect the revenues, costs and profitability of our business. For instance, more recently proposed bills such as the “Rail Shipper Fairness Act of 2017,” or competitive access proposals under consideration by the STB, if adopted, could increase government involvement in railroad pricing, service and operations and significantly change the federal regulatory framework of the railroad industry. Several of the changes under consideration could have a significant negative impact on FTAI’s ability to determine prices for rail services, meet service standards and could force a reduction in capital spending. Statutes imposing price constraints or affecting rail-to-rail competition could adversely affect FTAI’s profitability.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580" w:right="239" w:bottom="1440" w:gutter="0" w:footer="0" w:header="0"/>
        </w:sectPr>
      </w:pPr>
    </w:p>
    <w:bookmarkStart w:id="77" w:name="page78"/>
    <w:bookmarkEnd w:id="77"/>
    <w:p>
      <w:pPr>
        <w:jc w:val="both"/>
        <w:spacing w:after="0" w:line="248" w:lineRule="auto"/>
        <w:rPr>
          <w:sz w:val="20"/>
          <w:szCs w:val="20"/>
          <w:color w:val="auto"/>
        </w:rPr>
      </w:pPr>
      <w:r>
        <w:rPr>
          <w:rFonts w:ascii="Arial" w:cs="Arial" w:eastAsia="Arial" w:hAnsi="Arial"/>
          <w:sz w:val="16"/>
          <w:szCs w:val="16"/>
          <w:color w:val="auto"/>
        </w:rPr>
        <w:t>Under various U.S. and Canadian federal, state, provincial and local environmental requirements, as the owner or operator of terminals or other facilities, we may be liable for the costs of removal or remediation of contamination at or from our existing locations, whether we knew of, or were responsible for, the presence of such contamination. The failure to timely report and properly remediate contamination may subject us to liability to third parties and may adversely affect our ability to sell or rent our property or to borrow money using our property as collateral. Additionally, we may be liable for the costs of remediating third-party sites where hazardous substances from our operations have been transported for treatment or disposal, regardless of whether we own or operate that site. In the future, we may incur substantial expenditures for investigation or remediation of contamination that has not yet been discovered at our current or former locations or locations that we may acquire.</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discharge of hydrocarbons or hazardous substances into the environment associated with operating our rail assets could subject us to substantial expense, including the cost to recover the materials spilled, restore the affected natural resources, pay fines and penalties, and natural resource damages and claims made by employees, neighboring landowners, government authorities and other third parties, including for personal injury and property damage. We may experience future catastrophic sudden or gradual releases into the environment from our facilities or discover historical releases that were previously unidentified or not assessed. Although our inspection and testing programs are designed to prevent, detect and address any such releases promptly, the liabilities incurred due to any future releases into the environment from our assets, have the potential to substantially affect our business. Such events could also subject us to media and public scrutiny that could have a negative effect on our operations and also on the value of our common shares.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business could be adversely affected if service on the railroads is interrupted or if more stringent regulations are adopted regarding railcar design or the transportation of crude oil by rail.</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a result of hydraulic fracturing and other improvements in extraction technologies, there has been a substantial increase in the volume of crude oil and liquid hydrocarbons produced and transported in North America, and a geographic shift in that production versus historical production. The increase in volume and shift in geography has resulted in a growing percentage of crude oil being transported by rail. High-profile accidents involving crude-oil-carrying trains in Quebec, North Dakota and Virginia, and more recently in West Virginia and Illinois, have raised concerns about the environmental and safety risks associated with crude oil transport by rail and the associated risks arising from railcar design.</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May 2015, the DOT issued new production standards and operational controls for rail tank cars used in “High-Hazard Flammable Trains” (i.e., trains carrying commodities such as ethanol, crude oil and other flammable liquids). Similar standards have been adopted in Canada. The new standard applies for all cars manufactured after October 1, 2015, and existing tank cars must be retrofitted within the next three to eight years. The applicable operational controls include reduced speed restrictions, and maximum lengths on trains carrying these materials. Retrofitting our tank cars will be required under these new standards to the extent we elect to move certain flammable liquids in the future. While we may be able to pass some of these costs on to our customers, there may be costs that we cannot pass on to them. We continue to monitor the railcar regulatory landscape and remain in close contact with railcar suppliers and other industry stakeholders to stay informed of railcar regulation rulemaking developments. It is unclear how these regulations will impact the crude-by-rail industry, and any such impact would depend on a number of factors that are outside of our control. If, for example, overall volume of crude-by-rail decreases, or if we do not have access to a sufficient number of compliant cars to transport required volumes under our existing contracts, our operations may be negatively affected. This may lead to a decrease in revenues and other consequences.</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adoption of additional federal, state, provincial or local laws or regulations, including any voluntary measures by the rail industry regarding railcar design or crude oil and liquid hydrocarbon rail transport activities, or efforts by local communities to restrict or limit rail traffic involving crude oil, could affect our business by increasing compliance costs and decreasing demand for our services, which could adversely affect our financial position and cash flows. Moreover, any disruptions in the operations of railroads, including those due to shortages of railcars, weather-related problems, flooding, drought, accidents, mechanical difficulties, strikes, lockouts or bottlenecks, could adversely impact our customers’ ability to move their product and, as a result, could affect our business.</w:t>
      </w:r>
    </w:p>
    <w:p>
      <w:pPr>
        <w:spacing w:after="0" w:line="18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assets are exposed to unplanned interruptions caused by catastrophic events outside of our control which may disrupt our business and cause damage or losses that may not be adequately covered by insurance.</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operations of transportation and infrastructure projects are exposed to unplanned interruptions caused by significant catastrophic events, such as hurricanes, cyclones, earthquakes, landslides, floods, explosions, fires, major plant breakdowns, pipeline or electricity line ruptures or other disasters. Operational disruption, as well as supply disruption,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either indirectly through our lessees or charterers or through our own insurance policies, no assurance can be given that the occurrence of any such event will not materially adversely affect us. In addition, if a lessee or charterer is not obligated to maintain sufficient insurance, we may incur the costs of additional insurance coverage during the related lease or charter. We can give no assurance that such insurance will be available at commercially reasonable rates, if at all.</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601" w:right="23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i w:val="1"/>
          <w:iCs w:val="1"/>
          <w:color w:val="auto"/>
        </w:rPr>
        <w:t>Our assets generally require routine maintenance, and we may be exposed to unforeseen maintenance costs.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profitability of our Offshore Energy segment may be impacted by the profitability of the offshore oil and gas industry generally, which is significantly affected by, among other things, volatile oil and gas prices.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Demand for assets in the Offshore Energy segment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are affected by numerous factors beyond our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580" w:right="239" w:bottom="1440" w:gutter="0" w:footer="0" w:header="0"/>
        </w:sectPr>
      </w:pPr>
    </w:p>
    <w:bookmarkStart w:id="79" w:name="page80"/>
    <w:bookmarkEnd w:id="79"/>
    <w:p>
      <w:pPr>
        <w:jc w:val="both"/>
        <w:spacing w:after="0" w:line="286" w:lineRule="auto"/>
        <w:rPr>
          <w:sz w:val="20"/>
          <w:szCs w:val="20"/>
          <w:color w:val="auto"/>
        </w:rPr>
      </w:pPr>
      <w:r>
        <w:rPr>
          <w:rFonts w:ascii="Arial" w:cs="Arial" w:eastAsia="Arial" w:hAnsi="Arial"/>
          <w:sz w:val="16"/>
          <w:szCs w:val="16"/>
          <w:b w:val="1"/>
          <w:bCs w:val="1"/>
          <w:i w:val="1"/>
          <w:iCs w:val="1"/>
          <w:color w:val="auto"/>
        </w:rPr>
        <w:t>Our Shipping Containers segment is affected by the lack of an international title registry for containers, which increases the risk of ownership disputes.</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Although the Bureau International des Containers registers and allocates a unique four letter prefix to every container in accordance with International Standardization Organization (“ISO”) standard 6346 (Freight container coding, identification and marking) there is no internationally recognized system of recordation or filing to evidence our title to containers nor is there an internationally recognized system for filing security interest in containers. While this has not historically had a material impact on our intermodal assets, the lack of a title recordation system with respect to containers could result in disputes with lessees, end-users, or third parties, such as creditors of end-users, who may improperly claim ownership of the containers, especially in countries with less developed legal systems.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international operations involve additional risks, which could adversely affect our business, prospects, financial condition, results of operations and cash flows.</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and our customers operate in various regions throughout the world. As a result, we may, directly or indirectly, be exposed to political and other uncertainties, including risks of:</w:t>
      </w:r>
    </w:p>
    <w:p>
      <w:pPr>
        <w:spacing w:after="0" w:line="196"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terrorist acts, armed hostilities, war and civil disturbances;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acts of piracy;</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significant governmental influence over many aspects of local economies;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seizure, nationalization or expropriation of property or equipment;</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repudiation, nullification, modification or renegotiation of contracts;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limitations on insurance coverage, such as war risk coverage, in certain areas;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political unrest;</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foreign and U.S. monetary policy and foreign currency fluctuations and devaluations;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inability to repatriate income or capital;</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complications associated with repairing and replacing equipment in remote locations;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import-export quotas, wage and price controls, imposition of trade barriers;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U.S. and foreign sanctions or trade embargoes;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restrictions on the transfer of funds into or out of countries in which we operate;</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compliance with U.S. Treasury sanctions regulations restricting doing business with certain nations or specially designated nationals;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regulatory or financial requirements to comply with foreign bureaucratic actions;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compliance with applicable anti-corruption laws and regulations;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changing taxation policies, including confiscatory taxation;</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other forms of government regulation and economic conditions that are beyond our control; and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governmental corruption.</w:t>
      </w:r>
    </w:p>
    <w:p>
      <w:pPr>
        <w:spacing w:after="0" w:line="22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Any of these or other risks could adversely impact our customers’ international operations which could materially adversely impact our operating results and growth opportunities.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581" w:right="239" w:bottom="1440" w:gutter="0" w:footer="0" w:header="0"/>
        </w:sectPr>
      </w:pPr>
    </w:p>
    <w:bookmarkStart w:id="80" w:name="page81"/>
    <w:bookmarkEnd w:id="80"/>
    <w:p>
      <w:pPr>
        <w:jc w:val="both"/>
        <w:spacing w:after="0" w:line="286" w:lineRule="auto"/>
        <w:rPr>
          <w:sz w:val="20"/>
          <w:szCs w:val="20"/>
          <w:color w:val="auto"/>
        </w:rPr>
      </w:pPr>
      <w:r>
        <w:rPr>
          <w:rFonts w:ascii="Arial" w:cs="Arial" w:eastAsia="Arial" w:hAnsi="Arial"/>
          <w:sz w:val="16"/>
          <w:szCs w:val="16"/>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20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we have and may continue to acquire assets located in emerging markets throughout the world, we may be exposed to any one or a combination of these risks, which could adversely affect our operating results.</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are actively evaluating acquisitions of assets and operating companies in other transportation and infrastructure sectors which could result in additional risks and uncertainties for our business and unexpected regulatory compliance costs.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While our existing portfolio consists of assets in the aviation, energy, intermodal transport and rail sectors, we are actively evaluating acquisitions of assets and operating companies in other sectors of the transportation and transportation-related infrastructure and equipment markets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rail, airport and seaport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139"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i w:val="1"/>
          <w:iCs w:val="1"/>
          <w:color w:val="auto"/>
        </w:rPr>
        <w:t>The agreements governing our indebtedness place restrictions on us and our subsidiaries, reducing operational flexibility and creating default risks.</w:t>
      </w:r>
    </w:p>
    <w:p>
      <w:pPr>
        <w:spacing w:after="0" w:line="200" w:lineRule="exact"/>
        <w:rPr>
          <w:sz w:val="20"/>
          <w:szCs w:val="20"/>
          <w:color w:val="auto"/>
        </w:rPr>
      </w:pP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agreements governing our indebtedness, including the indenture governing our Senior Notes and the Revolving Credit Facility, contain covenants that place restrictions on us and our subsidiaries. The indentures governing our Senior Notes and the Revolving Credit Facility restrict among other things, our and certain of our subsidiaries’ ability to:</w:t>
      </w:r>
    </w:p>
    <w:p>
      <w:pPr>
        <w:spacing w:after="0" w:line="147"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merge, consolidate or transfer all, or substantially all, of our assets;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incur additional debt or issue preferred shares;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make certain investments or acquisitions;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create liens on our or our subsidiaries’ assets;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sell assets;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581" w:right="239" w:bottom="1440" w:gutter="0" w:footer="0" w:header="0"/>
        </w:sectPr>
      </w:pPr>
    </w:p>
    <w:bookmarkStart w:id="81" w:name="page82"/>
    <w:bookmarkEnd w:id="81"/>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make distributions on or repurchase our shares;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enter into transactions with affiliates; and</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create dividend restrictions and other payment restrictions that affect our subsidiaries.</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These covenants could impair our ability to grow our business, take advantage of attractive business opportunities or successfully compete.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Terrorist attacks could negatively impact our operations and our profitability and may expose us to liability and reputational damage.</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ports where our containers and vessels travel, or our physical facilities or those of our customers. In addition, it is also possible that our assets could be involved in a terrorist attack.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Because we are a recently formed company with a limited operating history, our historical financial and operating data may not be representative of our future results.</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are a recently formed limited liability company with a limited operating history. Our results of operations, financial condition and cash flows reflected in our consolidated financial statements may not be indicative of the results we would have achieved if we were a public company or results that may be achieved in future periods. Consequently, there can be no assurance that we will be able to generate sufficient income to pay our operating expenses and make satisfactory distributions to our shareholders, or any distributions at all. Further, we only make acquisitions identified by our Manager. As a result of this concentration of assets, our financial performance depends on the performance of our Manager in identifying target assets, the availability of opportunities falling within our asset acquisition strategy and the performance of those underlying assets.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leases and charters require payments in U.S. dollars, but many of our customers operate in other currencies; if foreign currencies devalue against the U.S. dollar, our lessees or charterers may be unable to meet their payment obligations to us in a timely manner.</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current leases and charters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obtain sufficient capital would constrain our ability to grow our portfolio and to increase our revenues.</w:t>
      </w:r>
    </w:p>
    <w:p>
      <w:pPr>
        <w:spacing w:after="0" w:line="24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547" w:right="239" w:bottom="1440" w:gutter="0" w:footer="0" w:header="0"/>
        </w:sectPr>
      </w:pPr>
    </w:p>
    <w:bookmarkStart w:id="82" w:name="page83"/>
    <w:bookmarkEnd w:id="82"/>
    <w:p>
      <w:pPr>
        <w:spacing w:after="0" w:line="260" w:lineRule="auto"/>
        <w:rPr>
          <w:sz w:val="20"/>
          <w:szCs w:val="20"/>
          <w:color w:val="auto"/>
        </w:rPr>
      </w:pPr>
      <w:r>
        <w:rPr>
          <w:rFonts w:ascii="Arial" w:cs="Arial" w:eastAsia="Arial" w:hAnsi="Arial"/>
          <w:sz w:val="16"/>
          <w:szCs w:val="16"/>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196"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meet the terms and maturities of our existing and future debt facilities;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purchase new assets or refinance existing assets;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fund our working capital needs and maintain adequate liquidity; and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finance other growth initiatives.</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 If we are deemed an investment company under the Investment Company Act, it could have a material adverse effect on our business, prospects, financial condition, results of operations and cash flows.”</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Repauno site and Long Ridge property are subject to environmental laws and regulations that may expose us to significant costs and liabilities.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Repauno site is subject to ongoing environmental investigation and remediation by the former owner of the property related to historic industrial operations. The former owner is responsible for completion of this work, and we benefit from a related indemnity and insurance policy. If the former owner fails to fulfill its investigation and remediation, or indemnity obligations and the related insurance, which are subject to limits and conditions, fail to cover our costs, we could incur losses. Redevelopment of the property in those areas undergoing investigation and remediation must await state environmental agency confirmation that no further investigation or remediation is required before redevelopment activities can occur in such areas of the property. Therefore, any delay in the former owner’s completion of the environmental work or receipt of related approvals in an area of the property could delay our redevelopment activities. In addition,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601" w:right="239" w:bottom="1440" w:gutter="0" w:footer="0" w:header="0"/>
        </w:sectPr>
      </w:pPr>
    </w:p>
    <w:bookmarkStart w:id="83" w:name="page84"/>
    <w:bookmarkEnd w:id="83"/>
    <w:p>
      <w:pPr>
        <w:jc w:val="both"/>
        <w:spacing w:after="0" w:line="247" w:lineRule="auto"/>
        <w:rPr>
          <w:sz w:val="20"/>
          <w:szCs w:val="20"/>
          <w:color w:val="auto"/>
        </w:rPr>
      </w:pPr>
      <w:r>
        <w:rPr>
          <w:rFonts w:ascii="Arial" w:cs="Arial" w:eastAsia="Arial" w:hAnsi="Arial"/>
          <w:sz w:val="16"/>
          <w:szCs w:val="16"/>
          <w:color w:val="auto"/>
        </w:rPr>
        <w:t>In connection with our acquisition of Long Ridge, the former owner of the property is obligated to perform certain post-closing demolition activities, remove specified containers, equipment and structures and conduct investigation, removal, cleanup and decontamination related thereto. In addition, the former owner is responsible for ongoing environmental remediation related to historic industrial operations on and off Long Ridge. Pursuant to an order issued by the Ohio Environmental Protection Agency (“Ohio EPA”), the former owner is responsible for completing the removal and off-site disposal of electrolytic pots associated with the former use of Long Ridge as an aluminum reduction plant. In addition, Long Ridge is located adjacent to the former Ormet Corporation Superfund site (the “Ormet site”), which is owned and operated by the former owner of Long Ridge. Pursuant to an order with the United States Environmental Protection Agency (“US EPA”), the former owner is obligated to pump groundwater that has been impacted by the adjacent Ormet site beneath our site and discharge it to the Ohio River and monitor the groundwater annually. Long Ridge is also subject to an environmental covenant related to the adjacent Ormet site that, inter alia, restricts the use of groundwater beneath our site and requires US EPA consent for activities on Long Ridge that could disrupt the groundwater monitoring or pumping. The former owner is contractually obligated to complete its regulatory obligations on Long Ridge and we benefit from a related indemnity and insurance policy. If the former owner fails to fulfill its demolition, removal, investigation, remediation, monitoring, or indemnity obligations, and if the related insurance, which is subject to limits and conditions, fails to cover our costs, we could incur losses. Redevelopment of the property in those areas undergoing investigation and remediation pursuant to the Ohio EPA order must await state environmental agency confirmation that no further investigation or remediation is required before redevelopment activities can occur in such area of the property. Therefore, any delay in the former owner’s completion of the environmental work or receipt of related approvals or consents from Ohio EPA or US EPA could delay our redevelopment activities.</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a portion of Long Ridge is proposed for redevelopment as a combined cycle gas-fired electric generating facility. Although environmental investigations in that portion of the property have not identified material impacts to soils or groundwater that reasonably would be expected to prevent or delay redevelopment, impacted materials could be encountered during construction that require special handling and/or result in delays to the project. In addition, the construction of an electric generating plant will require environmental permits and approvals from federal, state and local environmental agencies.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Moreover, new, stricter environmental laws, regulations or enforcement policies, including those imposed in response to climate change, could be implemented that significantly increase our compliance costs, or require us to adopt more costly methods of operation. If we are not able to transform Repauno or Long Ridge into hubs for industrial and energy development in a timely manner, their future prospects could be materially and adversely affected, which may have a material adverse effect on our business, operating results and financial condition.</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It is impossible to predict whether third parties will allege liability related to our purchase of the Montreal, Maine and Atlantic Railway (“MM&amp;A”) assets out of bankruptcy, including possible claims related to the July 6, 2013 train derailment near Lac-Mégantic, Quebec.</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July 6, 2013, prior to our ownership, a train carrying crude oil on the MM&amp;A line derailed near Lac-Mégantic, Quebec which resulted in fires that claimed the lives of 47 individuals (the “Incident”). Approximately two million gallons of crude oil were either burned or released into the environment, including into the nearby Chaudière River. Prior to our acquisition of the MM&amp;A assets in May and June 2014, we received written assurance from the Quebec Ministry of Sustainable Development, Environment, Wildlife and Parks that it would take full responsibility for the environmental clean-up and that it would not hold CMQR liable for any environmental damages or costs relating to clean-up or restoration of the affected area as a result of the Incident. While we don’t anticipate any liability relating to the Incident, including liability for claims alleging personal injury, property damage or natural resource damages, there can be no assurance that such claims relating to the Incident will not arise in the future. No claims have been made or threatened against us as of September 30, 2018 and we do not anticipate any expenditures relating to environmental clean-up (including impacts to the Chaudière River) as a result of the Incident.</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600" w:right="239" w:bottom="1440" w:gutter="0" w:footer="0" w:header="0"/>
        </w:sectPr>
      </w:pPr>
    </w:p>
    <w:bookmarkStart w:id="84" w:name="page85"/>
    <w:bookmarkEnd w:id="84"/>
    <w:p>
      <w:pPr>
        <w:jc w:val="both"/>
        <w:spacing w:after="0" w:line="250" w:lineRule="auto"/>
        <w:rPr>
          <w:sz w:val="20"/>
          <w:szCs w:val="20"/>
          <w:color w:val="auto"/>
        </w:rPr>
      </w:pPr>
      <w:r>
        <w:rPr>
          <w:rFonts w:ascii="Arial" w:cs="Arial" w:eastAsia="Arial" w:hAnsi="Arial"/>
          <w:sz w:val="16"/>
          <w:szCs w:val="16"/>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Manager</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officers and other individuals who perform services for us (other than Jefferson and CMQR employees) are employees of our Manager or other Fortress entities.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entities whose compensation is partially or entirely dependent upon the amount of management fees earned by our Manager or the incentive allocations distributed to the General Partner and whose continued service is not guaranteed, and the loss of such personnel or services could materially adversely affect our operations. We do not have key man insurance for any of the personnel of the Manager or other Fortress entities that are key to us. An inability to find a suitable replacement for any departing employee of our Manager or Fortress entities on a timely basis could materially adversely affect our ability to operate and grow our business.</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 principal, Co-Chief Executive Officer and a member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December 27, 2017, SoftBank announced that it completed the SoftBank Merger. In connection with the SoftBank Merger, Fortress operates within SoftBank as an independent business headquartered in New York. There can be no assurance that the SoftBank Merger will not have an impact on us or our relationship with the Manager.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conflicts of interest in our relationship with our Manager.</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Management Agreement, the Partnership Agreement and our operating agreement were negotiated prior to our IPO and among affiliated parties, and their terms, including fees payable, may not be as favorable to us as if they had been negotiated after our IPO with an unaffiliated third-party.</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There are conflicts of interest inherent in our relationship with our Manager insofar as our Manager and its affiliates - including investment funds, private investment funds, or businesses managed by our Manager, including Seacastle Ships Holdings Inc., Trac Intermodal and Florida East Coast Industries - invest in transportation and transportation-related infrastructure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we have some of the same directors and officers as Seacastle Ships Holdings Inc. and Trac Intermodal. Although we have the same Manager, we may compete with entities affiliated with our Manager or Fortress, including Seacastle Ships Holdings Inc. and Trac Intermodal, for certain target assets. From time to time, affiliates of Fortress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may co-invest with these funds in transportation and transportation-related infrastructure assets. Fortress funds generally have a fee structure similar to ours, but the fees actually paid will vary depending on the size, terms and performance of each fund.</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601" w:right="239" w:bottom="1440" w:gutter="0" w:footer="0" w:header="0"/>
        </w:sectPr>
      </w:pPr>
    </w:p>
    <w:bookmarkStart w:id="85" w:name="page86"/>
    <w:bookmarkEnd w:id="85"/>
    <w:p>
      <w:pPr>
        <w:jc w:val="both"/>
        <w:spacing w:after="0" w:line="248" w:lineRule="auto"/>
        <w:rPr>
          <w:sz w:val="20"/>
          <w:szCs w:val="20"/>
          <w:color w:val="auto"/>
        </w:rPr>
      </w:pPr>
      <w:r>
        <w:rPr>
          <w:rFonts w:ascii="Arial" w:cs="Arial" w:eastAsia="Arial" w:hAnsi="Arial"/>
          <w:sz w:val="16"/>
          <w:szCs w:val="16"/>
          <w:color w:val="auto"/>
        </w:rPr>
        <w:t>Our Management Agreement generally does not limit or restrict our Manager or its affiliates from engaging in any business or managing other pooled investment vehicles that invest in assets that meet our asset acquisition objectives. Our Manager intends to engage in additional transportation and infrastructure related management and other investment opportunities in the future, which may compete with us for investments or result in a change in our current investment strategy. In addition, our operating agreement provides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including Seacastle Ships Holdings Inc., Trac Intermodal and Florida East Coast Industries,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Actual, potential or perceived conflicts have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21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structure of our Manager’s and the General Partner’s compensation arrangements may have unintended consequences for us. We have agreed to pay our Manager a management fee and the General Partner is entitled to receive incentive allocations from Holdco that are each based on different measures of performance. Consequently, there may be conflicts in the incentives of our Manager to generate attractive risk-adjusted returns for us. In addition, because the General Partner and our Manager are both affiliates of Fortress, the Income Incentive Allocation paid to the General Partner may cause our Manager to place undue emphasis on the maximization of earnings, including through the use of leverage, at the expense of other objectives, such as preservation of capital, to achieve higher incentive allocations. Investments with higher yield potential are generally riskier or more speculative than investments with lower yield potential. This could result in increased risk to the value of our portfolio of assets and our common shares.</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Our directors have approved a broad asset acquisition strategy for our Manager and do not approve each acquisition we make at the direction of our Manager. In addition, we may change our strategy without a shareholder vote, which may result in our acquiring assets that are different, riskier or less profitable than our current assets.</w:t>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does not review or pre-approve each proposed acquisition or our related financing arrangements. In addition, in conducting periodic reviews, the directors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common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601" w:right="239" w:bottom="1440" w:gutter="0" w:footer="0" w:header="0"/>
        </w:sectPr>
      </w:pPr>
    </w:p>
    <w:bookmarkStart w:id="86" w:name="page87"/>
    <w:bookmarkEnd w:id="86"/>
    <w:p>
      <w:pPr>
        <w:jc w:val="both"/>
        <w:ind w:right="20"/>
        <w:spacing w:after="0" w:line="260" w:lineRule="auto"/>
        <w:rPr>
          <w:sz w:val="20"/>
          <w:szCs w:val="20"/>
          <w:color w:val="auto"/>
        </w:rPr>
      </w:pPr>
      <w:r>
        <w:rPr>
          <w:rFonts w:ascii="Arial" w:cs="Arial" w:eastAsia="Arial" w:hAnsi="Arial"/>
          <w:sz w:val="16"/>
          <w:szCs w:val="16"/>
          <w:color w:val="auto"/>
        </w:rPr>
        <w:t>we enter into with affiliates. Our failure to accurately assess the risks inherent in new asset categories or the financing risks associated with such assets could adversely affect our results of operations and our financial condition.</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Manager will not be liable to us for any acts or omissions performed in accordance with the Management Agreement, including with respect to the performance of our assets.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employees, sub-advisers and any other person controlling or Manager, will not be liable to us or any of our subsidiaries, to our board of directors, or our or any subsidiary’s shareholders or partners for any acts or omissions by our Manager, its members, managers, officers, employees, sub-advisers and any other person controlling or Manager, except liability to us,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Taxation</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Shareholders may be subject to U.S. federal income tax on their share of our taxable income, regardless of whether they receive any cash dividends from us.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 long as we would not be required to register as an investment company under the Investment Company Act of 1940 if we were a U.S. Corporation and 90% of our gross income for each taxable year constitutes “qualifying income” within the meaning of the Internal Revenue Code of 1986, as amended (the “Code”), on a continuing basis, FTAI will be treated, for U.S. federal income tax purposes, as a partnership and not as an association or publicly traded partnership taxable as a corporation. Shareholders may be subject to U.S. federal, state, local and possibly, in some cases, non-U.S. income taxation on their allocable share of our items of income, gain, loss, deduction and credit (including our allocable share of those items of Holdco or any other entity in which we invest that is treated as a partnership or is otherwise subject to tax on a flow through basis) for each of our taxable years ending with or within their taxable year, regardless of whether they receive cash dividends from us. Shareholders may not receive cash dividends equal to their allocable share of our net taxable income or even the tax liability that results from that income.</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certain of our holdings, including holdings, if any, in a Controlled Foreign Corporation (“CFC”) may produce taxable income prior to our receipt of cash relating to such income, and shareholders subject to U.S. federal income tax will be required to take such income into account in determining their taxable income.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New U.S. tax legislation could adversely affect us and our shareholders.</w:t>
      </w:r>
    </w:p>
    <w:p>
      <w:pPr>
        <w:spacing w:after="0" w:line="24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December 22, 2017, legislation referred to as the “Tax Cuts and Jobs Act” (the “TCJA”) was signed into law. The TCJA is generally effective for taxable years beginning after December 31, 2017. The TCJA includes significant amendments to the Code, including amendments that significantly change the taxation of individuals and business entities, including the taxation of offshore earnings and the deductibility of interest. Some of the amendments could adversely affect our business and financial condition and the value of our common shares.</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Although we are currently evaluating the impact of the TCJA on our business, significant uncertainty exists with respect to how the TCJA will affect our business. Some of this uncertainty will not be resolved until clarifying Treasury regulations are promulgated or other relevant authoritative guidance is published.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601" w:right="239" w:bottom="1440" w:gutter="0" w:footer="0" w:header="0"/>
        </w:sectPr>
      </w:pPr>
    </w:p>
    <w:bookmarkStart w:id="87" w:name="page88"/>
    <w:bookmarkEnd w:id="87"/>
    <w:p>
      <w:pPr>
        <w:spacing w:after="0"/>
        <w:rPr>
          <w:sz w:val="20"/>
          <w:szCs w:val="20"/>
          <w:color w:val="auto"/>
        </w:rPr>
      </w:pPr>
      <w:r>
        <w:rPr>
          <w:rFonts w:ascii="Arial" w:cs="Arial" w:eastAsia="Arial" w:hAnsi="Arial"/>
          <w:sz w:val="16"/>
          <w:szCs w:val="16"/>
          <w:color w:val="auto"/>
        </w:rPr>
        <w:t>Prospective investors should consult their tax advisors about the TCJA and its potential impact before investing in our common shares.</w:t>
      </w:r>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Under the TCJA, shareholders that are Non-U.S. Holders (defined below) could be subject to U.S. federal income tax, including a 10% withholding tax, on the disposition of our common shares.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If the Internal Revenue Service (the “IRS”) were to determine that we, Holdco, or any other entity in which we invest that is subject to tax on a flow-through basis, is engaged in a U.S. trade or business for U.S. federal income tax purposes, any gain recognized by a foreign transferor on the sale, exchange or other disposition of our common shares would generally be treated as “effectively connected” with such trade or business to the extent it does not exceed the effectively connected gain that would be allocable to the transferor if we sold all of our assets at their fair market value as of the date of the transferor’s disposition. Under the TCJA, any such gain that is treated as effectively connected will generally be subject to U.S. federal income tax. In addition, the transferee of the common shares or the applicable withholding agent would be required to deduct and withhold a tax equal to 10% of the amount realized by the transferor on the disposition, which would include an allocable portion of our liabilities and would therefore generally exceed the amount of transferred cash received by transferor in the disposition, unless the transferor provides an IRS Form W-9 or an affidavit stating the transferor’s taxpayer identification number and that the transferor is not a foreign person. If the transferee fails to properly withhold such tax, we would be required to deduct and withhold from distributions to the transferee a tax in an amount equal to the amount the transferee failed to withhold, plus interest. Although we do not believe that we are currently directly engaged in a U.S. trade or business, we are not required to manage our operations in a manner that is intended to avoid the conduct of a U.S. trade or business.</w:t>
      </w:r>
    </w:p>
    <w:p>
      <w:pPr>
        <w:spacing w:after="0" w:line="200" w:lineRule="exact"/>
        <w:rPr>
          <w:sz w:val="20"/>
          <w:szCs w:val="20"/>
          <w:color w:val="auto"/>
        </w:rPr>
      </w:pP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withholding requirements with respect to the disposition of an interest in a publicly traded partnership are currently suspended and will remain suspended until Treasury regulations are promulgated or other relevant authoritative guidance is issued. Future guidance on the implementation of these requirements will be applicable on a prospective basis.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gain or loss on a sale or other disposition of our common shares could be more or less than expected.</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a sale of our common shares by a shareholder is taxable in the United States, the shareholder will recognize gain or loss equal to the difference between the amount realized by such shareholder in the sale and such shareholder’s adjusted tax basis in those shares. A shareholder’s adjusted tax basis in the shares at the time of sale will generally be lower than the shareholder’s original tax basis in the shares to the extent that prior distributions to such shareholder exceed the total taxable income allocated to such shareholder. A shareholder may therefore recognize a gain in a sale of our common shares if the shares are sold at a price that is less than their original cost. A portion of the amount realized, whether or not representing gain, may be treated as ordinary income to such shareholder.</w:t>
      </w:r>
    </w:p>
    <w:p>
      <w:pPr>
        <w:spacing w:after="0" w:line="3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ability to make distributions depends on our receiving sufficient cash distributions from our subsidiaries, and we cannot assure our shareholders that we will be able to make cash distributions to them in amounts that are sufficient to fund their tax liabilities.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subsidiaries may be subject to local taxes in each of the relevant territories and jurisdictions in which they operate, including taxes on income, profits or gains and withholding taxes. As a result, our funds available for distribution are indirectly reduced by such taxes, and the post-tax return to our shareholders is similarly reduced by such taxes.</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general, a shareholder that is subject to U.S. federal income tax must include in income its allocable share of FTAI’s items of income, gain, loss, deduction, and credit (including, so long as FTAI is treated as a partnership for U.S. federal income tax purposes, FTAI’s allocable share of those items of Holdco and any pass-through subsidiaries of Holdco) for each of our taxable years ending with or within such shareholder’s taxable year. However, the cash distributed to a shareholder may not be sufficient to pay the full amount of such shareholder’s tax liability in respect of its investment in us, because each shareholder’s tax liability depends on such shareholder’s particular tax situation and the tax treatment of our underlying activities or assets.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treated as a corporation for U.S. federal income tax purposes, the value of the shares could be adversely affected.</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not requested, and do not plan to request, a ruling from the IRS on our treatment as a partnership for U.S. federal income tax purposes, or on any other matter affecting us. As of the date of the consummation of our initial public offering, under then current law and assuming full compliance with the terms of our operating agreement (and other relevant documents) and based upon factual statements and representations made by us, our outside counsel opined that we will be treated as a partnership, and not as an association or a publicly traded partnership taxable as a corporation for U.S. federal income tax purposes. However, opinions of counsel are not binding upon the IRS or any court, and the IRS may challenge this conclusion and a court may sustain such a challenge. The factual representations made by us upon which our outside counsel relied relate to our organization, operation, assets, activities, income, and present and future conduct of our operations. In general, if an entity that would otherwise be classified as a partnership for U.S. federal income tax purposes is a “publicly traded partnership” (as defined in the Code) it will be nonetheless treated as a corporation for U.S. federal income tax purposes, unless the exception described below, and upon which we intend to rely, applies. A publicly traded partnership will, however, be treated as a partnership, and not as a corporation for U.S. federal income tax purposes, so long as 90% or more of its gross income for each taxable year constitutes “qualifying income” within the meaning</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601" w:right="239" w:bottom="1440" w:gutter="0" w:footer="0" w:header="0"/>
        </w:sectPr>
      </w:pPr>
    </w:p>
    <w:bookmarkStart w:id="88" w:name="page89"/>
    <w:bookmarkEnd w:id="88"/>
    <w:p>
      <w:pPr>
        <w:jc w:val="both"/>
        <w:ind w:right="20"/>
        <w:spacing w:after="0" w:line="260" w:lineRule="auto"/>
        <w:rPr>
          <w:sz w:val="20"/>
          <w:szCs w:val="20"/>
          <w:color w:val="auto"/>
        </w:rPr>
      </w:pPr>
      <w:r>
        <w:rPr>
          <w:rFonts w:ascii="Arial" w:cs="Arial" w:eastAsia="Arial" w:hAnsi="Arial"/>
          <w:sz w:val="16"/>
          <w:szCs w:val="16"/>
          <w:color w:val="auto"/>
        </w:rPr>
        <w:t>of the Code and it is not required to register as an investment company under the Investment Company Act of 1940. We refer to this exception as the “Qualifying Income Exception.”</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Qualifying income generally includes dividends, interest, capital gains from the sale or other disposition of stocks and securities and certain other forms of investment income. A substantial portion of our income consists of “Subpart F” income (which includes rent and other types of passive income) derived from CFCs. While we believe that such income constitutes qualifying income, no assurance can be given that the IRS will agree with such position. We also believe that our return from investments will include interest, dividends, capital gains and other types of qualifying income, but no assurance can be given as to the types of income that will be earned in any given year.</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we fail to satisfy the Qualifying Income Exception, we would be required to pay U.S. federal income tax at regular corporate rates on our income. Although the TCJA reduced regular corporate rates from 35% to 21%, our failure to qualify as a partnership for U.S. federal income tax purposes could nevertheless adversely affect our business, operating results and financial condition. In addition, we would likely be liable for state and local income and/or franchise taxes on our income. Finally, distributions of cash to shareholders would constitute qualified dividend income taxable to such shareholders to the extent of our earnings and profits and would not be deductible by us. Taxation of us as a publicly traded partnership taxable as a corporation could result in a material adverse effect on our cash flow and the after-tax returns for shareholders and thus could result in a substantial reduction in the value of our common shares.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Shareholders that are not U.S. persons should also anticipate being required to file U.S. tax returns and may be required to pay U.S. tax solely on account of owning our common shares.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light of our intended investment activities, we may be, or may become, engaged in a U.S. trade or business for U.S. federal income tax purposes, in which case some portion of our income would be treated as effectively connected income with respect to non-U.S. persons. Moreover, we anticipate that, in the future, we will sell interests in U.S. real holding property corporations (each a “USRPHC”) and therefore be deemed to be engaged in a U.S. trade or business at such time. If we were to realize gain from the sale or other disposition of a U.S. real property interest (including a USRPHC) or were otherwise engaged in a U.S. trade or business, non-U.S. persons generally would be required to file U.S. federal income tax returns and would be subject to U.S. federal withholding tax on their allocable share of the effectively connected income on gain at the highest marginal U.S. federal income tax rates applicable to ordinary income. Non-U.S. persons that are corporations may also be subject to a branch profits tax on their allocable share of such income. Non-U.S. persons should anticipate being required to file U.S. tax returns and may be required to pay U.S. tax solely on account of owning our common shares.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Non-U.S. persons that hold (or are deemed to hold) more than 5% of our common shares (or held, or were deemed to hold, more than 5% of our common shares) may be subject to U.S. federal income tax upon the disposition of some or all their common shares.</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a non-U.S. person held more than 5% of our common shares at any time during the 5-year period preceding such non-U.S. person’s disposition of our common shares, and we were considered a USRPHC (determined as if we were a U.S. corporation) at any time during such 5-year period because of our current or previous ownership of U.S. real property interests above a certain threshold, such non-U.S. person may be subject to U.S. tax on such disposition of our common shares (and may have a U.S. tax return filing obligation).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Tax-exempt shareholders may face certain adverse U.S. tax consequences from owning our common shares.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not required to manage our operations in a manner that would minimize the likelihood of generating income that would constitute “unrelated business taxable income” (“UBTI”) to the extent allocated to a tax-exempt shareholder. Although we expect to invest through subsidiaries that are treated as corporations for U.S. federal income tax purposes and such corporate investments would generally not result in an allocation of UBTI to a shareholder on account of the activities of those subsidiaries, we may not invest through corporate subsidiaries in all cases. Moreover, UBTI also includes income attributable to debt-financed property and we are not prohibited from incurring debt to finance our investments, including investments in subsidiaries. Furthermore, we are not prohibited from being (or causing a subsidiary to be) a guarantor of loans made to a subsidiary. If we (or certain of our subsidiaries) were treated as the borrower for U.S. tax purposes on account of those guarantees, some or all of our investments could be considered debt-financed property. The potential for income to be characterized as UBTI could make our common shares an unsuitable investment for a tax-exempt entity. Tax-exempt shareholders are urged to consult their tax advisors regarding the tax consequences of an investment in common shares.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hold or acquire certain investments through an entity classified as a CFC for U.S. federal income tax purposes.</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Many of our investments are in non-U.S. corporations or are held through a non-U.S. subsidiary that is classified as a corporation for U.S. federal income tax purposes. Many of these entities are CFCs for U.S. federal income tax purposes. U.S. Holders indirectly owning an interest in a CFC may experience adverse U.S. tax consequences.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600" w:right="239" w:bottom="1440" w:gutter="0" w:footer="0" w:header="0"/>
        </w:sectPr>
      </w:pPr>
    </w:p>
    <w:bookmarkStart w:id="89" w:name="page90"/>
    <w:bookmarkEnd w:id="89"/>
    <w:p>
      <w:pPr>
        <w:jc w:val="both"/>
        <w:spacing w:after="0" w:line="259" w:lineRule="auto"/>
        <w:rPr>
          <w:sz w:val="20"/>
          <w:szCs w:val="20"/>
          <w:color w:val="auto"/>
        </w:rPr>
      </w:pPr>
      <w:r>
        <w:rPr>
          <w:rFonts w:ascii="Arial" w:cs="Arial" w:eastAsia="Arial" w:hAnsi="Arial"/>
          <w:sz w:val="16"/>
          <w:szCs w:val="16"/>
          <w:b w:val="1"/>
          <w:bCs w:val="1"/>
          <w:i w:val="1"/>
          <w:iCs w:val="1"/>
          <w:color w:val="auto"/>
        </w:rPr>
        <w:t>If substantially all of the U.S. source rental income derived from aircraft or ships used to transport passengers or cargo in international traffic (“U.S. source international transport rental income”) of any of our non-U.S. corporate subsidiaries is attributable to activities of personnel based in the United States, such subsidiary could be subject to U.S. federal income tax on a net income basis at regular tax rates, rather than at a rate of 4% on gross income, which would adversely affect our business and result in decreased funds available for distribution to our shareholders.</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that the U.S. source international transport rental income of our non-U.S. subsidiaries generally will be subject to U.S. federal income tax, on a gross-income basis at a rate not in excess of 4%. If any of our non-U.S. subsidiaries that is treated as a corporation for U.S. federal income tax purposes did not comply with certain administrative guidelines of the IRS, such that 90% or more of such subsidiary’s U.S. source international transport rental income were attributable to the activities of personnel based in the United States (in the case of bareboat leases) or from “regularly scheduled transportation” as defined in such administrative guidelines (in the case of time-charter leases), such subsidiary’s U.S. source rental income would be treated as income effectively connected with a trade or business in the United States. In such case, such subsidiary’s U.S. source international transport rental income would be subject to U.S. federal income tax at a maximum rate of 21% for taxable years beginning after December 31, 2017. In addition, such subsidiary would be subject to the U.S. federal branch profits tax on its effectively connected earnings and profits at a rate of 30%. The imposition of such taxes would adversely affect our business and would result in decreased funds available for distribution to our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subsidiaries may become subject to unanticipated tax liabilities that may have a material adverse effect on our results of operations.</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Some of our subsidiaries are subject to income, withholding or other taxes in certain non-U.S. jurisdictions by reason of their activities and operations, where their assets are used, or where the lessees of their assets (or others in possession of their assets) are located, and it is also possible that taxing authorities in any such jurisdictions could assert that our subsidiaries are subject to greater taxation than we currently anticipate. For example, a portion of certain of our non-U.S. corporate subsidiaries’ income is treated as effectively connected with a U.S. trade or business and is accordingly subject to U.S. federal income tax. It is possible that the IRS could assert that a greater portion of any such non-U.S. subsidiaries’ income is effectively connected income that should be subject to U.S. federal income tax.</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structure involves complex provisions of U.S. federal income tax law for which no clear precedent or authority may be available. Our structure also is subject to potential legislative, judicial or administrative change and differing interpretations, possibly on a retroactive basis.</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U.S. federal income tax treatment of our shareholders depends in some instances on determinations of fact and interpretations of complex provisions of U.S. federal income tax law for which no clear precedent or authority may be available. The U.S. federal income tax treatment of our common shareholders may also be modified by administrative, legislative or judicial interpretation at any time, possibly on a retroactive basis, and any such action may affect our investments and commitments that were previously made, and could adversely affect the value of our shares or cause us to change the way we conduct our business.</w:t>
      </w:r>
    </w:p>
    <w:p>
      <w:pPr>
        <w:spacing w:after="0" w:line="3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organizational documents and agreements permit the board of directors to modify our operating agreement from time to time, without the consent of shareholders, in order to address certain changes in Treasury regulations, legislation or interpretation. In some circumstances, such revisions could have a material adverse impact on some or all shareholders. Moreover, we will apply certain assumptions and conventions in an attempt to comply with applicable rules and to report income, gain, deduction, loss and credit to shareholders in a manner that reflects such shareholders’ beneficial ownership of partnership items, taking into account variation in ownership interests during each taxable year because of trading activity. However, these assumptions and conventions may not be in compliance with all aspects of applicable tax requirements. It is possible that the IRS will assert successfully that the conventions and assumptions used by us do not satisfy the technical requirements of the Code and/or Treasury regulations and could require that items of income, gain, deduction, loss or credit, including interest deductions, be adjusted, reallocated, or disallowed, in a manner that adversely affects shareholders.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could incur a significant tax liability if the IRS successfully asserts that the “anti-stapling” rules apply to our investments in our non-U.S. and U.S. subsidiaries, which would adversely affect our business and result in decreased funds available for distribution to our shareholders.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were subject to the “anti-stapling” rules of Section 269B of the Code, we would incur a significant tax liability as a result of owning more than 50% of the value of both U.S. and non-U.S. corporate subsidiaries, whose equity interests constitute “stapled interests” that may only be transferred together. If the “anti-stapling” rules applied, our non-U.S. corporate subsidiaries that are treated as corporations for U.S. federal income tax purposes would be treated as U.S. corporations, which would cause those entities to be subject to U.S. federal corporate income tax on their worldwide income. Because we intend to separately manage and operate our non-U.S. and U.S. corporate subsidiaries and structure their business activities in a manner that would allow us to dispose of such subsidiaries separately, we do not expect that the “anti-stapling” rules will apply. However, there can be no assurance that the IRS would not successfully assert a contrary position, which would adversely affect our business and result in decreased funds available for distribution to our shareholders.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581" w:right="239" w:bottom="1440" w:gutter="0" w:footer="0" w:header="0"/>
        </w:sectPr>
      </w:pPr>
    </w:p>
    <w:bookmarkStart w:id="90" w:name="page91"/>
    <w:bookmarkEnd w:id="90"/>
    <w:p>
      <w:pPr>
        <w:jc w:val="both"/>
        <w:spacing w:after="0" w:line="275" w:lineRule="auto"/>
        <w:rPr>
          <w:sz w:val="20"/>
          <w:szCs w:val="20"/>
          <w:color w:val="auto"/>
        </w:rPr>
      </w:pPr>
      <w:r>
        <w:rPr>
          <w:rFonts w:ascii="Arial" w:cs="Arial" w:eastAsia="Arial" w:hAnsi="Arial"/>
          <w:sz w:val="16"/>
          <w:szCs w:val="16"/>
          <w:b w:val="1"/>
          <w:bCs w:val="1"/>
          <w:i w:val="1"/>
          <w:iCs w:val="1"/>
          <w:color w:val="auto"/>
        </w:rPr>
        <w:t>Because we cannot match transferors and transferees of our shares, we have therefore adopted certain income tax accounting positions that may not conform with all aspects of applicable tax requirements. The IRS may challenge this treatment, which could adversely affect the value of our shares.</w:t>
      </w:r>
    </w:p>
    <w:p>
      <w:pPr>
        <w:spacing w:after="0" w:line="38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Because we cannot match transferors and transferees of our shares, we have adopted depreciation, amortization and other tax accounting positions that may not conform with all aspects of existing Treasury regulations. A successful IRS challenge to those positions could adversely affect the amount of tax benefits available to our shareholders. It also could affect the timing of these tax benefits or the amount of gain on the sale of our common shares and could have a negative impact on the value of our common shares or result in audits of and adjustments to our shareholders’ tax returns.</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generally allocate items of income, gain, loss and deduction using a monthly or other convention, whereby any such items we recognize in a given month are allocated to our shareholders as of a specified date of such month. As a result, if a shareholder transfers its common shares, it might be allocated income, gain, loss and deduction realized by us after the date of the transfer. Similarly, if a shareholder acquires additional common shares, it might be allocated income, gain, loss, and deduction realized by us prior to its ownership of such common shares. Consequently, our shareholders may recognize income in excess of cash distributions received from us, and any income so included by a shareholder would increase the basis such shareholder has in its common shares and would offset any gain (or increase the amount of loss) realized by such shareholder on a subsequent disposition of its common shares.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enacted legislation regarding U.S. federal income tax liability arising from IRS audits could adversely affect our shareholders.</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 taxable years beginning on or after January 1, 2018, we will be liable for U.S. federal income tax liability arising from an IRS audit, unless certain alternative methods are available and we elect to use them. Under the new rules, it is possible that certain shareholders or we may be liable for taxes attributable to adjustments to our taxable income with respect to tax years that closed before such shareholders owned our shares. Accordingly, this new legislation may adversely affect certain shareholders in certain cases. This differs from the prior rules, which generally provided that tax adjustments only affect the persons who were shareholders in the tax year in which the item was reported on our tax return. The changes created by the new legislation are uncertain and in many respects depend on the promulgation of future regulations or other guidance by the U.S. Treasury Department or the IRS.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Common Shares</w:t>
      </w: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i w:val="1"/>
          <w:iCs w:val="1"/>
          <w:color w:val="auto"/>
        </w:rPr>
        <w:t>The market price and trading volume of our common shares may be volatile, which could result in rapid and substantial losses for our shareholders.</w:t>
      </w:r>
    </w:p>
    <w:p>
      <w:pPr>
        <w:spacing w:after="0" w:line="200" w:lineRule="exact"/>
        <w:rPr>
          <w:sz w:val="20"/>
          <w:szCs w:val="20"/>
          <w:color w:val="auto"/>
        </w:rPr>
      </w:pPr>
    </w:p>
    <w:p>
      <w:pPr>
        <w:spacing w:after="0" w:line="2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market price of our common shares may be highly volatile and could be subject to wide fluctuations. In addition, the trading volume in our common shares may fluctuate and cause significant price variations to occur. If the market price of our common shares declines significantly, you may be unable to resell your shares at or above your purchase price, if at all. The market price of our common shares may fluctuate or decline significantly in the future. Some of the factors that could negatively affect our share price or result in fluctuations in the price or trading volume of our common shares include:</w:t>
      </w:r>
    </w:p>
    <w:p>
      <w:pPr>
        <w:spacing w:after="0" w:line="203"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shift in our investor base;</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quarterly or annual earnings, or those of other comparable companies;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investments, acquisitions or dispositions;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failure of securities analysts to cover our common shares;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changes in earnings estimates by securities analysts or our ability to meet those estimates;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operating and share price performance of other comparable companies;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overall market fluctuations;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general economic conditions; and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developments in the markets and market sectors in which we participate.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580" w:right="239" w:bottom="1440" w:gutter="0" w:footer="0" w:header="0"/>
        </w:sectPr>
      </w:pPr>
    </w:p>
    <w:bookmarkStart w:id="91" w:name="page92"/>
    <w:bookmarkEnd w:id="91"/>
    <w:p>
      <w:pPr>
        <w:jc w:val="both"/>
        <w:spacing w:after="0" w:line="253" w:lineRule="auto"/>
        <w:rPr>
          <w:sz w:val="20"/>
          <w:szCs w:val="20"/>
          <w:color w:val="auto"/>
        </w:rPr>
      </w:pPr>
      <w:r>
        <w:rPr>
          <w:rFonts w:ascii="Arial" w:cs="Arial" w:eastAsia="Arial" w:hAnsi="Arial"/>
          <w:sz w:val="16"/>
          <w:szCs w:val="16"/>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common shares.</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are required by Section 404 of the Sarbanes-Oxley Act to evaluate the effectiveness of our internal controls, and the outcome of that effort may adversely affect our results of operations, financial condition and liquidity. Because we are no longer an emerging growth company, we are subject to heightened disclosure obligations, which may impact our share price.</w:t>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a public company, we are required to comply with Section 404 (“Section 404”) of the Sarbanes-Oxley Act. Section 404 requires that we evaluate the effectiveness of our internal control over financial reporting at the end of each fiscal year and to include a management report assessing the effectiveness of our internal controls over financial reporting in our Annual Report on Form 10-K for that fiscal year. Section 404 also requires an independent registered public accounting firm to attest to, and report on, management’s assessment of our internal controls over financial reporting. Because we ceased to be an emerging growth company at the end of 2017, we were required to have our independent registered public accounting firm attest to the effectiveness of our internal controls in our Annual Report on Form 10-K for the fiscal year ended December 31, 2017. The outcome of our review and the report of our independent registered public accounting firm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If we discover a material weakness in our internal control over financial reporting, our share price could decline and our ability to raise capital could be impaired.</w:t>
      </w:r>
    </w:p>
    <w:p>
      <w:pPr>
        <w:spacing w:after="0" w:line="3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Furthermore, because we are no longer an emerging growth company, we can no longer take advantage of certain other exemptions from various SEC reporting requirements, including, but not limited to, exemptions from enhanced disclosure obligations regarding executive compensation in our periodic reports and proxy statements and the requirements of holding a non-binding advisory vote on executive compensation at our annual meeting and obtaining shareholder approval of any golden parachute payments not previously approved. Until we comply with these requirements in connection with our 2018 periodic reports, proxy statement and annual meeting of shareholders, our shareholders may not have access to certain information they deem important. Because we have previously taken advantage of each of these exemptions, we do not know if some investors will find our common shares less attractive as a result.</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Your percentage ownership in us may be diluted in the future.</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Your percentage ownership in FTAI may be diluted in the future because of equity awards granted and may be granted to our Manager pursuant to the Management Agreement and the Incentive Plan. In early 2018 we granted our Manager an option to acquire 700,000 common shares are part of the equity offering discussed in Note 15 to this Quarterly Report on Form 10-Q. In the future, upon the successful completion of additional offerings of our common shares or other equity securities (including securities issued as consideration in an acquisition), we will grant to our Manager options to purchase common shares in an amount equal to 10% of the number of common shares being sold in such offerings (or if the issuance relates to equity securities other than our common shares, options to purchase a number of common shares equal to 10% of the gross capital raised in the equity issuance divided by the fair market value of a common share as of the date of the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and any such offering or the exercise of the option in connection with such offering would cause dilution.</w:t>
      </w:r>
    </w:p>
    <w:p>
      <w:pPr>
        <w:spacing w:after="0" w:line="20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board of directors has adopted the Incentive Plan, which provides for the grant of equity-based awards, including restricted shares, stock options, stock appreciation rights, performance awards, restricted share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common shares for issuance under the Incentive Plan. As of September 30, 2018, rights relating to 725,000 of our common shares were outstanding under the Incentive Plan. In connection with an offering that closed on January 16, 2018, the number of shares reserved for issuance under the Incentive Plan will be increased in an amount equal to 700,000 common shares, which amount corresponds to the common shares subject to the option described above. In the future on the date of any equity issuance by us during the ten-year term of the Incentive Plan (including in respect of securities issued as consideration in an acquisition), the maximum number of shares available for issuance under the Plan will be increased to include an additional number of common shares equal to ten percent (10%) of either (i) the total number of common shares newly issued by us in such equity issuance or (ii) if such equity issuance relates to equity securities other than our common shares, a number of our common shares equal to 10% of (A) the gross capital raised in an equity issuance of equity securities other than common shares during the ten-year term of the Incentive Plan, divided by (B) the fair market value of a common share as of the date of such equity issuance.</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601" w:right="23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i w:val="1"/>
          <w:iCs w:val="1"/>
          <w:color w:val="auto"/>
        </w:rPr>
        <w:t>Sales or issuances of our common shares could adversely affect the market price of our common shares.</w:t>
      </w:r>
    </w:p>
    <w:p>
      <w:pPr>
        <w:spacing w:after="0" w:line="24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Sales of substantial amounts of our common shares in the public market, or the perception that such sales might occur, could adversely affect the market price of our common shares. The issuance of our common shares in connection with property, portfolio or business acquisitions or the exercise of outstanding options or otherwise could also have an adverse effect on the market price of our common shares.</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incurrence or issuance of debt, which ranks senior to our common shares upon our liquidation, and future issuances of equity or equity-related securities, which would dilute the holdings of our existing common shareholders and may be senior to our common shares for the purposes of making distributions, periodically or upon liquidation, may negatively affect the market price of our common shares.</w:t>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incurred and may in the future incur or issue debt or issue equity or equity-related securities to finance our operations, acquisitions or investments. Upon our liquidation, lenders and holders of our debt and holders of our preferred shares (if any) would receive a distribution of our available assets before common shareholders. Any future incurrence or issuance of debt would increase our interest cost and could adversely affect our results of operations and cash flows. We are not required to offer any additional equity securities to existing common shareholders on a preemptive basis. Therefore, additional issuances of common shares, directly or through convertible or exchangeable securities (including limited partnership interests in our operating partnership), warrants or options, will dilute the holdings of our existing common shareholders and such issuances, or the perception of such issuances, may reduce the market price of our common shares. Any preferred shares issued by us would likely have a preference on distribution payments, periodically or upon liquidation, which could eliminate or otherwise limit our ability to make distributions to common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common shareholders bear the risk that our future incurrence or issuance of debt or issuance of equity or equity-related securities will adversely affect the market price of our common shares.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determination of how much leverage to use to finance our acquisitions may adversely affect our return on our assets and may reduce funds available for distribution.</w:t>
      </w:r>
    </w:p>
    <w:p>
      <w:pPr>
        <w:spacing w:after="0" w:line="176"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While we currently intend to pay regular quarterly dividends to our shareholders, we may change our dividend policy at any time.</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Although we currently intend to pay regular quarterly dividends to holders of our common shares, we may change our dividend policy at any time. Our net cash provided by operating activities has been less than the amount of distributions to our shareholders. The declaration and payment of dividends to holders of our common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Our long term goal is to maintain a payout ratio of between 50-60% of funds available for distribution, with remaining amounts used primarily to fund our future acquisitions and opportunities.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 addition, pursuant to the Partnership Agreement, the General Partner will be entitled to receive incentive allocations before any amounts are distributed by us based both on our consolidated net income and capital gains income in each fiscal quarter and for each fiscal year,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in our operating agreement and Delaware law could delay or prevent a change in control.</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Provisions in our operating agreement may make it more difficult and expensive for a third party to acquire control of us even if a change of control would be beneficial to the interests of our shareholders. For example, our operating agreement provides for a staggered board, requires advance notice for proposals by shareholders and nominations, places limitations on convening shareholder meetings, and authorizes the issuance of preferred shares that could be issued by our board of directors to thwart a takeover attempt. In addition, certain provisions of Delaware law may delay or prevent a transaction that could cause a change in our control. The market price of our shares could be adversely affected to the extent that provisions of our operating agreement discourage potential takeover attempts that our shareholders may favor.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581" w:right="239" w:bottom="1440" w:gutter="0" w:footer="0" w:header="0"/>
        </w:sectPr>
      </w:pPr>
    </w:p>
    <w:bookmarkStart w:id="93" w:name="page94"/>
    <w:bookmarkEnd w:id="93"/>
    <w:p>
      <w:pPr>
        <w:jc w:val="both"/>
        <w:spacing w:after="0" w:line="286" w:lineRule="auto"/>
        <w:rPr>
          <w:sz w:val="20"/>
          <w:szCs w:val="20"/>
          <w:color w:val="auto"/>
        </w:rPr>
      </w:pPr>
      <w:r>
        <w:rPr>
          <w:rFonts w:ascii="Arial" w:cs="Arial" w:eastAsia="Arial" w:hAnsi="Arial"/>
          <w:sz w:val="16"/>
          <w:szCs w:val="16"/>
          <w:b w:val="1"/>
          <w:bCs w:val="1"/>
          <w:i w:val="1"/>
          <w:iCs w:val="1"/>
          <w:color w:val="auto"/>
        </w:rPr>
        <w:t>There are certain provisions in our operating agreement regarding exculpation and indemnification of our officers and directors that differ from the Delaware General Corporation Law (the “DGCL”) in a manner that may be less protective of the interests of our shareholders.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 in good faith, (iii) improper redemption of shares or declaration of dividend, or (iv) a transaction from which the director derived an improper personal benefit. In addition, our operating agreement provides that we indemnify our directors and officers for acts or omissions to the fullest extent provided by law.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shareholders, when compared to the DGCL, insofar as it relates to the exculpation and indemnification of our officers and directors.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a public company, we will incur additional costs and face increased demands on our management.</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a relatively new public company with shares listed on the NYSE, we need to comply with an extensive body of regulations that did not apply to us previously, including certain provisions of the Sarbanes-Oxley Act, the Dodd-Frank Wall Street Reform and Consumer Protection Act, regulations of the SEC and requirements of the NYSE. These rules and regulations increase our legal and financial compliance costs and make some activities more time-consuming and costly. For example, as a result of becoming a public company, we have independent directors and board committees. In addition, we may continue to incur additional costs associated with maintaining directors’ and officers’ liability insurance and with the termination of our status as an emerging growth company as of the end of 2017. Because we are no longer an emerging growth company, we are subject to the independent auditor attestation requirements of Section 404 of the Sarbanes-Oxley Act and enhanced disclosure obligations regarding executive compensation in our periodic reports and proxy statements. We are currently evaluating and monitoring developments with respect to these rules, which may impose additional costs on us and have a material adverse effect on our business, prospects, financial condition, results of operations and cash flows.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downgrade their recommendations regarding our common shares, our share price and trading volume could decline.</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trading market for our common shares are influenced by the research and reports that industry or securities analysts publish about us or our business. If any of the analysts who cover us downgrades our common units or publishes inaccurate or unfavorable research about our business, our common share price may decline. If analysts cease coverage of us or fail to regularly publish reports on us, we could lose visibility in the financial markets, which in turn could cause our common share price or trading volume to decline and our common shares to be less liquid.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2. Unregistered Sales of Equity Securities and Use of Proceeds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3. Defaults Upon Senior Securities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4. Mine Safety Disclosures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5. Other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581"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006EBF"/>
        </w:rPr>
        <w:t>Item 6. Exhibits</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rPr>
              <w:t>Exhibit No.</w:t>
            </w:r>
          </w:p>
        </w:tc>
        <w:tc>
          <w:tcPr>
            <w:tcW w:w="9860" w:type="dxa"/>
            <w:vAlign w:val="bottom"/>
          </w:tcPr>
          <w:p>
            <w:pPr>
              <w:ind w:left="4520"/>
              <w:spacing w:after="0"/>
              <w:rPr>
                <w:sz w:val="20"/>
                <w:szCs w:val="20"/>
                <w:color w:val="auto"/>
              </w:rPr>
            </w:pPr>
            <w:r>
              <w:rPr>
                <w:rFonts w:ascii="Arial" w:cs="Arial" w:eastAsia="Arial" w:hAnsi="Arial"/>
                <w:sz w:val="14"/>
                <w:szCs w:val="14"/>
                <w:b w:val="1"/>
                <w:bCs w:val="1"/>
                <w:color w:val="auto"/>
              </w:rPr>
              <w:t>Description</w:t>
            </w:r>
          </w:p>
        </w:tc>
      </w:tr>
      <w:tr>
        <w:trPr>
          <w:trHeight w:val="175"/>
        </w:trPr>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gridSpan w:val="2"/>
            <w:shd w:val="clear" w:color="auto" w:fill="CCEEFF"/>
          </w:tcPr>
          <w:p>
            <w:pPr>
              <w:ind w:left="20"/>
              <w:spacing w:after="0"/>
              <w:rPr>
                <w:rFonts w:ascii="Arial" w:cs="Arial" w:eastAsia="Arial" w:hAnsi="Arial"/>
                <w:sz w:val="14"/>
                <w:szCs w:val="14"/>
                <w:color w:val="0000FF"/>
                <w:w w:val="92"/>
              </w:rPr>
            </w:pPr>
            <w:hyperlink r:id="rId23">
              <w:r>
                <w:rPr>
                  <w:rFonts w:ascii="Arial" w:cs="Arial" w:eastAsia="Arial" w:hAnsi="Arial"/>
                  <w:sz w:val="14"/>
                  <w:szCs w:val="14"/>
                  <w:color w:val="0000FF"/>
                  <w:w w:val="92"/>
                </w:rPr>
                <w:t>3.</w:t>
              </w:r>
              <w:r>
                <w:rPr>
                  <w:rFonts w:ascii="Arial" w:cs="Arial" w:eastAsia="Arial" w:hAnsi="Arial"/>
                  <w:sz w:val="14"/>
                  <w:szCs w:val="14"/>
                  <w:u w:val="single" w:color="auto"/>
                  <w:color w:val="0000FF"/>
                  <w:w w:val="92"/>
                </w:rPr>
                <w:t>1</w:t>
              </w:r>
            </w:hyperlink>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Certificate of Formation (incorporated by reference to Exhibit 3.1 of Amendment No. 4 to the Company's Registration Statement on Form S-1, filed on</w:t>
            </w:r>
          </w:p>
        </w:tc>
      </w:tr>
      <w:tr>
        <w:trPr>
          <w:trHeight w:val="183"/>
        </w:trPr>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April 30, 2015).</w:t>
            </w:r>
          </w:p>
        </w:tc>
      </w:tr>
      <w:tr>
        <w:trPr>
          <w:trHeight w:val="176"/>
        </w:trPr>
        <w:tc>
          <w:tcPr>
            <w:tcW w:w="240" w:type="dxa"/>
            <w:vAlign w:val="bottom"/>
          </w:tcPr>
          <w:p>
            <w:pPr>
              <w:spacing w:after="0"/>
              <w:rPr>
                <w:sz w:val="15"/>
                <w:szCs w:val="15"/>
                <w:color w:val="auto"/>
              </w:rPr>
            </w:pPr>
          </w:p>
        </w:tc>
        <w:tc>
          <w:tcPr>
            <w:tcW w:w="220" w:type="dxa"/>
            <w:vAlign w:val="bottom"/>
            <w:gridSpan w:val="2"/>
          </w:tcPr>
          <w:p>
            <w:pPr>
              <w:ind w:left="20"/>
              <w:spacing w:after="0"/>
              <w:rPr>
                <w:rFonts w:ascii="Arial" w:cs="Arial" w:eastAsia="Arial" w:hAnsi="Arial"/>
                <w:sz w:val="14"/>
                <w:szCs w:val="14"/>
                <w:color w:val="0000FF"/>
                <w:w w:val="92"/>
              </w:rPr>
            </w:pPr>
            <w:hyperlink r:id="rId24">
              <w:r>
                <w:rPr>
                  <w:rFonts w:ascii="Arial" w:cs="Arial" w:eastAsia="Arial" w:hAnsi="Arial"/>
                  <w:sz w:val="14"/>
                  <w:szCs w:val="14"/>
                  <w:color w:val="0000FF"/>
                  <w:w w:val="92"/>
                </w:rPr>
                <w:t>3.</w:t>
              </w:r>
              <w:r>
                <w:rPr>
                  <w:rFonts w:ascii="Arial" w:cs="Arial" w:eastAsia="Arial" w:hAnsi="Arial"/>
                  <w:sz w:val="14"/>
                  <w:szCs w:val="14"/>
                  <w:u w:val="single" w:color="auto"/>
                  <w:color w:val="0000FF"/>
                  <w:w w:val="92"/>
                </w:rPr>
                <w:t>2</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Amended and Restated Limited Liability Company Agreement of Fortress Transportation and Infrastructure Investors LLC (incorporated by reference to</w:t>
            </w:r>
          </w:p>
        </w:tc>
      </w:tr>
      <w:tr>
        <w:trPr>
          <w:trHeight w:val="177"/>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Exhibit 3.2 of the Company's Current Report on Form 8-K, filed on May 21, 2015).</w:t>
            </w:r>
          </w:p>
        </w:tc>
      </w:tr>
      <w:tr>
        <w:trPr>
          <w:trHeight w:val="182"/>
        </w:trPr>
        <w:tc>
          <w:tcPr>
            <w:tcW w:w="2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20"/>
              <w:spacing w:after="0"/>
              <w:rPr>
                <w:rFonts w:ascii="Arial" w:cs="Arial" w:eastAsia="Arial" w:hAnsi="Arial"/>
                <w:sz w:val="14"/>
                <w:szCs w:val="14"/>
                <w:color w:val="0000FF"/>
                <w:w w:val="92"/>
              </w:rPr>
            </w:pPr>
            <w:hyperlink r:id="rId25">
              <w:r>
                <w:rPr>
                  <w:rFonts w:ascii="Arial" w:cs="Arial" w:eastAsia="Arial" w:hAnsi="Arial"/>
                  <w:sz w:val="14"/>
                  <w:szCs w:val="14"/>
                  <w:color w:val="0000FF"/>
                  <w:w w:val="92"/>
                </w:rPr>
                <w:t>3.</w:t>
              </w:r>
              <w:r>
                <w:rPr>
                  <w:rFonts w:ascii="Arial" w:cs="Arial" w:eastAsia="Arial" w:hAnsi="Arial"/>
                  <w:sz w:val="14"/>
                  <w:szCs w:val="14"/>
                  <w:u w:val="single" w:color="auto"/>
                  <w:color w:val="0000FF"/>
                  <w:w w:val="92"/>
                </w:rPr>
                <w:t>3</w:t>
              </w:r>
            </w:hyperlink>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First Amendment to Amended and Restated Limited Liability Company Agreement of Fortress Transportation and Infrastructure Investors LLC</w:t>
            </w:r>
          </w:p>
        </w:tc>
      </w:tr>
      <w:tr>
        <w:trPr>
          <w:trHeight w:val="183"/>
        </w:trPr>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(incorporated by reference to Exhibit 3.3 of the Company's Annual Report on Form 10-K, filed on March 10, 2016).</w:t>
            </w:r>
          </w:p>
        </w:tc>
      </w:tr>
      <w:tr>
        <w:trPr>
          <w:trHeight w:val="176"/>
        </w:trPr>
        <w:tc>
          <w:tcPr>
            <w:tcW w:w="240" w:type="dxa"/>
            <w:vAlign w:val="bottom"/>
          </w:tcPr>
          <w:p>
            <w:pPr>
              <w:spacing w:after="0"/>
              <w:rPr>
                <w:sz w:val="15"/>
                <w:szCs w:val="15"/>
                <w:color w:val="auto"/>
              </w:rPr>
            </w:pPr>
          </w:p>
        </w:tc>
        <w:tc>
          <w:tcPr>
            <w:tcW w:w="220" w:type="dxa"/>
            <w:vAlign w:val="bottom"/>
            <w:gridSpan w:val="2"/>
          </w:tcPr>
          <w:p>
            <w:pPr>
              <w:ind w:left="20"/>
              <w:spacing w:after="0"/>
              <w:rPr>
                <w:rFonts w:ascii="Arial" w:cs="Arial" w:eastAsia="Arial" w:hAnsi="Arial"/>
                <w:sz w:val="14"/>
                <w:szCs w:val="14"/>
                <w:color w:val="0000FF"/>
                <w:w w:val="92"/>
              </w:rPr>
            </w:pPr>
            <w:hyperlink r:id="rId26">
              <w:r>
                <w:rPr>
                  <w:rFonts w:ascii="Arial" w:cs="Arial" w:eastAsia="Arial" w:hAnsi="Arial"/>
                  <w:sz w:val="14"/>
                  <w:szCs w:val="14"/>
                  <w:color w:val="0000FF"/>
                  <w:w w:val="92"/>
                </w:rPr>
                <w:t>4.</w:t>
              </w:r>
              <w:r>
                <w:rPr>
                  <w:rFonts w:ascii="Arial" w:cs="Arial" w:eastAsia="Arial" w:hAnsi="Arial"/>
                  <w:sz w:val="14"/>
                  <w:szCs w:val="14"/>
                  <w:u w:val="single" w:color="auto"/>
                  <w:color w:val="0000FF"/>
                  <w:w w:val="92"/>
                </w:rPr>
                <w:t>1</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Indenture, dated March 15, 2017, between Fortress Transportation and Infrastructure Investors LLC and U.S. Bank National</w:t>
            </w:r>
          </w:p>
        </w:tc>
      </w:tr>
      <w:tr>
        <w:trPr>
          <w:trHeight w:val="160"/>
        </w:trPr>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Association, as trustee, relating to the Company’s 6.75% senior unsecured notes due 2022 (incorporated by reference to Exhibit 4.1 of the Company’s</w:t>
            </w:r>
          </w:p>
        </w:tc>
      </w:tr>
      <w:tr>
        <w:trPr>
          <w:trHeight w:val="178"/>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Current Report on Form 8-K, filed on March 15, 2017).</w:t>
            </w:r>
          </w:p>
        </w:tc>
      </w:tr>
      <w:tr>
        <w:trPr>
          <w:trHeight w:val="182"/>
        </w:trPr>
        <w:tc>
          <w:tcPr>
            <w:tcW w:w="2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20"/>
              <w:spacing w:after="0"/>
              <w:rPr>
                <w:rFonts w:ascii="Arial" w:cs="Arial" w:eastAsia="Arial" w:hAnsi="Arial"/>
                <w:sz w:val="14"/>
                <w:szCs w:val="14"/>
                <w:color w:val="0000FF"/>
                <w:w w:val="92"/>
              </w:rPr>
            </w:pPr>
            <w:hyperlink r:id="rId27">
              <w:r>
                <w:rPr>
                  <w:rFonts w:ascii="Arial" w:cs="Arial" w:eastAsia="Arial" w:hAnsi="Arial"/>
                  <w:sz w:val="14"/>
                  <w:szCs w:val="14"/>
                  <w:color w:val="0000FF"/>
                  <w:w w:val="92"/>
                </w:rPr>
                <w:t>4.</w:t>
              </w:r>
              <w:r>
                <w:rPr>
                  <w:rFonts w:ascii="Arial" w:cs="Arial" w:eastAsia="Arial" w:hAnsi="Arial"/>
                  <w:sz w:val="14"/>
                  <w:szCs w:val="14"/>
                  <w:u w:val="single" w:color="auto"/>
                  <w:color w:val="0000FF"/>
                  <w:w w:val="92"/>
                </w:rPr>
                <w:t>2</w:t>
              </w:r>
            </w:hyperlink>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Form of global note representing the Company’s 6.75% senior unsecured notes due 2022 (included in Exhibit 4.1).</w:t>
            </w:r>
          </w:p>
        </w:tc>
      </w:tr>
      <w:tr>
        <w:trPr>
          <w:trHeight w:val="75"/>
        </w:trPr>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0000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9860" w:type="dxa"/>
            <w:vAlign w:val="bottom"/>
            <w:tcBorders>
              <w:top w:val="single" w:sz="8" w:color="CCEEFF"/>
            </w:tcBorders>
            <w:shd w:val="clear" w:color="auto" w:fill="CCEEFF"/>
          </w:tcPr>
          <w:p>
            <w:pPr>
              <w:spacing w:after="0"/>
              <w:rPr>
                <w:sz w:val="6"/>
                <w:szCs w:val="6"/>
                <w:color w:val="auto"/>
              </w:rPr>
            </w:pPr>
          </w:p>
        </w:tc>
      </w:tr>
      <w:tr>
        <w:trPr>
          <w:trHeight w:val="176"/>
        </w:trPr>
        <w:tc>
          <w:tcPr>
            <w:tcW w:w="240" w:type="dxa"/>
            <w:vAlign w:val="bottom"/>
          </w:tcPr>
          <w:p>
            <w:pPr>
              <w:spacing w:after="0"/>
              <w:rPr>
                <w:sz w:val="15"/>
                <w:szCs w:val="15"/>
                <w:color w:val="auto"/>
              </w:rPr>
            </w:pPr>
          </w:p>
        </w:tc>
        <w:tc>
          <w:tcPr>
            <w:tcW w:w="220" w:type="dxa"/>
            <w:vAlign w:val="bottom"/>
            <w:gridSpan w:val="2"/>
          </w:tcPr>
          <w:p>
            <w:pPr>
              <w:ind w:left="20"/>
              <w:spacing w:after="0"/>
              <w:rPr>
                <w:rFonts w:ascii="Arial" w:cs="Arial" w:eastAsia="Arial" w:hAnsi="Arial"/>
                <w:sz w:val="14"/>
                <w:szCs w:val="14"/>
                <w:color w:val="0000FF"/>
                <w:w w:val="92"/>
              </w:rPr>
            </w:pPr>
            <w:hyperlink r:id="rId28">
              <w:r>
                <w:rPr>
                  <w:rFonts w:ascii="Arial" w:cs="Arial" w:eastAsia="Arial" w:hAnsi="Arial"/>
                  <w:sz w:val="14"/>
                  <w:szCs w:val="14"/>
                  <w:color w:val="0000FF"/>
                  <w:w w:val="92"/>
                </w:rPr>
                <w:t>4.</w:t>
              </w:r>
              <w:r>
                <w:rPr>
                  <w:rFonts w:ascii="Arial" w:cs="Arial" w:eastAsia="Arial" w:hAnsi="Arial"/>
                  <w:sz w:val="14"/>
                  <w:szCs w:val="14"/>
                  <w:u w:val="single" w:color="auto"/>
                  <w:color w:val="0000FF"/>
                  <w:w w:val="92"/>
                </w:rPr>
                <w:t>3</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First Supplemental Indenture, dated June 8, 2017, between Fortress Transportation and Infrastructure Investors LLC and U.S. Bank National Association,</w:t>
            </w:r>
          </w:p>
        </w:tc>
      </w:tr>
      <w:tr>
        <w:trPr>
          <w:trHeight w:val="160"/>
        </w:trPr>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as trustee, relating to the Company’s 6.75% senior unsecured notes due 2022 (incorporated by reference to Exhibit 4.3 of the Company’s Annual Report</w:t>
            </w:r>
          </w:p>
        </w:tc>
      </w:tr>
      <w:tr>
        <w:trPr>
          <w:trHeight w:val="178"/>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on Form 10-K, filed on March 1, 2018.</w:t>
            </w:r>
          </w:p>
        </w:tc>
      </w:tr>
      <w:tr>
        <w:trPr>
          <w:trHeight w:val="182"/>
        </w:trPr>
        <w:tc>
          <w:tcPr>
            <w:tcW w:w="2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20"/>
              <w:spacing w:after="0"/>
              <w:rPr>
                <w:rFonts w:ascii="Arial" w:cs="Arial" w:eastAsia="Arial" w:hAnsi="Arial"/>
                <w:sz w:val="14"/>
                <w:szCs w:val="14"/>
                <w:color w:val="0000FF"/>
                <w:w w:val="92"/>
              </w:rPr>
            </w:pPr>
            <w:hyperlink r:id="rId29">
              <w:r>
                <w:rPr>
                  <w:rFonts w:ascii="Arial" w:cs="Arial" w:eastAsia="Arial" w:hAnsi="Arial"/>
                  <w:sz w:val="14"/>
                  <w:szCs w:val="14"/>
                  <w:color w:val="0000FF"/>
                  <w:w w:val="92"/>
                </w:rPr>
                <w:t>4.</w:t>
              </w:r>
              <w:r>
                <w:rPr>
                  <w:rFonts w:ascii="Arial" w:cs="Arial" w:eastAsia="Arial" w:hAnsi="Arial"/>
                  <w:sz w:val="14"/>
                  <w:szCs w:val="14"/>
                  <w:u w:val="single" w:color="auto"/>
                  <w:color w:val="0000FF"/>
                  <w:w w:val="92"/>
                </w:rPr>
                <w:t>4</w:t>
              </w:r>
            </w:hyperlink>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Second Supplemental Indenture, dated August 23, 2017, between Fortress Transportation and Infrastructure Investors LLC and U.S. Bank National</w:t>
            </w:r>
          </w:p>
        </w:tc>
      </w:tr>
      <w:tr>
        <w:trPr>
          <w:trHeight w:val="160"/>
        </w:trPr>
        <w:tc>
          <w:tcPr>
            <w:tcW w:w="2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Association, as trustee, relating to the Company’s 6.75% senior unsecured notes due 2022 (incorporated by reference to Exhibit 4.1 of the Company’s</w:t>
            </w:r>
          </w:p>
        </w:tc>
      </w:tr>
      <w:tr>
        <w:trPr>
          <w:trHeight w:val="184"/>
        </w:trPr>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Report on Form 8-K, filed on August 23, 2017).</w:t>
            </w:r>
          </w:p>
        </w:tc>
      </w:tr>
      <w:tr>
        <w:trPr>
          <w:trHeight w:val="176"/>
        </w:trPr>
        <w:tc>
          <w:tcPr>
            <w:tcW w:w="240" w:type="dxa"/>
            <w:vAlign w:val="bottom"/>
          </w:tcPr>
          <w:p>
            <w:pPr>
              <w:spacing w:after="0"/>
              <w:rPr>
                <w:sz w:val="15"/>
                <w:szCs w:val="15"/>
                <w:color w:val="auto"/>
              </w:rPr>
            </w:pPr>
          </w:p>
        </w:tc>
        <w:tc>
          <w:tcPr>
            <w:tcW w:w="220" w:type="dxa"/>
            <w:vAlign w:val="bottom"/>
            <w:gridSpan w:val="2"/>
          </w:tcPr>
          <w:p>
            <w:pPr>
              <w:ind w:left="20"/>
              <w:spacing w:after="0"/>
              <w:rPr>
                <w:rFonts w:ascii="Arial" w:cs="Arial" w:eastAsia="Arial" w:hAnsi="Arial"/>
                <w:sz w:val="14"/>
                <w:szCs w:val="14"/>
                <w:color w:val="0000FF"/>
                <w:w w:val="92"/>
              </w:rPr>
            </w:pPr>
            <w:hyperlink r:id="rId30">
              <w:r>
                <w:rPr>
                  <w:rFonts w:ascii="Arial" w:cs="Arial" w:eastAsia="Arial" w:hAnsi="Arial"/>
                  <w:sz w:val="14"/>
                  <w:szCs w:val="14"/>
                  <w:color w:val="0000FF"/>
                  <w:w w:val="92"/>
                </w:rPr>
                <w:t>4.</w:t>
              </w:r>
              <w:r>
                <w:rPr>
                  <w:rFonts w:ascii="Arial" w:cs="Arial" w:eastAsia="Arial" w:hAnsi="Arial"/>
                  <w:sz w:val="14"/>
                  <w:szCs w:val="14"/>
                  <w:u w:val="single" w:color="auto"/>
                  <w:color w:val="0000FF"/>
                  <w:w w:val="92"/>
                </w:rPr>
                <w:t>5</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Third Supplemental Indenture, dated December 20, 2017, between Fortress Transportation and Infrastructure LLC and U.S. Bank National Association,</w:t>
            </w:r>
          </w:p>
        </w:tc>
      </w:tr>
      <w:tr>
        <w:trPr>
          <w:trHeight w:val="160"/>
        </w:trPr>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as trustee, relating to the Company’s 6.75% senior unsecured notes due 2022 (incorporated by reference to Exhibit 4.1 of the Company’s Current Report</w:t>
            </w:r>
          </w:p>
        </w:tc>
      </w:tr>
      <w:tr>
        <w:trPr>
          <w:trHeight w:val="178"/>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on Form 8-K filed on December 20, 2017).</w:t>
            </w:r>
          </w:p>
        </w:tc>
      </w:tr>
      <w:tr>
        <w:trPr>
          <w:trHeight w:val="182"/>
        </w:trPr>
        <w:tc>
          <w:tcPr>
            <w:tcW w:w="2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20"/>
              <w:spacing w:after="0"/>
              <w:rPr>
                <w:rFonts w:ascii="Arial" w:cs="Arial" w:eastAsia="Arial" w:hAnsi="Arial"/>
                <w:sz w:val="14"/>
                <w:szCs w:val="14"/>
                <w:color w:val="0000FF"/>
                <w:w w:val="92"/>
              </w:rPr>
            </w:pPr>
            <w:hyperlink r:id="rId31">
              <w:r>
                <w:rPr>
                  <w:rFonts w:ascii="Arial" w:cs="Arial" w:eastAsia="Arial" w:hAnsi="Arial"/>
                  <w:sz w:val="14"/>
                  <w:szCs w:val="14"/>
                  <w:color w:val="0000FF"/>
                  <w:w w:val="92"/>
                </w:rPr>
                <w:t>4.</w:t>
              </w:r>
              <w:r>
                <w:rPr>
                  <w:rFonts w:ascii="Arial" w:cs="Arial" w:eastAsia="Arial" w:hAnsi="Arial"/>
                  <w:sz w:val="14"/>
                  <w:szCs w:val="14"/>
                  <w:u w:val="single" w:color="auto"/>
                  <w:color w:val="0000FF"/>
                  <w:w w:val="92"/>
                </w:rPr>
                <w:t>6</w:t>
              </w:r>
            </w:hyperlink>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Fourth Supplemental Indenture, dated May 31, 2018, between Fortress Transportation and Infrastructure Investors LLC and U.S. Bank National</w:t>
            </w:r>
          </w:p>
        </w:tc>
      </w:tr>
      <w:tr>
        <w:trPr>
          <w:trHeight w:val="160"/>
        </w:trPr>
        <w:tc>
          <w:tcPr>
            <w:tcW w:w="2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Association, as trustee, relating to the Company’s 6.75% senior unsecured notes due 2022 (incorporated by reference to Exhibit 4.1 of the Company’s</w:t>
            </w:r>
          </w:p>
        </w:tc>
      </w:tr>
      <w:tr>
        <w:trPr>
          <w:trHeight w:val="184"/>
        </w:trPr>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Report on Form 8-K, filed May 31, 2018).</w:t>
            </w:r>
          </w:p>
        </w:tc>
      </w:tr>
      <w:tr>
        <w:trPr>
          <w:trHeight w:val="176"/>
        </w:trPr>
        <w:tc>
          <w:tcPr>
            <w:tcW w:w="240" w:type="dxa"/>
            <w:vAlign w:val="bottom"/>
          </w:tcPr>
          <w:p>
            <w:pPr>
              <w:spacing w:after="0"/>
              <w:rPr>
                <w:sz w:val="15"/>
                <w:szCs w:val="15"/>
                <w:color w:val="auto"/>
              </w:rPr>
            </w:pPr>
          </w:p>
        </w:tc>
        <w:tc>
          <w:tcPr>
            <w:tcW w:w="220" w:type="dxa"/>
            <w:vAlign w:val="bottom"/>
            <w:gridSpan w:val="2"/>
          </w:tcPr>
          <w:p>
            <w:pPr>
              <w:ind w:left="20"/>
              <w:spacing w:after="0"/>
              <w:rPr>
                <w:rFonts w:ascii="Arial" w:cs="Arial" w:eastAsia="Arial" w:hAnsi="Arial"/>
                <w:sz w:val="14"/>
                <w:szCs w:val="14"/>
                <w:color w:val="0000FF"/>
                <w:w w:val="92"/>
              </w:rPr>
            </w:pPr>
            <w:hyperlink r:id="rId32">
              <w:r>
                <w:rPr>
                  <w:rFonts w:ascii="Arial" w:cs="Arial" w:eastAsia="Arial" w:hAnsi="Arial"/>
                  <w:sz w:val="14"/>
                  <w:szCs w:val="14"/>
                  <w:color w:val="0000FF"/>
                  <w:w w:val="92"/>
                </w:rPr>
                <w:t>4.</w:t>
              </w:r>
              <w:r>
                <w:rPr>
                  <w:rFonts w:ascii="Arial" w:cs="Arial" w:eastAsia="Arial" w:hAnsi="Arial"/>
                  <w:sz w:val="14"/>
                  <w:szCs w:val="14"/>
                  <w:u w:val="single" w:color="auto"/>
                  <w:color w:val="0000FF"/>
                  <w:w w:val="92"/>
                </w:rPr>
                <w:t>7</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Indenture, dated September 18, 2018, between Fortress Transportation and Infrastructure Investors LLC and U.S. Bank National Association, as trustee,</w:t>
            </w:r>
          </w:p>
        </w:tc>
      </w:tr>
      <w:tr>
        <w:trPr>
          <w:trHeight w:val="160"/>
        </w:trPr>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relating to the Company’s 6.50% senior unsecured notes due 2025 (incorporated by reference to Exhibit 4.1 of the Company’s Current Report on Form 8-</w:t>
            </w:r>
          </w:p>
        </w:tc>
      </w:tr>
      <w:tr>
        <w:trPr>
          <w:trHeight w:val="178"/>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K, filed on September 18, 2018).</w:t>
            </w:r>
          </w:p>
        </w:tc>
      </w:tr>
      <w:tr>
        <w:trPr>
          <w:trHeight w:val="182"/>
        </w:trPr>
        <w:tc>
          <w:tcPr>
            <w:tcW w:w="2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20"/>
              <w:spacing w:after="0"/>
              <w:rPr>
                <w:rFonts w:ascii="Arial" w:cs="Arial" w:eastAsia="Arial" w:hAnsi="Arial"/>
                <w:sz w:val="14"/>
                <w:szCs w:val="14"/>
                <w:color w:val="0000FF"/>
                <w:w w:val="92"/>
              </w:rPr>
            </w:pPr>
            <w:hyperlink r:id="rId32">
              <w:r>
                <w:rPr>
                  <w:rFonts w:ascii="Arial" w:cs="Arial" w:eastAsia="Arial" w:hAnsi="Arial"/>
                  <w:sz w:val="14"/>
                  <w:szCs w:val="14"/>
                  <w:color w:val="0000FF"/>
                  <w:w w:val="92"/>
                </w:rPr>
                <w:t>4.</w:t>
              </w:r>
              <w:r>
                <w:rPr>
                  <w:rFonts w:ascii="Arial" w:cs="Arial" w:eastAsia="Arial" w:hAnsi="Arial"/>
                  <w:sz w:val="14"/>
                  <w:szCs w:val="14"/>
                  <w:u w:val="single" w:color="auto"/>
                  <w:color w:val="0000FF"/>
                  <w:w w:val="92"/>
                </w:rPr>
                <w:t>8</w:t>
              </w:r>
            </w:hyperlink>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Form of global note representing the Company’s 6.50% senior unsecured notes due 2025 (included in Exhibit 4.7).</w:t>
            </w:r>
          </w:p>
        </w:tc>
      </w:tr>
      <w:tr>
        <w:trPr>
          <w:trHeight w:val="75"/>
        </w:trPr>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0000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9860" w:type="dxa"/>
            <w:vAlign w:val="bottom"/>
            <w:tcBorders>
              <w:top w:val="single" w:sz="8" w:color="CCEEFF"/>
            </w:tcBorders>
            <w:shd w:val="clear" w:color="auto" w:fill="CCEEFF"/>
          </w:tcPr>
          <w:p>
            <w:pPr>
              <w:spacing w:after="0"/>
              <w:rPr>
                <w:sz w:val="6"/>
                <w:szCs w:val="6"/>
                <w:color w:val="auto"/>
              </w:rPr>
            </w:pPr>
          </w:p>
        </w:tc>
      </w:tr>
      <w:tr>
        <w:trPr>
          <w:trHeight w:val="176"/>
        </w:trPr>
        <w:tc>
          <w:tcPr>
            <w:tcW w:w="240" w:type="dxa"/>
            <w:vAlign w:val="bottom"/>
          </w:tcPr>
          <w:p>
            <w:pPr>
              <w:spacing w:after="0"/>
              <w:rPr>
                <w:sz w:val="15"/>
                <w:szCs w:val="15"/>
                <w:color w:val="auto"/>
              </w:rPr>
            </w:pPr>
          </w:p>
        </w:tc>
        <w:tc>
          <w:tcPr>
            <w:tcW w:w="380" w:type="dxa"/>
            <w:vAlign w:val="bottom"/>
            <w:gridSpan w:val="4"/>
          </w:tcPr>
          <w:p>
            <w:pPr>
              <w:ind w:left="20"/>
              <w:spacing w:after="0"/>
              <w:rPr>
                <w:rFonts w:ascii="Arial" w:cs="Arial" w:eastAsia="Arial" w:hAnsi="Arial"/>
                <w:sz w:val="14"/>
                <w:szCs w:val="14"/>
                <w:color w:val="0000FF"/>
              </w:rPr>
            </w:pPr>
            <w:hyperlink r:id="rId33">
              <w:r>
                <w:rPr>
                  <w:rFonts w:ascii="Arial" w:cs="Arial" w:eastAsia="Arial" w:hAnsi="Arial"/>
                  <w:sz w:val="14"/>
                  <w:szCs w:val="14"/>
                  <w:color w:val="0000FF"/>
                </w:rPr>
                <w:t>10.</w:t>
              </w:r>
              <w:r>
                <w:rPr>
                  <w:rFonts w:ascii="Arial" w:cs="Arial" w:eastAsia="Arial" w:hAnsi="Arial"/>
                  <w:sz w:val="14"/>
                  <w:szCs w:val="14"/>
                  <w:u w:val="single" w:color="auto"/>
                  <w:color w:val="0000FF"/>
                </w:rPr>
                <w:t>1</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Fourth Amended and Restated Partnership Agreement of Fortress Worldwide Transportation and Infrastructure General Partnership (incorporated by</w:t>
            </w:r>
          </w:p>
        </w:tc>
      </w:tr>
      <w:tr>
        <w:trPr>
          <w:trHeight w:val="177"/>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reference to Exhibit 10.1 of the Company's Current Report on Form 8-K, filed on May 21, 2015).</w:t>
            </w:r>
          </w:p>
        </w:tc>
      </w:tr>
      <w:tr>
        <w:trPr>
          <w:trHeight w:val="182"/>
        </w:trPr>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gridSpan w:val="4"/>
            <w:shd w:val="clear" w:color="auto" w:fill="CCEEFF"/>
          </w:tcPr>
          <w:p>
            <w:pPr>
              <w:ind w:left="20"/>
              <w:spacing w:after="0"/>
              <w:rPr>
                <w:rFonts w:ascii="Arial" w:cs="Arial" w:eastAsia="Arial" w:hAnsi="Arial"/>
                <w:sz w:val="14"/>
                <w:szCs w:val="14"/>
                <w:color w:val="0000FF"/>
              </w:rPr>
            </w:pPr>
            <w:hyperlink r:id="rId34">
              <w:r>
                <w:rPr>
                  <w:rFonts w:ascii="Arial" w:cs="Arial" w:eastAsia="Arial" w:hAnsi="Arial"/>
                  <w:sz w:val="14"/>
                  <w:szCs w:val="14"/>
                  <w:color w:val="0000FF"/>
                </w:rPr>
                <w:t>10.2</w:t>
              </w:r>
            </w:hyperlink>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and Advisory Agreement, dated as of May 20, 2015, between Fortress Transportation and Infrastructure Investors LLC and FIG LLC</w:t>
            </w:r>
          </w:p>
        </w:tc>
      </w:tr>
      <w:tr>
        <w:trPr>
          <w:trHeight w:val="183"/>
        </w:trPr>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(incorporated by reference to Exhibit 10.2 of the Company's Current Report on Form 8-K, filed on May 21, 2015).</w:t>
            </w:r>
          </w:p>
        </w:tc>
      </w:tr>
      <w:tr>
        <w:trPr>
          <w:trHeight w:val="176"/>
        </w:trPr>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380" w:type="dxa"/>
            <w:vAlign w:val="bottom"/>
            <w:gridSpan w:val="4"/>
          </w:tcPr>
          <w:p>
            <w:pPr>
              <w:ind w:left="20"/>
              <w:spacing w:after="0"/>
              <w:rPr>
                <w:rFonts w:ascii="Arial" w:cs="Arial" w:eastAsia="Arial" w:hAnsi="Arial"/>
                <w:sz w:val="14"/>
                <w:szCs w:val="14"/>
                <w:color w:val="0000FF"/>
              </w:rPr>
            </w:pPr>
            <w:hyperlink r:id="rId35">
              <w:r>
                <w:rPr>
                  <w:rFonts w:ascii="Arial" w:cs="Arial" w:eastAsia="Arial" w:hAnsi="Arial"/>
                  <w:sz w:val="14"/>
                  <w:szCs w:val="14"/>
                  <w:color w:val="0000FF"/>
                </w:rPr>
                <w:t>10.3</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Registration Rights Agreement, dated as of May 20, 2015, among Fortress Transportation and Infrastructure Investors LLC, FIG LLC and Fortress</w:t>
            </w:r>
          </w:p>
        </w:tc>
      </w:tr>
      <w:tr>
        <w:trPr>
          <w:trHeight w:val="160"/>
        </w:trPr>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Transportation and Infrastructure Master GP LLC (incorporated by reference to Exhibit 10.3 of the Company's Current Report on Form 8-K, filed on May</w:t>
            </w:r>
          </w:p>
        </w:tc>
      </w:tr>
      <w:tr>
        <w:trPr>
          <w:trHeight w:val="178"/>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21, 2015).</w:t>
            </w:r>
          </w:p>
        </w:tc>
      </w:tr>
      <w:tr>
        <w:trPr>
          <w:trHeight w:val="182"/>
        </w:trPr>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gridSpan w:val="4"/>
            <w:shd w:val="clear" w:color="auto" w:fill="CCEEFF"/>
          </w:tcPr>
          <w:p>
            <w:pPr>
              <w:ind w:left="20"/>
              <w:spacing w:after="0"/>
              <w:rPr>
                <w:rFonts w:ascii="Arial" w:cs="Arial" w:eastAsia="Arial" w:hAnsi="Arial"/>
                <w:sz w:val="14"/>
                <w:szCs w:val="14"/>
                <w:color w:val="0000FF"/>
              </w:rPr>
            </w:pPr>
            <w:hyperlink r:id="rId36">
              <w:r>
                <w:rPr>
                  <w:rFonts w:ascii="Arial" w:cs="Arial" w:eastAsia="Arial" w:hAnsi="Arial"/>
                  <w:sz w:val="14"/>
                  <w:szCs w:val="14"/>
                  <w:color w:val="0000FF"/>
                </w:rPr>
                <w:t>10.4</w:t>
              </w:r>
            </w:hyperlink>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Fortress Transportation and Infrastructure Investors LLC Nonqualified Stock Option and Incentive Award Plan (incorporated by reference to Exhibit 10.4 of</w:t>
            </w:r>
          </w:p>
        </w:tc>
      </w:tr>
      <w:tr>
        <w:trPr>
          <w:trHeight w:val="183"/>
        </w:trPr>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the Company's Current Report on Form 8-K, filed on May 21, 2015).</w:t>
            </w:r>
          </w:p>
        </w:tc>
      </w:tr>
      <w:tr>
        <w:trPr>
          <w:trHeight w:val="176"/>
        </w:trPr>
        <w:tc>
          <w:tcPr>
            <w:tcW w:w="240" w:type="dxa"/>
            <w:vAlign w:val="bottom"/>
          </w:tcPr>
          <w:p>
            <w:pPr>
              <w:spacing w:after="0"/>
              <w:rPr>
                <w:sz w:val="15"/>
                <w:szCs w:val="15"/>
                <w:color w:val="auto"/>
              </w:rPr>
            </w:pPr>
          </w:p>
        </w:tc>
        <w:tc>
          <w:tcPr>
            <w:tcW w:w="380" w:type="dxa"/>
            <w:vAlign w:val="bottom"/>
            <w:gridSpan w:val="4"/>
          </w:tcPr>
          <w:p>
            <w:pPr>
              <w:ind w:left="20"/>
              <w:spacing w:after="0"/>
              <w:rPr>
                <w:rFonts w:ascii="Arial" w:cs="Arial" w:eastAsia="Arial" w:hAnsi="Arial"/>
                <w:sz w:val="14"/>
                <w:szCs w:val="14"/>
                <w:color w:val="0000FF"/>
              </w:rPr>
            </w:pPr>
            <w:hyperlink r:id="rId37">
              <w:r>
                <w:rPr>
                  <w:rFonts w:ascii="Arial" w:cs="Arial" w:eastAsia="Arial" w:hAnsi="Arial"/>
                  <w:sz w:val="14"/>
                  <w:szCs w:val="14"/>
                  <w:color w:val="0000FF"/>
                </w:rPr>
                <w:t>10.</w:t>
              </w:r>
              <w:r>
                <w:rPr>
                  <w:rFonts w:ascii="Arial" w:cs="Arial" w:eastAsia="Arial" w:hAnsi="Arial"/>
                  <w:sz w:val="14"/>
                  <w:szCs w:val="14"/>
                  <w:u w:val="single" w:color="auto"/>
                  <w:color w:val="0000FF"/>
                </w:rPr>
                <w:t>5</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Form of director and officer indemnification agreement of Fortress Transportation and Infrastructure Investors LLC (incorporated by reference to Exhibit</w:t>
            </w:r>
          </w:p>
        </w:tc>
      </w:tr>
      <w:tr>
        <w:trPr>
          <w:trHeight w:val="177"/>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10.5 of Amendment No. 4 to the Company's Registration Statement on Form S-1, filed April 30, 2015).</w:t>
            </w:r>
          </w:p>
        </w:tc>
      </w:tr>
      <w:tr>
        <w:trPr>
          <w:trHeight w:val="182"/>
        </w:trPr>
        <w:tc>
          <w:tcPr>
            <w:tcW w:w="240" w:type="dxa"/>
            <w:vAlign w:val="bottom"/>
            <w:shd w:val="clear" w:color="auto" w:fill="CCEEFF"/>
          </w:tcPr>
          <w:p>
            <w:pPr>
              <w:spacing w:after="0"/>
              <w:rPr>
                <w:sz w:val="15"/>
                <w:szCs w:val="15"/>
                <w:color w:val="auto"/>
              </w:rPr>
            </w:pPr>
          </w:p>
        </w:tc>
        <w:tc>
          <w:tcPr>
            <w:tcW w:w="380" w:type="dxa"/>
            <w:vAlign w:val="bottom"/>
            <w:gridSpan w:val="4"/>
            <w:shd w:val="clear" w:color="auto" w:fill="CCEEFF"/>
          </w:tcPr>
          <w:p>
            <w:pPr>
              <w:ind w:left="20"/>
              <w:spacing w:after="0"/>
              <w:rPr>
                <w:rFonts w:ascii="Arial" w:cs="Arial" w:eastAsia="Arial" w:hAnsi="Arial"/>
                <w:sz w:val="14"/>
                <w:szCs w:val="14"/>
                <w:color w:val="0000FF"/>
              </w:rPr>
            </w:pPr>
            <w:hyperlink r:id="rId38">
              <w:r>
                <w:rPr>
                  <w:rFonts w:ascii="Arial" w:cs="Arial" w:eastAsia="Arial" w:hAnsi="Arial"/>
                  <w:sz w:val="14"/>
                  <w:szCs w:val="14"/>
                  <w:color w:val="0000FF"/>
                </w:rPr>
                <w:t>10.</w:t>
              </w:r>
              <w:r>
                <w:rPr>
                  <w:rFonts w:ascii="Arial" w:cs="Arial" w:eastAsia="Arial" w:hAnsi="Arial"/>
                  <w:sz w:val="14"/>
                  <w:szCs w:val="14"/>
                  <w:u w:val="single" w:color="auto"/>
                  <w:color w:val="0000FF"/>
                </w:rPr>
                <w:t>6</w:t>
              </w:r>
            </w:hyperlink>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 Agreement, dated as of August 27, 2014, among Morgan Stanley Senior Funding, Inc., as administrative agent, Jefferson Gulf Coast Energy</w:t>
            </w:r>
          </w:p>
        </w:tc>
      </w:tr>
      <w:tr>
        <w:trPr>
          <w:trHeight w:val="160"/>
        </w:trPr>
        <w:tc>
          <w:tcPr>
            <w:tcW w:w="2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Partners LLC and the other lenders party thereto (incorporated by reference to Exhibit 10.6 of Amendment No. 4 to the Company's Registration Statement</w:t>
            </w:r>
          </w:p>
        </w:tc>
      </w:tr>
      <w:tr>
        <w:trPr>
          <w:trHeight w:val="184"/>
        </w:trPr>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on Form S-1, filed April 30, 2015).</w:t>
            </w:r>
          </w:p>
        </w:tc>
      </w:tr>
      <w:tr>
        <w:trPr>
          <w:trHeight w:val="176"/>
        </w:trPr>
        <w:tc>
          <w:tcPr>
            <w:tcW w:w="240" w:type="dxa"/>
            <w:vAlign w:val="bottom"/>
          </w:tcPr>
          <w:p>
            <w:pPr>
              <w:spacing w:after="0"/>
              <w:rPr>
                <w:sz w:val="15"/>
                <w:szCs w:val="15"/>
                <w:color w:val="auto"/>
              </w:rPr>
            </w:pPr>
          </w:p>
        </w:tc>
        <w:tc>
          <w:tcPr>
            <w:tcW w:w="380" w:type="dxa"/>
            <w:vAlign w:val="bottom"/>
            <w:gridSpan w:val="4"/>
          </w:tcPr>
          <w:p>
            <w:pPr>
              <w:ind w:left="20"/>
              <w:spacing w:after="0"/>
              <w:rPr>
                <w:rFonts w:ascii="Arial" w:cs="Arial" w:eastAsia="Arial" w:hAnsi="Arial"/>
                <w:sz w:val="14"/>
                <w:szCs w:val="14"/>
                <w:color w:val="0000FF"/>
              </w:rPr>
            </w:pPr>
            <w:hyperlink r:id="rId39">
              <w:r>
                <w:rPr>
                  <w:rFonts w:ascii="Arial" w:cs="Arial" w:eastAsia="Arial" w:hAnsi="Arial"/>
                  <w:sz w:val="14"/>
                  <w:szCs w:val="14"/>
                  <w:color w:val="0000FF"/>
                </w:rPr>
                <w:t>10.</w:t>
              </w:r>
              <w:r>
                <w:rPr>
                  <w:rFonts w:ascii="Arial" w:cs="Arial" w:eastAsia="Arial" w:hAnsi="Arial"/>
                  <w:sz w:val="14"/>
                  <w:szCs w:val="14"/>
                  <w:u w:val="single" w:color="auto"/>
                  <w:color w:val="0000FF"/>
                </w:rPr>
                <w:t>7</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Trust Indenture and Security Agreement between the District and The Bank of New York Mellon Trust Company, National Association, dated as of</w:t>
            </w:r>
          </w:p>
        </w:tc>
      </w:tr>
      <w:tr>
        <w:trPr>
          <w:trHeight w:val="177"/>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February 1, 2016 (incorporated by reference to Exhibit 10.7 of the Company's Annual Report on Form 10-K, filed on March 10, 2016).</w:t>
            </w:r>
          </w:p>
        </w:tc>
      </w:tr>
      <w:tr>
        <w:trPr>
          <w:trHeight w:val="182"/>
        </w:trPr>
        <w:tc>
          <w:tcPr>
            <w:tcW w:w="240" w:type="dxa"/>
            <w:vAlign w:val="bottom"/>
            <w:shd w:val="clear" w:color="auto" w:fill="CCEEFF"/>
          </w:tcPr>
          <w:p>
            <w:pPr>
              <w:spacing w:after="0"/>
              <w:rPr>
                <w:sz w:val="15"/>
                <w:szCs w:val="15"/>
                <w:color w:val="auto"/>
              </w:rPr>
            </w:pPr>
          </w:p>
        </w:tc>
        <w:tc>
          <w:tcPr>
            <w:tcW w:w="380" w:type="dxa"/>
            <w:vAlign w:val="bottom"/>
            <w:gridSpan w:val="4"/>
            <w:shd w:val="clear" w:color="auto" w:fill="CCEEFF"/>
          </w:tcPr>
          <w:p>
            <w:pPr>
              <w:ind w:left="20"/>
              <w:spacing w:after="0"/>
              <w:rPr>
                <w:rFonts w:ascii="Arial" w:cs="Arial" w:eastAsia="Arial" w:hAnsi="Arial"/>
                <w:sz w:val="14"/>
                <w:szCs w:val="14"/>
                <w:color w:val="0000FF"/>
              </w:rPr>
            </w:pPr>
            <w:hyperlink r:id="rId40">
              <w:r>
                <w:rPr>
                  <w:rFonts w:ascii="Arial" w:cs="Arial" w:eastAsia="Arial" w:hAnsi="Arial"/>
                  <w:sz w:val="14"/>
                  <w:szCs w:val="14"/>
                  <w:color w:val="0000FF"/>
                </w:rPr>
                <w:t>10.</w:t>
              </w:r>
              <w:r>
                <w:rPr>
                  <w:rFonts w:ascii="Arial" w:cs="Arial" w:eastAsia="Arial" w:hAnsi="Arial"/>
                  <w:sz w:val="14"/>
                  <w:szCs w:val="14"/>
                  <w:u w:val="single" w:color="auto"/>
                  <w:color w:val="0000FF"/>
                </w:rPr>
                <w:t>8</w:t>
              </w:r>
            </w:hyperlink>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Standby Bond Purchase Agreement among the Port of Beaumont Navigation District of Jefferson County, Texas, The Bank of New York Mellon Trust</w:t>
            </w:r>
          </w:p>
        </w:tc>
      </w:tr>
      <w:tr>
        <w:trPr>
          <w:trHeight w:val="160"/>
        </w:trPr>
        <w:tc>
          <w:tcPr>
            <w:tcW w:w="2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Company, National Association, Jefferson Railport Terminal II Holdings LLC and Jefferson Railport Terminal II LLC dated as of February 1, 2016</w:t>
            </w:r>
          </w:p>
        </w:tc>
      </w:tr>
      <w:tr>
        <w:trPr>
          <w:trHeight w:val="184"/>
        </w:trPr>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(incorporated by reference to Exhibit 10.8 of the Company's Annual Report on Form 10-K, filed on March 10, 2016).</w:t>
            </w:r>
          </w:p>
        </w:tc>
      </w:tr>
      <w:tr>
        <w:trPr>
          <w:trHeight w:val="176"/>
        </w:trPr>
        <w:tc>
          <w:tcPr>
            <w:tcW w:w="240" w:type="dxa"/>
            <w:vAlign w:val="bottom"/>
          </w:tcPr>
          <w:p>
            <w:pPr>
              <w:spacing w:after="0"/>
              <w:rPr>
                <w:sz w:val="15"/>
                <w:szCs w:val="15"/>
                <w:color w:val="auto"/>
              </w:rPr>
            </w:pPr>
          </w:p>
        </w:tc>
        <w:tc>
          <w:tcPr>
            <w:tcW w:w="380" w:type="dxa"/>
            <w:vAlign w:val="bottom"/>
            <w:gridSpan w:val="4"/>
          </w:tcPr>
          <w:p>
            <w:pPr>
              <w:ind w:left="20"/>
              <w:spacing w:after="0"/>
              <w:rPr>
                <w:rFonts w:ascii="Arial" w:cs="Arial" w:eastAsia="Arial" w:hAnsi="Arial"/>
                <w:sz w:val="14"/>
                <w:szCs w:val="14"/>
                <w:color w:val="0000FF"/>
              </w:rPr>
            </w:pPr>
            <w:hyperlink r:id="rId41">
              <w:r>
                <w:rPr>
                  <w:rFonts w:ascii="Arial" w:cs="Arial" w:eastAsia="Arial" w:hAnsi="Arial"/>
                  <w:sz w:val="14"/>
                  <w:szCs w:val="14"/>
                  <w:color w:val="0000FF"/>
                </w:rPr>
                <w:t>10.</w:t>
              </w:r>
              <w:r>
                <w:rPr>
                  <w:rFonts w:ascii="Arial" w:cs="Arial" w:eastAsia="Arial" w:hAnsi="Arial"/>
                  <w:sz w:val="14"/>
                  <w:szCs w:val="14"/>
                  <w:u w:val="single" w:color="auto"/>
                  <w:color w:val="0000FF"/>
                </w:rPr>
                <w:t>9</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Capital Call Agreement, by and among Fortress Transportation and Infrastructure Investors LLC, FTAI Energy Holdings LLC, FTAI Partner Holdings LLC,</w:t>
            </w:r>
          </w:p>
        </w:tc>
      </w:tr>
      <w:tr>
        <w:trPr>
          <w:trHeight w:val="160"/>
        </w:trPr>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FTAI Midstream GP Holdings LLC, FTAI Midstream GP LLC, FTAI Midstream Holdings LLC, FTAI Energy Partners LLC and Jefferson Railport Terminal II</w:t>
            </w:r>
          </w:p>
        </w:tc>
      </w:tr>
      <w:tr>
        <w:trPr>
          <w:trHeight w:val="162"/>
        </w:trPr>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Holdings LLC, dated as of February 1, 2016 (incorporated by reference to Exhibit 10.9 of the Company's Annual Report on Form 10-K, filed on March 10,</w:t>
            </w:r>
          </w:p>
        </w:tc>
      </w:tr>
      <w:tr>
        <w:trPr>
          <w:trHeight w:val="172"/>
        </w:trPr>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2016).</w:t>
            </w:r>
          </w:p>
        </w:tc>
      </w:tr>
      <w:tr>
        <w:trPr>
          <w:trHeight w:val="188"/>
        </w:trPr>
        <w:tc>
          <w:tcPr>
            <w:tcW w:w="240" w:type="dxa"/>
            <w:vAlign w:val="bottom"/>
          </w:tcPr>
          <w:p>
            <w:pPr>
              <w:spacing w:after="0"/>
              <w:rPr>
                <w:sz w:val="16"/>
                <w:szCs w:val="16"/>
                <w:color w:val="auto"/>
              </w:rPr>
            </w:pPr>
          </w:p>
        </w:tc>
        <w:tc>
          <w:tcPr>
            <w:tcW w:w="380" w:type="dxa"/>
            <w:vAlign w:val="bottom"/>
            <w:gridSpan w:val="4"/>
          </w:tcPr>
          <w:p>
            <w:pPr>
              <w:ind w:left="20"/>
              <w:spacing w:after="0"/>
              <w:rPr>
                <w:rFonts w:ascii="Arial" w:cs="Arial" w:eastAsia="Arial" w:hAnsi="Arial"/>
                <w:sz w:val="14"/>
                <w:szCs w:val="14"/>
                <w:color w:val="0000FF"/>
                <w:w w:val="96"/>
              </w:rPr>
            </w:pPr>
            <w:hyperlink r:id="rId42">
              <w:r>
                <w:rPr>
                  <w:rFonts w:ascii="Arial" w:cs="Arial" w:eastAsia="Arial" w:hAnsi="Arial"/>
                  <w:sz w:val="14"/>
                  <w:szCs w:val="14"/>
                  <w:color w:val="0000FF"/>
                  <w:w w:val="96"/>
                </w:rPr>
                <w:t>10.</w:t>
              </w:r>
              <w:r>
                <w:rPr>
                  <w:rFonts w:ascii="Arial" w:cs="Arial" w:eastAsia="Arial" w:hAnsi="Arial"/>
                  <w:sz w:val="14"/>
                  <w:szCs w:val="14"/>
                  <w:u w:val="single" w:color="auto"/>
                  <w:color w:val="0000FF"/>
                  <w:w w:val="96"/>
                </w:rPr>
                <w:t>10</w:t>
              </w:r>
            </w:hyperlink>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Fee and Support Agreement, among FTAI Energy Holdings LLC, FEP Terminal Holdings LLC, FTAI Energy Partners LLC and Jefferson Railport Terminal</w:t>
            </w: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7203440" cy="342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a:extLst>
                        <a:ext uri="{28A0092B-C50C-407E-A947-70E740481C1C}"/>
                      </a:extLst>
                    </a:blip>
                    <a:srcRect/>
                    <a:stretch>
                      <a:fillRect/>
                    </a:stretch>
                  </pic:blipFill>
                  <pic:spPr bwMode="auto">
                    <a:xfrm>
                      <a:off x="0" y="0"/>
                      <a:ext cx="7203440" cy="342900"/>
                    </a:xfrm>
                    <a:prstGeom prst="rect">
                      <a:avLst/>
                    </a:prstGeom>
                    <a:noFill/>
                  </pic:spPr>
                </pic:pic>
              </a:graphicData>
            </a:graphic>
          </wp:anchor>
        </w:drawing>
      </w:r>
    </w:p>
    <w:p>
      <w:pPr>
        <w:ind w:left="1560" w:right="40" w:hanging="6"/>
        <w:spacing w:after="0" w:line="258" w:lineRule="auto"/>
        <w:tabs>
          <w:tab w:leader="none" w:pos="1688" w:val="left"/>
        </w:tabs>
        <w:numPr>
          <w:ilvl w:val="0"/>
          <w:numId w:val="45"/>
        </w:numPr>
        <w:rPr>
          <w:rFonts w:ascii="Arial" w:cs="Arial" w:eastAsia="Arial" w:hAnsi="Arial"/>
          <w:sz w:val="14"/>
          <w:szCs w:val="14"/>
          <w:color w:val="auto"/>
        </w:rPr>
      </w:pPr>
      <w:r>
        <w:rPr>
          <w:rFonts w:ascii="Arial" w:cs="Arial" w:eastAsia="Arial" w:hAnsi="Arial"/>
          <w:sz w:val="14"/>
          <w:szCs w:val="14"/>
          <w:color w:val="auto"/>
        </w:rPr>
        <w:t>LLC, dated as of March 7, 2016 (incorporated by reference to Exhibit 10.10 of the Company's Amended Annual Report on Form 10-K/A, filed on April 29, 2016).</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60" w:type="dxa"/>
            <w:vAlign w:val="bottom"/>
            <w:gridSpan w:val="3"/>
          </w:tcPr>
          <w:p>
            <w:pPr>
              <w:jc w:val="right"/>
              <w:ind w:right="440"/>
              <w:spacing w:after="0"/>
              <w:rPr>
                <w:rFonts w:ascii="Arial" w:cs="Arial" w:eastAsia="Arial" w:hAnsi="Arial"/>
                <w:sz w:val="14"/>
                <w:szCs w:val="14"/>
                <w:color w:val="0000FF"/>
              </w:rPr>
            </w:pPr>
            <w:hyperlink r:id="rId44">
              <w:r>
                <w:rPr>
                  <w:rFonts w:ascii="Arial" w:cs="Arial" w:eastAsia="Arial" w:hAnsi="Arial"/>
                  <w:sz w:val="14"/>
                  <w:szCs w:val="14"/>
                  <w:color w:val="0000FF"/>
                </w:rPr>
                <w:t>10.</w:t>
              </w:r>
              <w:r>
                <w:rPr>
                  <w:rFonts w:ascii="Arial" w:cs="Arial" w:eastAsia="Arial" w:hAnsi="Arial"/>
                  <w:sz w:val="14"/>
                  <w:szCs w:val="14"/>
                  <w:u w:val="single" w:color="auto"/>
                  <w:color w:val="0000FF"/>
                </w:rPr>
                <w:t>11</w:t>
              </w:r>
            </w:hyperlink>
          </w:p>
        </w:tc>
        <w:tc>
          <w:tcPr>
            <w:tcW w:w="10300" w:type="dxa"/>
            <w:vAlign w:val="bottom"/>
          </w:tcPr>
          <w:p>
            <w:pPr>
              <w:ind w:left="460"/>
              <w:spacing w:after="0"/>
              <w:rPr>
                <w:sz w:val="20"/>
                <w:szCs w:val="20"/>
                <w:color w:val="auto"/>
              </w:rPr>
            </w:pPr>
            <w:r>
              <w:rPr>
                <w:rFonts w:ascii="Arial" w:cs="Arial" w:eastAsia="Arial" w:hAnsi="Arial"/>
                <w:sz w:val="14"/>
                <w:szCs w:val="14"/>
                <w:color w:val="auto"/>
              </w:rPr>
              <w:t>Lease and Development Agreement (Facilities Lease), dated as of February 1, 2016, by and between the Port of Beaumont Navigation District of</w:t>
            </w:r>
          </w:p>
        </w:tc>
      </w:tr>
      <w:tr>
        <w:trPr>
          <w:trHeight w:val="160"/>
        </w:trPr>
        <w:tc>
          <w:tcPr>
            <w:tcW w:w="26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10300" w:type="dxa"/>
            <w:vAlign w:val="bottom"/>
          </w:tcPr>
          <w:p>
            <w:pPr>
              <w:ind w:left="460"/>
              <w:spacing w:after="0"/>
              <w:rPr>
                <w:sz w:val="20"/>
                <w:szCs w:val="20"/>
                <w:color w:val="auto"/>
              </w:rPr>
            </w:pPr>
            <w:r>
              <w:rPr>
                <w:rFonts w:ascii="Arial" w:cs="Arial" w:eastAsia="Arial" w:hAnsi="Arial"/>
                <w:sz w:val="14"/>
                <w:szCs w:val="14"/>
                <w:color w:val="auto"/>
              </w:rPr>
              <w:t>Jefferson County, Texas and Jefferson Railport Terminal II LLC (incorporated by reference to Exhibit 10.11 of the Company's Annual Report on Form 10-</w:t>
            </w:r>
          </w:p>
        </w:tc>
      </w:tr>
      <w:tr>
        <w:trPr>
          <w:trHeight w:val="178"/>
        </w:trPr>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300" w:type="dxa"/>
            <w:vAlign w:val="bottom"/>
          </w:tcPr>
          <w:p>
            <w:pPr>
              <w:ind w:left="460"/>
              <w:spacing w:after="0"/>
              <w:rPr>
                <w:sz w:val="20"/>
                <w:szCs w:val="20"/>
                <w:color w:val="auto"/>
              </w:rPr>
            </w:pPr>
            <w:r>
              <w:rPr>
                <w:rFonts w:ascii="Arial" w:cs="Arial" w:eastAsia="Arial" w:hAnsi="Arial"/>
                <w:sz w:val="14"/>
                <w:szCs w:val="14"/>
                <w:color w:val="auto"/>
              </w:rPr>
              <w:t>K, filed on March 10, 2016).</w:t>
            </w:r>
          </w:p>
        </w:tc>
      </w:tr>
      <w:tr>
        <w:trPr>
          <w:trHeight w:val="182"/>
        </w:trPr>
        <w:tc>
          <w:tcPr>
            <w:tcW w:w="1060" w:type="dxa"/>
            <w:vAlign w:val="bottom"/>
            <w:gridSpan w:val="3"/>
            <w:shd w:val="clear" w:color="auto" w:fill="CCEEFF"/>
          </w:tcPr>
          <w:p>
            <w:pPr>
              <w:jc w:val="right"/>
              <w:ind w:right="440"/>
              <w:spacing w:after="0"/>
              <w:rPr>
                <w:rFonts w:ascii="Arial" w:cs="Arial" w:eastAsia="Arial" w:hAnsi="Arial"/>
                <w:sz w:val="14"/>
                <w:szCs w:val="14"/>
                <w:color w:val="0000FF"/>
              </w:rPr>
            </w:pPr>
            <w:hyperlink r:id="rId45">
              <w:r>
                <w:rPr>
                  <w:rFonts w:ascii="Arial" w:cs="Arial" w:eastAsia="Arial" w:hAnsi="Arial"/>
                  <w:sz w:val="14"/>
                  <w:szCs w:val="14"/>
                  <w:color w:val="0000FF"/>
                </w:rPr>
                <w:t>10.</w:t>
              </w:r>
              <w:r>
                <w:rPr>
                  <w:rFonts w:ascii="Arial" w:cs="Arial" w:eastAsia="Arial" w:hAnsi="Arial"/>
                  <w:sz w:val="14"/>
                  <w:szCs w:val="14"/>
                  <w:u w:val="single" w:color="auto"/>
                  <w:color w:val="0000FF"/>
                </w:rPr>
                <w:t>12</w:t>
              </w:r>
            </w:hyperlink>
          </w:p>
        </w:tc>
        <w:tc>
          <w:tcPr>
            <w:tcW w:w="103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Deed of Trust of Jefferson Railport Terminal II LLC, dated as of February 1, 2016 (incorporated by reference to Exhibit 10.12 of the Company's Annual</w:t>
            </w:r>
          </w:p>
        </w:tc>
      </w:tr>
      <w:tr>
        <w:trPr>
          <w:trHeight w:val="183"/>
        </w:trPr>
        <w:tc>
          <w:tcPr>
            <w:tcW w:w="2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0000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3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Report on Form 10-K, filed on March 10, 2016).</w:t>
            </w:r>
          </w:p>
        </w:tc>
      </w:tr>
      <w:tr>
        <w:trPr>
          <w:trHeight w:val="176"/>
        </w:trPr>
        <w:tc>
          <w:tcPr>
            <w:tcW w:w="1060" w:type="dxa"/>
            <w:vAlign w:val="bottom"/>
            <w:gridSpan w:val="3"/>
          </w:tcPr>
          <w:p>
            <w:pPr>
              <w:jc w:val="right"/>
              <w:ind w:right="440"/>
              <w:spacing w:after="0"/>
              <w:rPr>
                <w:rFonts w:ascii="Arial" w:cs="Arial" w:eastAsia="Arial" w:hAnsi="Arial"/>
                <w:sz w:val="14"/>
                <w:szCs w:val="14"/>
                <w:color w:val="0000FF"/>
              </w:rPr>
            </w:pPr>
            <w:hyperlink r:id="rId46">
              <w:r>
                <w:rPr>
                  <w:rFonts w:ascii="Arial" w:cs="Arial" w:eastAsia="Arial" w:hAnsi="Arial"/>
                  <w:sz w:val="14"/>
                  <w:szCs w:val="14"/>
                  <w:color w:val="0000FF"/>
                </w:rPr>
                <w:t>10.</w:t>
              </w:r>
              <w:r>
                <w:rPr>
                  <w:rFonts w:ascii="Arial" w:cs="Arial" w:eastAsia="Arial" w:hAnsi="Arial"/>
                  <w:sz w:val="14"/>
                  <w:szCs w:val="14"/>
                  <w:u w:val="single" w:color="auto"/>
                  <w:color w:val="0000FF"/>
                </w:rPr>
                <w:t>13</w:t>
              </w:r>
            </w:hyperlink>
          </w:p>
        </w:tc>
        <w:tc>
          <w:tcPr>
            <w:tcW w:w="10300" w:type="dxa"/>
            <w:vAlign w:val="bottom"/>
          </w:tcPr>
          <w:p>
            <w:pPr>
              <w:ind w:left="460"/>
              <w:spacing w:after="0"/>
              <w:rPr>
                <w:sz w:val="20"/>
                <w:szCs w:val="20"/>
                <w:color w:val="auto"/>
              </w:rPr>
            </w:pPr>
            <w:r>
              <w:rPr>
                <w:rFonts w:ascii="Arial" w:cs="Arial" w:eastAsia="Arial" w:hAnsi="Arial"/>
                <w:sz w:val="14"/>
                <w:szCs w:val="14"/>
                <w:color w:val="auto"/>
              </w:rPr>
              <w:t>Credit Agreement, dated January 23, 2017, among Fortress Transportation and Infrastructure Investors LLC, as holdings, Fortress Worldwide</w:t>
            </w:r>
          </w:p>
        </w:tc>
      </w:tr>
      <w:tr>
        <w:trPr>
          <w:trHeight w:val="160"/>
        </w:trPr>
        <w:tc>
          <w:tcPr>
            <w:tcW w:w="26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10300" w:type="dxa"/>
            <w:vAlign w:val="bottom"/>
          </w:tcPr>
          <w:p>
            <w:pPr>
              <w:ind w:left="460"/>
              <w:spacing w:after="0"/>
              <w:rPr>
                <w:sz w:val="20"/>
                <w:szCs w:val="20"/>
                <w:color w:val="auto"/>
              </w:rPr>
            </w:pPr>
            <w:r>
              <w:rPr>
                <w:rFonts w:ascii="Arial" w:cs="Arial" w:eastAsia="Arial" w:hAnsi="Arial"/>
                <w:sz w:val="14"/>
                <w:szCs w:val="14"/>
                <w:color w:val="auto"/>
              </w:rPr>
              <w:t>Transportation and Infrastructure General Partnership, as IntermediateCo, WWTAI Finance Ltd., as Borrower, the Subsidiary Guarantors from time to time</w:t>
            </w:r>
          </w:p>
        </w:tc>
      </w:tr>
      <w:tr>
        <w:trPr>
          <w:trHeight w:val="162"/>
        </w:trPr>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300" w:type="dxa"/>
            <w:vAlign w:val="bottom"/>
          </w:tcPr>
          <w:p>
            <w:pPr>
              <w:ind w:left="460"/>
              <w:spacing w:after="0"/>
              <w:rPr>
                <w:sz w:val="20"/>
                <w:szCs w:val="20"/>
                <w:color w:val="auto"/>
              </w:rPr>
            </w:pPr>
            <w:r>
              <w:rPr>
                <w:rFonts w:ascii="Arial" w:cs="Arial" w:eastAsia="Arial" w:hAnsi="Arial"/>
                <w:sz w:val="14"/>
                <w:szCs w:val="14"/>
                <w:color w:val="auto"/>
              </w:rPr>
              <w:t>party thereto, the lenders from time to time party thereto and Morgan Stanley Senior Funding, Inc., as Administrative Agent (incorporated by reference to</w:t>
            </w:r>
          </w:p>
        </w:tc>
      </w:tr>
      <w:tr>
        <w:trPr>
          <w:trHeight w:val="172"/>
        </w:trPr>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300" w:type="dxa"/>
            <w:vAlign w:val="bottom"/>
          </w:tcPr>
          <w:p>
            <w:pPr>
              <w:ind w:left="460"/>
              <w:spacing w:after="0"/>
              <w:rPr>
                <w:sz w:val="20"/>
                <w:szCs w:val="20"/>
                <w:color w:val="auto"/>
              </w:rPr>
            </w:pPr>
            <w:r>
              <w:rPr>
                <w:rFonts w:ascii="Arial" w:cs="Arial" w:eastAsia="Arial" w:hAnsi="Arial"/>
                <w:sz w:val="14"/>
                <w:szCs w:val="14"/>
                <w:color w:val="auto"/>
              </w:rPr>
              <w:t>Exhibit 10.1 of the Company's Current Report on Form 8-K, filed on January 27, 2017).</w:t>
            </w:r>
          </w:p>
        </w:tc>
      </w:tr>
      <w:tr>
        <w:trPr>
          <w:trHeight w:val="452"/>
        </w:trPr>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300" w:type="dxa"/>
            <w:vAlign w:val="bottom"/>
          </w:tcPr>
          <w:p>
            <w:pPr>
              <w:ind w:left="4520"/>
              <w:spacing w:after="0"/>
              <w:rPr>
                <w:sz w:val="20"/>
                <w:szCs w:val="20"/>
                <w:color w:val="auto"/>
              </w:rPr>
            </w:pPr>
            <w:r>
              <w:rPr>
                <w:rFonts w:ascii="Arial" w:cs="Arial" w:eastAsia="Arial" w:hAnsi="Arial"/>
                <w:sz w:val="16"/>
                <w:szCs w:val="16"/>
                <w:color w:val="auto"/>
              </w:rPr>
              <w:t>95</w:t>
            </w:r>
          </w:p>
        </w:tc>
      </w:tr>
    </w:tbl>
    <w:p>
      <w:pPr>
        <w:sectPr>
          <w:pgSz w:w="11900" w:h="16838" w:orient="portrait"/>
          <w:cols w:equalWidth="0" w:num="1">
            <w:col w:w="11400"/>
          </w:cols>
          <w:pgMar w:left="240" w:top="630" w:right="25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Exhibit No.</w:t>
            </w:r>
          </w:p>
        </w:tc>
        <w:tc>
          <w:tcPr>
            <w:tcW w:w="120" w:type="dxa"/>
            <w:vAlign w:val="bottom"/>
            <w:tcBorders>
              <w:bottom w:val="single" w:sz="8" w:color="CCEEFF"/>
            </w:tcBorders>
          </w:tcPr>
          <w:p>
            <w:pPr>
              <w:spacing w:after="0"/>
              <w:rPr>
                <w:sz w:val="17"/>
                <w:szCs w:val="17"/>
                <w:color w:val="auto"/>
              </w:rPr>
            </w:pPr>
          </w:p>
        </w:tc>
        <w:tc>
          <w:tcPr>
            <w:tcW w:w="9860" w:type="dxa"/>
            <w:vAlign w:val="bottom"/>
            <w:tcBorders>
              <w:bottom w:val="single" w:sz="8" w:color="auto"/>
            </w:tcBorders>
          </w:tcPr>
          <w:p>
            <w:pPr>
              <w:ind w:left="4520"/>
              <w:spacing w:after="0"/>
              <w:rPr>
                <w:sz w:val="20"/>
                <w:szCs w:val="20"/>
                <w:color w:val="auto"/>
              </w:rPr>
            </w:pPr>
            <w:r>
              <w:rPr>
                <w:rFonts w:ascii="Arial" w:cs="Arial" w:eastAsia="Arial" w:hAnsi="Arial"/>
                <w:sz w:val="14"/>
                <w:szCs w:val="14"/>
                <w:b w:val="1"/>
                <w:bCs w:val="1"/>
                <w:color w:val="auto"/>
              </w:rPr>
              <w:t>Description</w:t>
            </w:r>
          </w:p>
        </w:tc>
      </w:tr>
      <w:tr>
        <w:trPr>
          <w:trHeight w:val="175"/>
        </w:trPr>
        <w:tc>
          <w:tcPr>
            <w:tcW w:w="1380" w:type="dxa"/>
            <w:vAlign w:val="bottom"/>
            <w:gridSpan w:val="5"/>
            <w:shd w:val="clear" w:color="auto" w:fill="CCEEFF"/>
          </w:tcPr>
          <w:p>
            <w:pPr>
              <w:ind w:left="260"/>
              <w:spacing w:after="0"/>
              <w:rPr>
                <w:rFonts w:ascii="Arial" w:cs="Arial" w:eastAsia="Arial" w:hAnsi="Arial"/>
                <w:sz w:val="14"/>
                <w:szCs w:val="14"/>
                <w:color w:val="0000FF"/>
              </w:rPr>
            </w:pPr>
            <w:hyperlink r:id="rId47">
              <w:r>
                <w:rPr>
                  <w:rFonts w:ascii="Arial" w:cs="Arial" w:eastAsia="Arial" w:hAnsi="Arial"/>
                  <w:sz w:val="14"/>
                  <w:szCs w:val="14"/>
                  <w:color w:val="0000FF"/>
                </w:rPr>
                <w:t>10.</w:t>
              </w:r>
              <w:r>
                <w:rPr>
                  <w:rFonts w:ascii="Arial" w:cs="Arial" w:eastAsia="Arial" w:hAnsi="Arial"/>
                  <w:sz w:val="14"/>
                  <w:szCs w:val="14"/>
                  <w:u w:val="single" w:color="auto"/>
                  <w:color w:val="0000FF"/>
                </w:rPr>
                <w:t>14</w:t>
              </w:r>
            </w:hyperlink>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 Agreement, dated June 16, 2017, among Fortress Transportation and Infrastructure Investors LLC, as Borrower, the lenders and issuing banks</w:t>
            </w:r>
          </w:p>
        </w:tc>
      </w:tr>
      <w:tr>
        <w:trPr>
          <w:trHeight w:val="160"/>
        </w:trPr>
        <w:tc>
          <w:tcPr>
            <w:tcW w:w="2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from time to time party thereto and JPMorgan Chase Bank, N.A., as Administrative Agent (incorporated by reference to Exhibit 10.1 of the Company’s</w:t>
            </w:r>
          </w:p>
        </w:tc>
      </w:tr>
      <w:tr>
        <w:trPr>
          <w:trHeight w:val="184"/>
        </w:trPr>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Report on Form 8-K, filed on June 22, 2017).</w:t>
            </w:r>
          </w:p>
        </w:tc>
      </w:tr>
      <w:tr>
        <w:trPr>
          <w:trHeight w:val="176"/>
        </w:trPr>
        <w:tc>
          <w:tcPr>
            <w:tcW w:w="1380" w:type="dxa"/>
            <w:vAlign w:val="bottom"/>
            <w:gridSpan w:val="5"/>
          </w:tcPr>
          <w:p>
            <w:pPr>
              <w:ind w:left="260"/>
              <w:spacing w:after="0"/>
              <w:rPr>
                <w:rFonts w:ascii="Arial" w:cs="Arial" w:eastAsia="Arial" w:hAnsi="Arial"/>
                <w:sz w:val="14"/>
                <w:szCs w:val="14"/>
                <w:color w:val="0000FF"/>
              </w:rPr>
            </w:pPr>
            <w:hyperlink r:id="rId48">
              <w:r>
                <w:rPr>
                  <w:rFonts w:ascii="Arial" w:cs="Arial" w:eastAsia="Arial" w:hAnsi="Arial"/>
                  <w:sz w:val="14"/>
                  <w:szCs w:val="14"/>
                  <w:color w:val="0000FF"/>
                </w:rPr>
                <w:t>10.</w:t>
              </w:r>
              <w:r>
                <w:rPr>
                  <w:rFonts w:ascii="Arial" w:cs="Arial" w:eastAsia="Arial" w:hAnsi="Arial"/>
                  <w:sz w:val="14"/>
                  <w:szCs w:val="14"/>
                  <w:u w:val="single" w:color="auto"/>
                  <w:color w:val="0000FF"/>
                </w:rPr>
                <w:t>15</w:t>
              </w:r>
            </w:hyperlink>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Amendment No. 1, dated as of August 2, 2018, among Fortress Transportation and Infrastructure Investors LLC, as borrower, Fortress Worldwide</w:t>
            </w:r>
          </w:p>
        </w:tc>
      </w:tr>
      <w:tr>
        <w:trPr>
          <w:trHeight w:val="160"/>
        </w:trPr>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Transportation and Infrastructure General Partnership, the lenders and issuing banks from time to time party thereto and JPMorgan Chase Bank, N.A., as</w:t>
            </w:r>
          </w:p>
        </w:tc>
      </w:tr>
      <w:tr>
        <w:trPr>
          <w:trHeight w:val="178"/>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administrative agent (incorporated by reference to Exhibit 10.15 of the Company’s Quarterly Report on Form 10-Q, filed on August 3, 2018).</w:t>
            </w:r>
          </w:p>
        </w:tc>
      </w:tr>
      <w:tr>
        <w:trPr>
          <w:trHeight w:val="182"/>
        </w:trPr>
        <w:tc>
          <w:tcPr>
            <w:tcW w:w="1500" w:type="dxa"/>
            <w:vAlign w:val="bottom"/>
            <w:gridSpan w:val="6"/>
            <w:shd w:val="clear" w:color="auto" w:fill="CCEEFF"/>
          </w:tcPr>
          <w:p>
            <w:pPr>
              <w:ind w:left="20"/>
              <w:spacing w:after="0"/>
              <w:rPr>
                <w:rFonts w:ascii="Arial" w:cs="Arial" w:eastAsia="Arial" w:hAnsi="Arial"/>
                <w:sz w:val="14"/>
                <w:szCs w:val="14"/>
                <w:color w:val="auto"/>
              </w:rPr>
            </w:pPr>
            <w:r>
              <w:rPr>
                <w:rFonts w:ascii="Arial" w:cs="Arial" w:eastAsia="Arial" w:hAnsi="Arial"/>
                <w:sz w:val="14"/>
                <w:szCs w:val="14"/>
                <w:color w:val="auto"/>
              </w:rPr>
              <w:t xml:space="preserve">†  </w:t>
            </w:r>
            <w:hyperlink r:id="rId49">
              <w:r>
                <w:rPr>
                  <w:rFonts w:ascii="Arial" w:cs="Arial" w:eastAsia="Arial" w:hAnsi="Arial"/>
                  <w:sz w:val="14"/>
                  <w:szCs w:val="14"/>
                  <w:color w:val="0000FF"/>
                </w:rPr>
                <w:t>10.16</w:t>
              </w:r>
            </w:hyperlink>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Form of Award Agreement under the Fortress Transportation and Infrastructure Investors Nonqualified Stock Option and Incentive Award Plan</w:t>
            </w:r>
          </w:p>
        </w:tc>
      </w:tr>
      <w:tr>
        <w:trPr>
          <w:trHeight w:val="183"/>
        </w:trPr>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(incorporated by reference to Exhibit 10.1 of the Company’s Current Report on Form 8-K, filed on January 17, 2018).</w:t>
            </w:r>
          </w:p>
        </w:tc>
      </w:tr>
      <w:tr>
        <w:trPr>
          <w:trHeight w:val="176"/>
        </w:trPr>
        <w:tc>
          <w:tcPr>
            <w:tcW w:w="620" w:type="dxa"/>
            <w:vAlign w:val="bottom"/>
            <w:gridSpan w:val="4"/>
          </w:tcPr>
          <w:p>
            <w:pPr>
              <w:ind w:left="260"/>
              <w:spacing w:after="0"/>
              <w:rPr>
                <w:rFonts w:ascii="Arial" w:cs="Arial" w:eastAsia="Arial" w:hAnsi="Arial"/>
                <w:sz w:val="14"/>
                <w:szCs w:val="14"/>
                <w:color w:val="0000FF"/>
              </w:rPr>
            </w:pPr>
            <w:hyperlink w:anchor="page98">
              <w:r>
                <w:rPr>
                  <w:rFonts w:ascii="Arial" w:cs="Arial" w:eastAsia="Arial" w:hAnsi="Arial"/>
                  <w:sz w:val="14"/>
                  <w:szCs w:val="14"/>
                  <w:color w:val="0000FF"/>
                </w:rPr>
                <w:t>31.</w:t>
              </w:r>
              <w:r>
                <w:rPr>
                  <w:rFonts w:ascii="Arial" w:cs="Arial" w:eastAsia="Arial" w:hAnsi="Arial"/>
                  <w:sz w:val="14"/>
                  <w:szCs w:val="14"/>
                  <w:u w:val="single" w:color="auto"/>
                  <w:color w:val="0000FF"/>
                </w:rPr>
                <w:t>1</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Certification of Chief Executive Officer pursuant to Rule 13a-14(a)/15d-14(a), as adopted pursuant to Section 302 of the Sarbanes-Oxley Act of 2002.</w:t>
            </w:r>
          </w:p>
        </w:tc>
      </w:tr>
      <w:tr>
        <w:trPr>
          <w:trHeight w:val="75"/>
        </w:trPr>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top w:val="single" w:sz="8" w:color="0000FF"/>
            </w:tcBorders>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60" w:type="dxa"/>
            <w:vAlign w:val="bottom"/>
          </w:tcPr>
          <w:p>
            <w:pPr>
              <w:spacing w:after="0"/>
              <w:rPr>
                <w:sz w:val="6"/>
                <w:szCs w:val="6"/>
                <w:color w:val="auto"/>
              </w:rPr>
            </w:pPr>
          </w:p>
        </w:tc>
      </w:tr>
      <w:tr>
        <w:trPr>
          <w:trHeight w:val="176"/>
        </w:trPr>
        <w:tc>
          <w:tcPr>
            <w:tcW w:w="620" w:type="dxa"/>
            <w:vAlign w:val="bottom"/>
            <w:gridSpan w:val="4"/>
            <w:shd w:val="clear" w:color="auto" w:fill="CCEEFF"/>
          </w:tcPr>
          <w:p>
            <w:pPr>
              <w:ind w:left="260"/>
              <w:spacing w:after="0"/>
              <w:rPr>
                <w:rFonts w:ascii="Arial" w:cs="Arial" w:eastAsia="Arial" w:hAnsi="Arial"/>
                <w:sz w:val="14"/>
                <w:szCs w:val="14"/>
                <w:color w:val="0000FF"/>
              </w:rPr>
            </w:pPr>
            <w:hyperlink w:anchor="page99">
              <w:r>
                <w:rPr>
                  <w:rFonts w:ascii="Arial" w:cs="Arial" w:eastAsia="Arial" w:hAnsi="Arial"/>
                  <w:sz w:val="14"/>
                  <w:szCs w:val="14"/>
                  <w:color w:val="0000FF"/>
                </w:rPr>
                <w:t>31.</w:t>
              </w:r>
              <w:r>
                <w:rPr>
                  <w:rFonts w:ascii="Arial" w:cs="Arial" w:eastAsia="Arial" w:hAnsi="Arial"/>
                  <w:sz w:val="14"/>
                  <w:szCs w:val="14"/>
                  <w:u w:val="single" w:color="auto"/>
                  <w:color w:val="0000FF"/>
                </w:rPr>
                <w:t>2</w:t>
              </w:r>
            </w:hyperlink>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Certification of Chief Financial Officer pursuant to Rule 13a-14(a)/15d-14(a), as adopted pursuant to Section 302 of the Sarbanes-Oxley Act of 2002</w:t>
            </w:r>
          </w:p>
        </w:tc>
      </w:tr>
      <w:tr>
        <w:trPr>
          <w:trHeight w:val="75"/>
        </w:trPr>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9860" w:type="dxa"/>
            <w:vAlign w:val="bottom"/>
            <w:tcBorders>
              <w:top w:val="single" w:sz="8" w:color="CCEEFF"/>
            </w:tcBorders>
            <w:shd w:val="clear" w:color="auto" w:fill="CCEEFF"/>
          </w:tcPr>
          <w:p>
            <w:pPr>
              <w:spacing w:after="0"/>
              <w:rPr>
                <w:sz w:val="6"/>
                <w:szCs w:val="6"/>
                <w:color w:val="auto"/>
              </w:rPr>
            </w:pPr>
          </w:p>
        </w:tc>
      </w:tr>
      <w:tr>
        <w:trPr>
          <w:trHeight w:val="176"/>
        </w:trPr>
        <w:tc>
          <w:tcPr>
            <w:tcW w:w="620" w:type="dxa"/>
            <w:vAlign w:val="bottom"/>
            <w:gridSpan w:val="4"/>
          </w:tcPr>
          <w:p>
            <w:pPr>
              <w:ind w:left="260"/>
              <w:spacing w:after="0"/>
              <w:rPr>
                <w:rFonts w:ascii="Arial" w:cs="Arial" w:eastAsia="Arial" w:hAnsi="Arial"/>
                <w:sz w:val="14"/>
                <w:szCs w:val="14"/>
                <w:color w:val="0000FF"/>
              </w:rPr>
            </w:pPr>
            <w:hyperlink w:anchor="page100">
              <w:r>
                <w:rPr>
                  <w:rFonts w:ascii="Arial" w:cs="Arial" w:eastAsia="Arial" w:hAnsi="Arial"/>
                  <w:sz w:val="14"/>
                  <w:szCs w:val="14"/>
                  <w:color w:val="0000FF"/>
                </w:rPr>
                <w:t>32.</w:t>
              </w:r>
              <w:r>
                <w:rPr>
                  <w:rFonts w:ascii="Arial" w:cs="Arial" w:eastAsia="Arial" w:hAnsi="Arial"/>
                  <w:sz w:val="14"/>
                  <w:szCs w:val="14"/>
                  <w:u w:val="single" w:color="auto"/>
                  <w:color w:val="0000FF"/>
                </w:rPr>
                <w:t>1</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Certification of Chief Executive Officer pursuant to 18 U.S.C. Section 1350, as adopted pursuant to Section 906 of the Sarbanes-Oxley Act of 2002.</w:t>
            </w:r>
          </w:p>
        </w:tc>
      </w:tr>
      <w:tr>
        <w:trPr>
          <w:trHeight w:val="75"/>
        </w:trPr>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top w:val="single" w:sz="8" w:color="0000FF"/>
            </w:tcBorders>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60" w:type="dxa"/>
            <w:vAlign w:val="bottom"/>
          </w:tcPr>
          <w:p>
            <w:pPr>
              <w:spacing w:after="0"/>
              <w:rPr>
                <w:sz w:val="6"/>
                <w:szCs w:val="6"/>
                <w:color w:val="auto"/>
              </w:rPr>
            </w:pPr>
          </w:p>
        </w:tc>
      </w:tr>
      <w:tr>
        <w:trPr>
          <w:trHeight w:val="176"/>
        </w:trPr>
        <w:tc>
          <w:tcPr>
            <w:tcW w:w="620" w:type="dxa"/>
            <w:vAlign w:val="bottom"/>
            <w:gridSpan w:val="4"/>
            <w:shd w:val="clear" w:color="auto" w:fill="CCEEFF"/>
          </w:tcPr>
          <w:p>
            <w:pPr>
              <w:ind w:left="260"/>
              <w:spacing w:after="0"/>
              <w:rPr>
                <w:rFonts w:ascii="Arial" w:cs="Arial" w:eastAsia="Arial" w:hAnsi="Arial"/>
                <w:sz w:val="14"/>
                <w:szCs w:val="14"/>
                <w:color w:val="0000FF"/>
              </w:rPr>
            </w:pPr>
            <w:hyperlink w:anchor="page101">
              <w:r>
                <w:rPr>
                  <w:rFonts w:ascii="Arial" w:cs="Arial" w:eastAsia="Arial" w:hAnsi="Arial"/>
                  <w:sz w:val="14"/>
                  <w:szCs w:val="14"/>
                  <w:color w:val="0000FF"/>
                </w:rPr>
                <w:t>32.</w:t>
              </w:r>
              <w:r>
                <w:rPr>
                  <w:rFonts w:ascii="Arial" w:cs="Arial" w:eastAsia="Arial" w:hAnsi="Arial"/>
                  <w:sz w:val="14"/>
                  <w:szCs w:val="14"/>
                  <w:u w:val="single" w:color="auto"/>
                  <w:color w:val="0000FF"/>
                </w:rPr>
                <w:t>2</w:t>
              </w:r>
            </w:hyperlink>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Certification of Chief Financial Officer pursuant to 18 U.S.C. Section 1350, as adopted pursuant to Section 906 of the Sarbanes-Oxley Act of 2002.</w:t>
            </w:r>
          </w:p>
        </w:tc>
      </w:tr>
      <w:tr>
        <w:trPr>
          <w:trHeight w:val="75"/>
        </w:trPr>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9860" w:type="dxa"/>
            <w:vAlign w:val="bottom"/>
            <w:tcBorders>
              <w:top w:val="single" w:sz="8" w:color="CCEEFF"/>
            </w:tcBorders>
            <w:shd w:val="clear" w:color="auto" w:fill="CCEEFF"/>
          </w:tcPr>
          <w:p>
            <w:pPr>
              <w:spacing w:after="0"/>
              <w:rPr>
                <w:sz w:val="6"/>
                <w:szCs w:val="6"/>
                <w:color w:val="auto"/>
              </w:rPr>
            </w:pPr>
          </w:p>
        </w:tc>
      </w:tr>
      <w:tr>
        <w:trPr>
          <w:trHeight w:val="204"/>
        </w:trPr>
        <w:tc>
          <w:tcPr>
            <w:tcW w:w="240" w:type="dxa"/>
            <w:vAlign w:val="bottom"/>
          </w:tcPr>
          <w:p>
            <w:pPr>
              <w:spacing w:after="0"/>
              <w:rPr>
                <w:sz w:val="17"/>
                <w:szCs w:val="17"/>
                <w:color w:val="auto"/>
              </w:rPr>
            </w:pPr>
          </w:p>
        </w:tc>
        <w:tc>
          <w:tcPr>
            <w:tcW w:w="1260" w:type="dxa"/>
            <w:vAlign w:val="bottom"/>
            <w:gridSpan w:val="5"/>
          </w:tcPr>
          <w:p>
            <w:pPr>
              <w:ind w:left="20"/>
              <w:spacing w:after="0"/>
              <w:rPr>
                <w:sz w:val="20"/>
                <w:szCs w:val="20"/>
                <w:color w:val="auto"/>
              </w:rPr>
            </w:pPr>
            <w:r>
              <w:rPr>
                <w:rFonts w:ascii="Arial" w:cs="Arial" w:eastAsia="Arial" w:hAnsi="Arial"/>
                <w:sz w:val="14"/>
                <w:szCs w:val="14"/>
                <w:color w:val="auto"/>
              </w:rPr>
              <w:t>101.INS</w:t>
            </w:r>
          </w:p>
        </w:tc>
        <w:tc>
          <w:tcPr>
            <w:tcW w:w="9860" w:type="dxa"/>
            <w:vAlign w:val="bottom"/>
          </w:tcPr>
          <w:p>
            <w:pPr>
              <w:ind w:left="20"/>
              <w:spacing w:after="0"/>
              <w:rPr>
                <w:sz w:val="20"/>
                <w:szCs w:val="20"/>
                <w:color w:val="auto"/>
              </w:rPr>
            </w:pPr>
            <w:r>
              <w:rPr>
                <w:rFonts w:ascii="Arial" w:cs="Arial" w:eastAsia="Arial" w:hAnsi="Arial"/>
                <w:sz w:val="14"/>
                <w:szCs w:val="14"/>
                <w:color w:val="auto"/>
              </w:rPr>
              <w:t>XBRL Instance Document.</w:t>
            </w:r>
          </w:p>
        </w:tc>
      </w:tr>
      <w:tr>
        <w:trPr>
          <w:trHeight w:val="66"/>
        </w:trPr>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60" w:type="dxa"/>
            <w:vAlign w:val="bottom"/>
          </w:tcPr>
          <w:p>
            <w:pPr>
              <w:spacing w:after="0"/>
              <w:rPr>
                <w:sz w:val="5"/>
                <w:szCs w:val="5"/>
                <w:color w:val="auto"/>
              </w:rPr>
            </w:pPr>
          </w:p>
        </w:tc>
      </w:tr>
      <w:tr>
        <w:trPr>
          <w:trHeight w:val="204"/>
        </w:trPr>
        <w:tc>
          <w:tcPr>
            <w:tcW w:w="240" w:type="dxa"/>
            <w:vAlign w:val="bottom"/>
            <w:shd w:val="clear" w:color="auto" w:fill="CCEEFF"/>
          </w:tcPr>
          <w:p>
            <w:pPr>
              <w:spacing w:after="0"/>
              <w:rPr>
                <w:sz w:val="17"/>
                <w:szCs w:val="17"/>
                <w:color w:val="auto"/>
              </w:rPr>
            </w:pPr>
          </w:p>
        </w:tc>
        <w:tc>
          <w:tcPr>
            <w:tcW w:w="126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101.SCH</w:t>
            </w: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XBRL Taxonomy Extension Schema Document.</w:t>
            </w:r>
          </w:p>
        </w:tc>
      </w:tr>
      <w:tr>
        <w:trPr>
          <w:trHeight w:val="66"/>
        </w:trPr>
        <w:tc>
          <w:tcPr>
            <w:tcW w:w="2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860" w:type="dxa"/>
            <w:vAlign w:val="bottom"/>
            <w:shd w:val="clear" w:color="auto" w:fill="CCEEFF"/>
          </w:tcPr>
          <w:p>
            <w:pPr>
              <w:spacing w:after="0"/>
              <w:rPr>
                <w:sz w:val="5"/>
                <w:szCs w:val="5"/>
                <w:color w:val="auto"/>
              </w:rPr>
            </w:pPr>
          </w:p>
        </w:tc>
      </w:tr>
      <w:tr>
        <w:trPr>
          <w:trHeight w:val="204"/>
        </w:trPr>
        <w:tc>
          <w:tcPr>
            <w:tcW w:w="240" w:type="dxa"/>
            <w:vAlign w:val="bottom"/>
          </w:tcPr>
          <w:p>
            <w:pPr>
              <w:spacing w:after="0"/>
              <w:rPr>
                <w:sz w:val="17"/>
                <w:szCs w:val="17"/>
                <w:color w:val="auto"/>
              </w:rPr>
            </w:pPr>
          </w:p>
        </w:tc>
        <w:tc>
          <w:tcPr>
            <w:tcW w:w="1260" w:type="dxa"/>
            <w:vAlign w:val="bottom"/>
            <w:gridSpan w:val="5"/>
          </w:tcPr>
          <w:p>
            <w:pPr>
              <w:ind w:left="20"/>
              <w:spacing w:after="0"/>
              <w:rPr>
                <w:sz w:val="20"/>
                <w:szCs w:val="20"/>
                <w:color w:val="auto"/>
              </w:rPr>
            </w:pPr>
            <w:r>
              <w:rPr>
                <w:rFonts w:ascii="Arial" w:cs="Arial" w:eastAsia="Arial" w:hAnsi="Arial"/>
                <w:sz w:val="14"/>
                <w:szCs w:val="14"/>
                <w:color w:val="auto"/>
              </w:rPr>
              <w:t>101.CAL</w:t>
            </w:r>
          </w:p>
        </w:tc>
        <w:tc>
          <w:tcPr>
            <w:tcW w:w="9860" w:type="dxa"/>
            <w:vAlign w:val="bottom"/>
          </w:tcPr>
          <w:p>
            <w:pPr>
              <w:ind w:left="20"/>
              <w:spacing w:after="0"/>
              <w:rPr>
                <w:sz w:val="20"/>
                <w:szCs w:val="20"/>
                <w:color w:val="auto"/>
              </w:rPr>
            </w:pPr>
            <w:r>
              <w:rPr>
                <w:rFonts w:ascii="Arial" w:cs="Arial" w:eastAsia="Arial" w:hAnsi="Arial"/>
                <w:sz w:val="14"/>
                <w:szCs w:val="14"/>
                <w:color w:val="auto"/>
              </w:rPr>
              <w:t>XBRL Taxonomy Extension Calculation Linkbase Document.</w:t>
            </w:r>
          </w:p>
        </w:tc>
      </w:tr>
      <w:tr>
        <w:trPr>
          <w:trHeight w:val="66"/>
        </w:trPr>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60" w:type="dxa"/>
            <w:vAlign w:val="bottom"/>
          </w:tcPr>
          <w:p>
            <w:pPr>
              <w:spacing w:after="0"/>
              <w:rPr>
                <w:sz w:val="5"/>
                <w:szCs w:val="5"/>
                <w:color w:val="auto"/>
              </w:rPr>
            </w:pPr>
          </w:p>
        </w:tc>
      </w:tr>
      <w:tr>
        <w:trPr>
          <w:trHeight w:val="204"/>
        </w:trPr>
        <w:tc>
          <w:tcPr>
            <w:tcW w:w="240" w:type="dxa"/>
            <w:vAlign w:val="bottom"/>
            <w:shd w:val="clear" w:color="auto" w:fill="CCEEFF"/>
          </w:tcPr>
          <w:p>
            <w:pPr>
              <w:spacing w:after="0"/>
              <w:rPr>
                <w:sz w:val="17"/>
                <w:szCs w:val="17"/>
                <w:color w:val="auto"/>
              </w:rPr>
            </w:pPr>
          </w:p>
        </w:tc>
        <w:tc>
          <w:tcPr>
            <w:tcW w:w="126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101.DEF</w:t>
            </w: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XBRL Taxonomy Extension Definition Linkbase Document.</w:t>
            </w:r>
          </w:p>
        </w:tc>
      </w:tr>
      <w:tr>
        <w:trPr>
          <w:trHeight w:val="66"/>
        </w:trPr>
        <w:tc>
          <w:tcPr>
            <w:tcW w:w="2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860" w:type="dxa"/>
            <w:vAlign w:val="bottom"/>
            <w:shd w:val="clear" w:color="auto" w:fill="CCEEFF"/>
          </w:tcPr>
          <w:p>
            <w:pPr>
              <w:spacing w:after="0"/>
              <w:rPr>
                <w:sz w:val="5"/>
                <w:szCs w:val="5"/>
                <w:color w:val="auto"/>
              </w:rPr>
            </w:pPr>
          </w:p>
        </w:tc>
      </w:tr>
      <w:tr>
        <w:trPr>
          <w:trHeight w:val="204"/>
        </w:trPr>
        <w:tc>
          <w:tcPr>
            <w:tcW w:w="240" w:type="dxa"/>
            <w:vAlign w:val="bottom"/>
          </w:tcPr>
          <w:p>
            <w:pPr>
              <w:spacing w:after="0"/>
              <w:rPr>
                <w:sz w:val="17"/>
                <w:szCs w:val="17"/>
                <w:color w:val="auto"/>
              </w:rPr>
            </w:pPr>
          </w:p>
        </w:tc>
        <w:tc>
          <w:tcPr>
            <w:tcW w:w="1260" w:type="dxa"/>
            <w:vAlign w:val="bottom"/>
            <w:gridSpan w:val="5"/>
          </w:tcPr>
          <w:p>
            <w:pPr>
              <w:ind w:left="20"/>
              <w:spacing w:after="0"/>
              <w:rPr>
                <w:sz w:val="20"/>
                <w:szCs w:val="20"/>
                <w:color w:val="auto"/>
              </w:rPr>
            </w:pPr>
            <w:r>
              <w:rPr>
                <w:rFonts w:ascii="Arial" w:cs="Arial" w:eastAsia="Arial" w:hAnsi="Arial"/>
                <w:sz w:val="14"/>
                <w:szCs w:val="14"/>
                <w:color w:val="auto"/>
              </w:rPr>
              <w:t>101.LAB</w:t>
            </w:r>
          </w:p>
        </w:tc>
        <w:tc>
          <w:tcPr>
            <w:tcW w:w="9860" w:type="dxa"/>
            <w:vAlign w:val="bottom"/>
          </w:tcPr>
          <w:p>
            <w:pPr>
              <w:ind w:left="20"/>
              <w:spacing w:after="0"/>
              <w:rPr>
                <w:sz w:val="20"/>
                <w:szCs w:val="20"/>
                <w:color w:val="auto"/>
              </w:rPr>
            </w:pPr>
            <w:r>
              <w:rPr>
                <w:rFonts w:ascii="Arial" w:cs="Arial" w:eastAsia="Arial" w:hAnsi="Arial"/>
                <w:sz w:val="14"/>
                <w:szCs w:val="14"/>
                <w:color w:val="auto"/>
              </w:rPr>
              <w:t>XBRL Taxonomy Extension Label Linkbase Document.</w:t>
            </w:r>
          </w:p>
        </w:tc>
      </w:tr>
      <w:tr>
        <w:trPr>
          <w:trHeight w:val="66"/>
        </w:trPr>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60" w:type="dxa"/>
            <w:vAlign w:val="bottom"/>
          </w:tcPr>
          <w:p>
            <w:pPr>
              <w:spacing w:after="0"/>
              <w:rPr>
                <w:sz w:val="5"/>
                <w:szCs w:val="5"/>
                <w:color w:val="auto"/>
              </w:rPr>
            </w:pPr>
          </w:p>
        </w:tc>
      </w:tr>
      <w:tr>
        <w:trPr>
          <w:trHeight w:val="204"/>
        </w:trPr>
        <w:tc>
          <w:tcPr>
            <w:tcW w:w="240" w:type="dxa"/>
            <w:vAlign w:val="bottom"/>
            <w:shd w:val="clear" w:color="auto" w:fill="CCEEFF"/>
          </w:tcPr>
          <w:p>
            <w:pPr>
              <w:spacing w:after="0"/>
              <w:rPr>
                <w:sz w:val="17"/>
                <w:szCs w:val="17"/>
                <w:color w:val="auto"/>
              </w:rPr>
            </w:pPr>
          </w:p>
        </w:tc>
        <w:tc>
          <w:tcPr>
            <w:tcW w:w="126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101.PRE</w:t>
            </w: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XBRL Taxonomy Extension Presentation Linkbase Document.</w:t>
            </w:r>
          </w:p>
        </w:tc>
      </w:tr>
      <w:tr>
        <w:trPr>
          <w:trHeight w:val="66"/>
        </w:trPr>
        <w:tc>
          <w:tcPr>
            <w:tcW w:w="2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860" w:type="dxa"/>
            <w:vAlign w:val="bottom"/>
            <w:shd w:val="clear" w:color="auto" w:fill="CCEEFF"/>
          </w:tcPr>
          <w:p>
            <w:pPr>
              <w:spacing w:after="0"/>
              <w:rPr>
                <w:sz w:val="5"/>
                <w:szCs w:val="5"/>
                <w:color w:val="auto"/>
              </w:rPr>
            </w:pPr>
          </w:p>
        </w:tc>
      </w:tr>
    </w:tbl>
    <w:p>
      <w:pPr>
        <w:spacing w:after="0" w:line="18" w:lineRule="exact"/>
        <w:rPr>
          <w:sz w:val="20"/>
          <w:szCs w:val="20"/>
          <w:color w:val="auto"/>
        </w:rPr>
      </w:pPr>
    </w:p>
    <w:p>
      <w:pPr>
        <w:ind w:left="260" w:hanging="231"/>
        <w:spacing w:after="0"/>
        <w:tabs>
          <w:tab w:leader="none" w:pos="260" w:val="left"/>
        </w:tabs>
        <w:numPr>
          <w:ilvl w:val="0"/>
          <w:numId w:val="46"/>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contracts and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360"/>
          </w:cols>
          <w:pgMar w:left="280" w:top="747" w:right="259" w:bottom="1440" w:gutter="0" w:footer="0" w:header="0"/>
        </w:sectPr>
      </w:pPr>
    </w:p>
    <w:bookmarkStart w:id="96" w:name="page97"/>
    <w:bookmarkEnd w:id="96"/>
    <w:p>
      <w:pPr>
        <w:jc w:val="center"/>
        <w:ind w:right="-199"/>
        <w:spacing w:after="0"/>
        <w:rPr>
          <w:sz w:val="20"/>
          <w:szCs w:val="20"/>
          <w:color w:val="auto"/>
        </w:rPr>
      </w:pPr>
      <w:r>
        <w:rPr>
          <w:rFonts w:ascii="Arial" w:cs="Arial" w:eastAsia="Arial" w:hAnsi="Arial"/>
          <w:sz w:val="16"/>
          <w:szCs w:val="16"/>
          <w:b w:val="1"/>
          <w:bCs w:val="1"/>
          <w:color w:val="00497F"/>
        </w:rPr>
        <w:t>SIGNATURES</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FORTRESS TRANSPORTATION AND INFRASTRUCTURE INVESTORS LLC</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Joseph P. Adams, Jr.</w:t>
            </w:r>
          </w:p>
        </w:tc>
        <w:tc>
          <w:tcPr>
            <w:tcW w:w="4600" w:type="dxa"/>
            <w:vAlign w:val="bottom"/>
          </w:tcPr>
          <w:p>
            <w:pPr>
              <w:ind w:left="3900"/>
              <w:spacing w:after="0"/>
              <w:rPr>
                <w:sz w:val="20"/>
                <w:szCs w:val="20"/>
                <w:color w:val="auto"/>
              </w:rPr>
            </w:pPr>
            <w:r>
              <w:rPr>
                <w:rFonts w:ascii="Arial" w:cs="Arial" w:eastAsia="Arial" w:hAnsi="Arial"/>
                <w:sz w:val="16"/>
                <w:szCs w:val="16"/>
                <w:color w:val="auto"/>
              </w:rPr>
              <w:t>Date:</w:t>
            </w:r>
          </w:p>
        </w:tc>
        <w:tc>
          <w:tcPr>
            <w:tcW w:w="1660" w:type="dxa"/>
            <w:vAlign w:val="bottom"/>
          </w:tcPr>
          <w:p>
            <w:pPr>
              <w:ind w:left="320"/>
              <w:spacing w:after="0"/>
              <w:rPr>
                <w:sz w:val="20"/>
                <w:szCs w:val="20"/>
                <w:color w:val="auto"/>
              </w:rPr>
            </w:pPr>
            <w:r>
              <w:rPr>
                <w:rFonts w:ascii="Arial" w:cs="Arial" w:eastAsia="Arial" w:hAnsi="Arial"/>
                <w:sz w:val="16"/>
                <w:szCs w:val="16"/>
                <w:color w:val="auto"/>
              </w:rPr>
              <w:t>November 2, 2018</w:t>
            </w:r>
          </w:p>
        </w:tc>
      </w:tr>
      <w:tr>
        <w:trPr>
          <w:trHeight w:val="237"/>
        </w:trPr>
        <w:tc>
          <w:tcPr>
            <w:tcW w:w="54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Joseph P. Adams, Jr.</w:t>
            </w:r>
          </w:p>
        </w:tc>
        <w:tc>
          <w:tcPr>
            <w:tcW w:w="46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0"/>
        </w:trPr>
        <w:tc>
          <w:tcPr>
            <w:tcW w:w="540" w:type="dxa"/>
            <w:vAlign w:val="bottom"/>
          </w:tcPr>
          <w:p>
            <w:pPr>
              <w:spacing w:after="0"/>
              <w:rPr>
                <w:sz w:val="23"/>
                <w:szCs w:val="23"/>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Chairman and Chief Executive Officer</w:t>
            </w:r>
          </w:p>
        </w:tc>
        <w:tc>
          <w:tcPr>
            <w:tcW w:w="460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418"/>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Scott Christopher</w:t>
            </w:r>
          </w:p>
        </w:tc>
        <w:tc>
          <w:tcPr>
            <w:tcW w:w="4600" w:type="dxa"/>
            <w:vAlign w:val="bottom"/>
          </w:tcPr>
          <w:p>
            <w:pPr>
              <w:ind w:left="3900"/>
              <w:spacing w:after="0"/>
              <w:rPr>
                <w:sz w:val="20"/>
                <w:szCs w:val="20"/>
                <w:color w:val="auto"/>
              </w:rPr>
            </w:pPr>
            <w:r>
              <w:rPr>
                <w:rFonts w:ascii="Arial" w:cs="Arial" w:eastAsia="Arial" w:hAnsi="Arial"/>
                <w:sz w:val="16"/>
                <w:szCs w:val="16"/>
                <w:color w:val="auto"/>
              </w:rPr>
              <w:t>Date:</w:t>
            </w:r>
          </w:p>
        </w:tc>
        <w:tc>
          <w:tcPr>
            <w:tcW w:w="1660" w:type="dxa"/>
            <w:vAlign w:val="bottom"/>
          </w:tcPr>
          <w:p>
            <w:pPr>
              <w:ind w:left="320"/>
              <w:spacing w:after="0"/>
              <w:rPr>
                <w:sz w:val="20"/>
                <w:szCs w:val="20"/>
                <w:color w:val="auto"/>
              </w:rPr>
            </w:pPr>
            <w:r>
              <w:rPr>
                <w:rFonts w:ascii="Arial" w:cs="Arial" w:eastAsia="Arial" w:hAnsi="Arial"/>
                <w:sz w:val="16"/>
                <w:szCs w:val="16"/>
                <w:color w:val="auto"/>
              </w:rPr>
              <w:t>November 2, 2018</w:t>
            </w:r>
          </w:p>
        </w:tc>
      </w:tr>
      <w:tr>
        <w:trPr>
          <w:trHeight w:val="237"/>
        </w:trPr>
        <w:tc>
          <w:tcPr>
            <w:tcW w:w="54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Scott Christopher</w:t>
            </w:r>
          </w:p>
        </w:tc>
        <w:tc>
          <w:tcPr>
            <w:tcW w:w="46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0"/>
        </w:trPr>
        <w:tc>
          <w:tcPr>
            <w:tcW w:w="540" w:type="dxa"/>
            <w:vAlign w:val="bottom"/>
          </w:tcPr>
          <w:p>
            <w:pPr>
              <w:spacing w:after="0"/>
              <w:rPr>
                <w:sz w:val="23"/>
                <w:szCs w:val="23"/>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Chief Financial Officer</w:t>
            </w:r>
          </w:p>
        </w:tc>
        <w:tc>
          <w:tcPr>
            <w:tcW w:w="460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418"/>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Eun Nam</w:t>
            </w:r>
          </w:p>
        </w:tc>
        <w:tc>
          <w:tcPr>
            <w:tcW w:w="4600" w:type="dxa"/>
            <w:vAlign w:val="bottom"/>
          </w:tcPr>
          <w:p>
            <w:pPr>
              <w:ind w:left="3900"/>
              <w:spacing w:after="0"/>
              <w:rPr>
                <w:sz w:val="20"/>
                <w:szCs w:val="20"/>
                <w:color w:val="auto"/>
              </w:rPr>
            </w:pPr>
            <w:r>
              <w:rPr>
                <w:rFonts w:ascii="Arial" w:cs="Arial" w:eastAsia="Arial" w:hAnsi="Arial"/>
                <w:sz w:val="16"/>
                <w:szCs w:val="16"/>
                <w:color w:val="auto"/>
              </w:rPr>
              <w:t>Date:</w:t>
            </w:r>
          </w:p>
        </w:tc>
        <w:tc>
          <w:tcPr>
            <w:tcW w:w="1660" w:type="dxa"/>
            <w:vAlign w:val="bottom"/>
          </w:tcPr>
          <w:p>
            <w:pPr>
              <w:ind w:left="320"/>
              <w:spacing w:after="0"/>
              <w:rPr>
                <w:sz w:val="20"/>
                <w:szCs w:val="20"/>
                <w:color w:val="auto"/>
              </w:rPr>
            </w:pPr>
            <w:r>
              <w:rPr>
                <w:rFonts w:ascii="Arial" w:cs="Arial" w:eastAsia="Arial" w:hAnsi="Arial"/>
                <w:sz w:val="16"/>
                <w:szCs w:val="16"/>
                <w:color w:val="auto"/>
              </w:rPr>
              <w:t>November 2, 2018</w:t>
            </w:r>
          </w:p>
        </w:tc>
      </w:tr>
      <w:tr>
        <w:trPr>
          <w:trHeight w:val="237"/>
        </w:trPr>
        <w:tc>
          <w:tcPr>
            <w:tcW w:w="54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Eun Nam</w:t>
            </w:r>
          </w:p>
        </w:tc>
        <w:tc>
          <w:tcPr>
            <w:tcW w:w="46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0"/>
        </w:trPr>
        <w:tc>
          <w:tcPr>
            <w:tcW w:w="540" w:type="dxa"/>
            <w:vAlign w:val="bottom"/>
          </w:tcPr>
          <w:p>
            <w:pPr>
              <w:spacing w:after="0"/>
              <w:rPr>
                <w:sz w:val="23"/>
                <w:szCs w:val="23"/>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Chief Accounting Officer</w:t>
            </w:r>
          </w:p>
        </w:tc>
        <w:tc>
          <w:tcPr>
            <w:tcW w:w="460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675"/>
        </w:trPr>
        <w:tc>
          <w:tcPr>
            <w:tcW w:w="5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600" w:type="dxa"/>
            <w:vAlign w:val="bottom"/>
          </w:tcPr>
          <w:p>
            <w:pPr>
              <w:jc w:val="right"/>
              <w:ind w:right="2959"/>
              <w:spacing w:after="0"/>
              <w:rPr>
                <w:sz w:val="20"/>
                <w:szCs w:val="20"/>
                <w:color w:val="auto"/>
              </w:rPr>
            </w:pPr>
            <w:r>
              <w:rPr>
                <w:rFonts w:ascii="Arial" w:cs="Arial" w:eastAsia="Arial" w:hAnsi="Arial"/>
                <w:sz w:val="16"/>
                <w:szCs w:val="16"/>
                <w:color w:val="auto"/>
              </w:rPr>
              <w:t>97</w:t>
            </w:r>
          </w:p>
        </w:tc>
        <w:tc>
          <w:tcPr>
            <w:tcW w:w="1660" w:type="dxa"/>
            <w:vAlign w:val="bottom"/>
          </w:tcPr>
          <w:p>
            <w:pPr>
              <w:spacing w:after="0"/>
              <w:rPr>
                <w:sz w:val="24"/>
                <w:szCs w:val="24"/>
                <w:color w:val="auto"/>
              </w:rPr>
            </w:pPr>
          </w:p>
        </w:tc>
      </w:tr>
    </w:tbl>
    <w:p>
      <w:pPr>
        <w:sectPr>
          <w:pgSz w:w="11900" w:h="16838" w:orient="portrait"/>
          <w:cols w:equalWidth="0" w:num="1">
            <w:col w:w="11220"/>
          </w:cols>
          <w:pgMar w:left="240" w:top="635" w:right="439" w:bottom="1440" w:gutter="0" w:footer="0" w:header="0"/>
        </w:sectPr>
      </w:pPr>
    </w:p>
    <w:bookmarkStart w:id="97" w:name="page98"/>
    <w:bookmarkEnd w:id="97"/>
    <w:p>
      <w:pPr>
        <w:jc w:val="center"/>
        <w:spacing w:after="0"/>
        <w:rPr>
          <w:sz w:val="20"/>
          <w:szCs w:val="20"/>
          <w:color w:val="auto"/>
        </w:rPr>
      </w:pPr>
      <w:r>
        <w:rPr>
          <w:rFonts w:ascii="Arial" w:cs="Arial" w:eastAsia="Arial" w:hAnsi="Arial"/>
          <w:sz w:val="16"/>
          <w:szCs w:val="16"/>
          <w:b w:val="1"/>
          <w:bCs w:val="1"/>
          <w:color w:val="auto"/>
        </w:rPr>
        <w:t>EXHIBIT 31.1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EXECUTIVE OFFICER</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I, Joseph P. Adams. Jr., certify that:</w:t>
      </w:r>
    </w:p>
    <w:p>
      <w:pPr>
        <w:spacing w:after="0" w:line="194"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67" w:lineRule="exact"/>
        <w:rPr>
          <w:rFonts w:ascii="Arial" w:cs="Arial" w:eastAsia="Arial" w:hAnsi="Arial"/>
          <w:sz w:val="16"/>
          <w:szCs w:val="16"/>
          <w:color w:val="auto"/>
        </w:rPr>
      </w:pPr>
    </w:p>
    <w:p>
      <w:pPr>
        <w:ind w:right="20" w:firstLine="8"/>
        <w:spacing w:after="0" w:line="260" w:lineRule="auto"/>
        <w:tabs>
          <w:tab w:leader="none" w:pos="396"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6"/>
          <w:szCs w:val="16"/>
          <w:color w:val="auto"/>
        </w:rPr>
      </w:pPr>
    </w:p>
    <w:p>
      <w:pPr>
        <w:ind w:right="20" w:firstLine="8"/>
        <w:spacing w:after="0" w:line="260" w:lineRule="auto"/>
        <w:tabs>
          <w:tab w:leader="none" w:pos="33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jc w:val="both"/>
        <w:ind w:firstLine="8"/>
        <w:spacing w:after="0" w:line="253" w:lineRule="auto"/>
        <w:tabs>
          <w:tab w:leader="none" w:pos="442"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jc w:val="both"/>
        <w:ind w:firstLine="656"/>
        <w:spacing w:after="0" w:line="253" w:lineRule="auto"/>
        <w:tabs>
          <w:tab w:leader="none" w:pos="1038"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jc w:val="both"/>
        <w:ind w:firstLine="656"/>
        <w:spacing w:after="0" w:line="253" w:lineRule="auto"/>
        <w:tabs>
          <w:tab w:leader="none" w:pos="1204"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firstLine="656"/>
        <w:spacing w:after="0" w:line="260" w:lineRule="auto"/>
        <w:tabs>
          <w:tab w:leader="none" w:pos="1138"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jc w:val="both"/>
        <w:ind w:firstLine="656"/>
        <w:spacing w:after="0" w:line="253" w:lineRule="auto"/>
        <w:tabs>
          <w:tab w:leader="none" w:pos="1078" w:val="left"/>
        </w:tabs>
        <w:numPr>
          <w:ilvl w:val="1"/>
          <w:numId w:val="4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firstLine="8"/>
        <w:spacing w:after="0" w:line="260" w:lineRule="auto"/>
        <w:tabs>
          <w:tab w:leader="none" w:pos="389"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firstLine="656"/>
        <w:spacing w:after="0" w:line="260" w:lineRule="auto"/>
        <w:tabs>
          <w:tab w:leader="none" w:pos="1062"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right="20" w:firstLine="656"/>
        <w:spacing w:after="0" w:line="260" w:lineRule="auto"/>
        <w:tabs>
          <w:tab w:leader="none" w:pos="1048" w:val="left"/>
        </w:tabs>
        <w:numPr>
          <w:ilvl w:val="1"/>
          <w:numId w:val="4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November 2, 2018</w:t>
            </w:r>
          </w:p>
        </w:tc>
        <w:tc>
          <w:tcPr>
            <w:tcW w:w="5480" w:type="dxa"/>
            <w:vAlign w:val="bottom"/>
          </w:tcPr>
          <w:p>
            <w:pPr>
              <w:spacing w:after="0"/>
              <w:rPr>
                <w:sz w:val="19"/>
                <w:szCs w:val="19"/>
                <w:color w:val="auto"/>
              </w:rPr>
            </w:pPr>
          </w:p>
        </w:tc>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Joseph P. Adams, Jr.</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(Date)</w:t>
            </w:r>
          </w:p>
        </w:tc>
        <w:tc>
          <w:tcPr>
            <w:tcW w:w="3760" w:type="dxa"/>
            <w:vAlign w:val="bottom"/>
          </w:tcPr>
          <w:p>
            <w:pPr>
              <w:ind w:left="40"/>
              <w:spacing w:after="0"/>
              <w:rPr>
                <w:sz w:val="20"/>
                <w:szCs w:val="20"/>
                <w:color w:val="auto"/>
              </w:rPr>
            </w:pPr>
            <w:r>
              <w:rPr>
                <w:rFonts w:ascii="Arial" w:cs="Arial" w:eastAsia="Arial" w:hAnsi="Arial"/>
                <w:sz w:val="16"/>
                <w:szCs w:val="16"/>
                <w:color w:val="auto"/>
              </w:rPr>
              <w:t>Joseph P. Adams, Jr.</w:t>
            </w:r>
          </w:p>
        </w:tc>
      </w:tr>
      <w:tr>
        <w:trPr>
          <w:trHeight w:val="270"/>
        </w:trPr>
        <w:tc>
          <w:tcPr>
            <w:tcW w:w="2180" w:type="dxa"/>
            <w:vAlign w:val="bottom"/>
          </w:tcPr>
          <w:p>
            <w:pPr>
              <w:spacing w:after="0"/>
              <w:rPr>
                <w:sz w:val="23"/>
                <w:szCs w:val="23"/>
                <w:color w:val="auto"/>
              </w:rPr>
            </w:pPr>
          </w:p>
        </w:tc>
        <w:tc>
          <w:tcPr>
            <w:tcW w:w="548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1420"/>
          </w:cols>
          <w:pgMar w:left="240" w:top="581"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6"/>
          <w:szCs w:val="16"/>
          <w:b w:val="1"/>
          <w:bCs w:val="1"/>
          <w:color w:val="auto"/>
        </w:rPr>
        <w:t>EXHIBIT 31.2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FINANCIAL OFFICER</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I, Scott Christopher, certify that:</w:t>
      </w:r>
    </w:p>
    <w:p>
      <w:pPr>
        <w:spacing w:after="0" w:line="194"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67" w:lineRule="exact"/>
        <w:rPr>
          <w:rFonts w:ascii="Arial" w:cs="Arial" w:eastAsia="Arial" w:hAnsi="Arial"/>
          <w:sz w:val="16"/>
          <w:szCs w:val="16"/>
          <w:color w:val="auto"/>
        </w:rPr>
      </w:pPr>
    </w:p>
    <w:p>
      <w:pPr>
        <w:ind w:firstLine="8"/>
        <w:spacing w:after="0" w:line="260" w:lineRule="auto"/>
        <w:tabs>
          <w:tab w:leader="none" w:pos="452"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6"/>
          <w:szCs w:val="16"/>
          <w:color w:val="auto"/>
        </w:rPr>
      </w:pPr>
    </w:p>
    <w:p>
      <w:pPr>
        <w:ind w:right="20" w:firstLine="8"/>
        <w:spacing w:after="0" w:line="260" w:lineRule="auto"/>
        <w:tabs>
          <w:tab w:leader="none" w:pos="33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jc w:val="both"/>
        <w:ind w:firstLine="8"/>
        <w:spacing w:after="0" w:line="253" w:lineRule="auto"/>
        <w:tabs>
          <w:tab w:leader="none" w:pos="442"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jc w:val="both"/>
        <w:ind w:firstLine="656"/>
        <w:spacing w:after="0" w:line="253" w:lineRule="auto"/>
        <w:tabs>
          <w:tab w:leader="none" w:pos="1038" w:val="left"/>
        </w:tabs>
        <w:numPr>
          <w:ilvl w:val="1"/>
          <w:numId w:val="4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jc w:val="both"/>
        <w:ind w:firstLine="656"/>
        <w:spacing w:after="0" w:line="253" w:lineRule="auto"/>
        <w:tabs>
          <w:tab w:leader="none" w:pos="1204" w:val="left"/>
        </w:tabs>
        <w:numPr>
          <w:ilvl w:val="1"/>
          <w:numId w:val="4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firstLine="656"/>
        <w:spacing w:after="0" w:line="260" w:lineRule="auto"/>
        <w:tabs>
          <w:tab w:leader="none" w:pos="1138"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jc w:val="both"/>
        <w:ind w:firstLine="656"/>
        <w:spacing w:after="0" w:line="253" w:lineRule="auto"/>
        <w:tabs>
          <w:tab w:leader="none" w:pos="1078" w:val="left"/>
        </w:tabs>
        <w:numPr>
          <w:ilvl w:val="1"/>
          <w:numId w:val="4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firstLine="8"/>
        <w:spacing w:after="0" w:line="260" w:lineRule="auto"/>
        <w:tabs>
          <w:tab w:leader="none" w:pos="389"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firstLine="656"/>
        <w:spacing w:after="0" w:line="260" w:lineRule="auto"/>
        <w:tabs>
          <w:tab w:leader="none" w:pos="1062"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right="20" w:firstLine="656"/>
        <w:spacing w:after="0" w:line="260" w:lineRule="auto"/>
        <w:tabs>
          <w:tab w:leader="none" w:pos="1048" w:val="left"/>
        </w:tabs>
        <w:numPr>
          <w:ilvl w:val="1"/>
          <w:numId w:val="4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November 2, 2018</w:t>
            </w:r>
          </w:p>
        </w:tc>
        <w:tc>
          <w:tcPr>
            <w:tcW w:w="5700" w:type="dxa"/>
            <w:vAlign w:val="bottom"/>
          </w:tcPr>
          <w:p>
            <w:pPr>
              <w:spacing w:after="0"/>
              <w:rPr>
                <w:sz w:val="19"/>
                <w:szCs w:val="19"/>
                <w:color w:val="auto"/>
              </w:rPr>
            </w:pPr>
          </w:p>
        </w:tc>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Scott Christopher</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(Date)</w:t>
            </w:r>
          </w:p>
        </w:tc>
        <w:tc>
          <w:tcPr>
            <w:tcW w:w="3760" w:type="dxa"/>
            <w:vAlign w:val="bottom"/>
          </w:tcPr>
          <w:p>
            <w:pPr>
              <w:ind w:left="40"/>
              <w:spacing w:after="0"/>
              <w:rPr>
                <w:sz w:val="20"/>
                <w:szCs w:val="20"/>
                <w:color w:val="auto"/>
              </w:rPr>
            </w:pPr>
            <w:r>
              <w:rPr>
                <w:rFonts w:ascii="Arial" w:cs="Arial" w:eastAsia="Arial" w:hAnsi="Arial"/>
                <w:sz w:val="16"/>
                <w:szCs w:val="16"/>
                <w:color w:val="auto"/>
              </w:rPr>
              <w:t>Scott Christopher</w:t>
            </w:r>
          </w:p>
        </w:tc>
      </w:tr>
      <w:tr>
        <w:trPr>
          <w:trHeight w:val="270"/>
        </w:trPr>
        <w:tc>
          <w:tcPr>
            <w:tcW w:w="1960" w:type="dxa"/>
            <w:vAlign w:val="bottom"/>
          </w:tcPr>
          <w:p>
            <w:pPr>
              <w:spacing w:after="0"/>
              <w:rPr>
                <w:sz w:val="23"/>
                <w:szCs w:val="23"/>
                <w:color w:val="auto"/>
              </w:rPr>
            </w:pPr>
          </w:p>
        </w:tc>
        <w:tc>
          <w:tcPr>
            <w:tcW w:w="57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420"/>
          </w:cols>
          <w:pgMar w:left="240" w:top="580" w:right="23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September 30, 2018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49" w:lineRule="exact"/>
        <w:rPr>
          <w:sz w:val="20"/>
          <w:szCs w:val="20"/>
          <w:color w:val="auto"/>
        </w:rPr>
      </w:pPr>
    </w:p>
    <w:p>
      <w:pPr>
        <w:ind w:left="380" w:hanging="372"/>
        <w:spacing w:after="0"/>
        <w:tabs>
          <w:tab w:leader="none" w:pos="3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329" w:lineRule="exact"/>
        <w:rPr>
          <w:rFonts w:ascii="Arial" w:cs="Arial" w:eastAsia="Arial" w:hAnsi="Arial"/>
          <w:sz w:val="16"/>
          <w:szCs w:val="16"/>
          <w:color w:val="auto"/>
        </w:rPr>
      </w:pPr>
    </w:p>
    <w:p>
      <w:pPr>
        <w:ind w:left="380" w:hanging="372"/>
        <w:spacing w:after="0"/>
        <w:tabs>
          <w:tab w:leader="none" w:pos="3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6277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Joseph P. Adams, Jr.</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November 2, 2018</w:t>
      </w:r>
    </w:p>
    <w:p>
      <w:pPr>
        <w:spacing w:after="0" w:line="19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4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1" w:right="2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September 30, 2018 as filed with the Securities and Exchange Commission on the date hereof (the “Report”), Scott Christopher, as Chief Financial Officer of the Company, hereby certifies, pursuant to 18 U.S.C. Section 1350, as adopted pursuant to Section 906 of the Sarbanes-Oxley Act of 2002, that, to the best of his knowledge:</w:t>
      </w:r>
    </w:p>
    <w:p>
      <w:pPr>
        <w:spacing w:after="0" w:line="149" w:lineRule="exact"/>
        <w:rPr>
          <w:sz w:val="20"/>
          <w:szCs w:val="20"/>
          <w:color w:val="auto"/>
        </w:rPr>
      </w:pPr>
    </w:p>
    <w:p>
      <w:pPr>
        <w:ind w:left="380" w:hanging="372"/>
        <w:spacing w:after="0"/>
        <w:tabs>
          <w:tab w:leader="none" w:pos="3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329" w:lineRule="exact"/>
        <w:rPr>
          <w:rFonts w:ascii="Arial" w:cs="Arial" w:eastAsia="Arial" w:hAnsi="Arial"/>
          <w:sz w:val="16"/>
          <w:szCs w:val="16"/>
          <w:color w:val="auto"/>
        </w:rPr>
      </w:pPr>
    </w:p>
    <w:p>
      <w:pPr>
        <w:ind w:left="380" w:hanging="372"/>
        <w:spacing w:after="0"/>
        <w:tabs>
          <w:tab w:leader="none" w:pos="3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Scott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6277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Scott Christopher</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Financial Officer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November 2, 2018</w:t>
      </w:r>
    </w:p>
    <w:p>
      <w:pPr>
        <w:spacing w:after="0" w:line="19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4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1."/>
      <w:numFmt w:val="decimal"/>
      <w:start w:val="7"/>
    </w:lvl>
  </w:abstractNum>
  <w:abstractNum w:abstractNumId="7">
    <w:nsid w:val="2901D82"/>
    <w:multiLevelType w:val="hybridMultilevel"/>
    <w:lvl w:ilvl="0">
      <w:lvlJc w:val="left"/>
      <w:lvlText w:val="%1."/>
      <w:numFmt w:val="decimal"/>
      <w:start w:val="8"/>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1)"/>
      <w:numFmt w:val="lowerLetter"/>
      <w:start w:val="2"/>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1)"/>
      <w:numFmt w:val="decimal"/>
      <w:start w:val="3"/>
    </w:lvl>
  </w:abstractNum>
  <w:abstractNum w:abstractNumId="16">
    <w:nsid w:val="3006C83E"/>
    <w:multiLevelType w:val="hybridMultilevel"/>
    <w:lvl w:ilvl="0">
      <w:lvlJc w:val="left"/>
      <w:lvlText w:val="(%1)"/>
      <w:numFmt w:val="decimal"/>
      <w:start w:val="4"/>
    </w:lvl>
  </w:abstractNum>
  <w:abstractNum w:abstractNumId="17">
    <w:nsid w:val="614FD4A1"/>
    <w:multiLevelType w:val="hybridMultilevel"/>
    <w:lvl w:ilvl="0">
      <w:lvlJc w:val="left"/>
      <w:lvlText w:val="(%1)"/>
      <w:numFmt w:val="lowerRoman"/>
      <w:start w:val="2"/>
    </w:lvl>
  </w:abstractNum>
  <w:abstractNum w:abstractNumId="18">
    <w:nsid w:val="419AC241"/>
    <w:multiLevelType w:val="hybridMultilevel"/>
    <w:lvl w:ilvl="0">
      <w:lvlJc w:val="left"/>
      <w:lvlText w:val="(%1)"/>
      <w:numFmt w:val="lowerRoman"/>
      <w:start w:val="2"/>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1)"/>
      <w:numFmt w:val="decimal"/>
      <w:start w:val="2"/>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1)"/>
      <w:numFmt w:val="decimal"/>
      <w:start w:val="2"/>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4"/>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1)"/>
      <w:numFmt w:val="lowerRoman"/>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1"/>
      <w:numFmt w:val="upperLetter"/>
      <w:start w:val="35"/>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43" Type="http://schemas.openxmlformats.org/officeDocument/2006/relationships/image" Target="media/image16.png"/><Relationship Id="rId50" Type="http://schemas.openxmlformats.org/officeDocument/2006/relationships/image" Target="media/image17.png"/><Relationship Id="rId51" Type="http://schemas.openxmlformats.org/officeDocument/2006/relationships/image" Target="media/image18.png"/><Relationship Id="rId23" Type="http://schemas.openxmlformats.org/officeDocument/2006/relationships/hyperlink" Target="http://www.sec.gov/Archives/edgar/data/1590364/000119312515163776/d616610dex31.htm" TargetMode="External"/><Relationship Id="rId24" Type="http://schemas.openxmlformats.org/officeDocument/2006/relationships/hyperlink" Target="http://www.sec.gov/Archives/edgar/data/1590364/000119312515197222/d931434dex31.htm" TargetMode="External"/><Relationship Id="rId25" Type="http://schemas.openxmlformats.org/officeDocument/2006/relationships/hyperlink" Target="http://www.sec.gov/Archives/edgar/data/1590364/000159036416000014/ftai12312015exhibit33.htm" TargetMode="External"/><Relationship Id="rId26" Type="http://schemas.openxmlformats.org/officeDocument/2006/relationships/hyperlink" Target="http://www.sec.gov/Archives/edgar/data/1590364/000095015717000381/ex4-1.htm" TargetMode="External"/><Relationship Id="rId27" Type="http://schemas.openxmlformats.org/officeDocument/2006/relationships/hyperlink" Target="http://www.sec.gov/Archives/edgar/data/1590364/000095015717000381/0000950157-17-000381-index.htm" TargetMode="External"/><Relationship Id="rId28" Type="http://schemas.openxmlformats.org/officeDocument/2006/relationships/hyperlink" Target="http://www.sec.gov/Archives/edgar/data/1590364/000159036418000003/ftai12312017exhibit43.htm" TargetMode="External"/><Relationship Id="rId29" Type="http://schemas.openxmlformats.org/officeDocument/2006/relationships/hyperlink" Target="http://www.sec.gov/Archives/edgar/data/1590364/000095015717001232/ex4-1.htm" TargetMode="External"/><Relationship Id="rId30" Type="http://schemas.openxmlformats.org/officeDocument/2006/relationships/hyperlink" Target="http://www.sec.gov/Archives/edgar/data/1590364/000114036117046889/s001999x5_ex4-1.htm" TargetMode="External"/><Relationship Id="rId31" Type="http://schemas.openxmlformats.org/officeDocument/2006/relationships/hyperlink" Target="http://www.sec.gov/Archives/edgar/data/1590364/000114036118026546/ex4_1.htm" TargetMode="External"/><Relationship Id="rId32" Type="http://schemas.openxmlformats.org/officeDocument/2006/relationships/hyperlink" Target="http://www.sec.gov/Archives/edgar/data/1590364/000114036118038650/ex4_1.htm" TargetMode="External"/><Relationship Id="rId33" Type="http://schemas.openxmlformats.org/officeDocument/2006/relationships/hyperlink" Target="http://www.sec.gov/Archives/edgar/data/1590364/000119312515197222/d931434dex101.htm" TargetMode="External"/><Relationship Id="rId34" Type="http://schemas.openxmlformats.org/officeDocument/2006/relationships/hyperlink" Target="http://www.sec.gov/Archives/edgar/data/1590364/000119312515197222/d931434dex102.htm" TargetMode="External"/><Relationship Id="rId35" Type="http://schemas.openxmlformats.org/officeDocument/2006/relationships/hyperlink" Target="http://www.sec.gov/Archives/edgar/data/1590364/000119312515163776/d616610dex103.htm" TargetMode="External"/><Relationship Id="rId36" Type="http://schemas.openxmlformats.org/officeDocument/2006/relationships/hyperlink" Target="http://www.sec.gov/Archives/edgar/data/1590364/000119312515197222/d931434dex103.htm" TargetMode="External"/><Relationship Id="rId37" Type="http://schemas.openxmlformats.org/officeDocument/2006/relationships/hyperlink" Target="http://www.sec.gov/Archives/edgar/data/1590364/000119312515163776/d616610dex105.htm" TargetMode="External"/><Relationship Id="rId38" Type="http://schemas.openxmlformats.org/officeDocument/2006/relationships/hyperlink" Target="http://www.sec.gov/Archives/edgar/data/1590364/000119312515163776/d616610dex106.htm" TargetMode="External"/><Relationship Id="rId39" Type="http://schemas.openxmlformats.org/officeDocument/2006/relationships/hyperlink" Target="http://www.sec.gov/Archives/edgar/data/1590364/000159036416000014/ftai12312015exhibit107.htm" TargetMode="External"/><Relationship Id="rId40" Type="http://schemas.openxmlformats.org/officeDocument/2006/relationships/hyperlink" Target="http://www.sec.gov/Archives/edgar/data/1590364/000159036416000014/ftai12312015exhibit108.htm" TargetMode="External"/><Relationship Id="rId41" Type="http://schemas.openxmlformats.org/officeDocument/2006/relationships/hyperlink" Target="http://www.sec.gov/Archives/edgar/data/1590364/000159036416000014/ftai12312015exhibit109.htm" TargetMode="External"/><Relationship Id="rId42" Type="http://schemas.openxmlformats.org/officeDocument/2006/relationships/hyperlink" Target="http://www.sec.gov/Archives/edgar/data/1590364/000159036416000014/ftai12312015exhibit1010.htm" TargetMode="External"/><Relationship Id="rId44" Type="http://schemas.openxmlformats.org/officeDocument/2006/relationships/hyperlink" Target="http://www.sec.gov/Archives/edgar/data/1590364/000159036416000014/0001590364-16-000014-index.htm" TargetMode="External"/><Relationship Id="rId45" Type="http://schemas.openxmlformats.org/officeDocument/2006/relationships/hyperlink" Target="http://www.sec.gov/Archives/edgar/data/1590364/000159036416000014/ftai12312015exhibit1012.htm" TargetMode="External"/><Relationship Id="rId46" Type="http://schemas.openxmlformats.org/officeDocument/2006/relationships/hyperlink" Target="http://www.sec.gov/Archives/edgar/data/1590364/000156761917000090/s001516x1_ex10-1.htm" TargetMode="External"/><Relationship Id="rId47" Type="http://schemas.openxmlformats.org/officeDocument/2006/relationships/hyperlink" Target="http://www.sec.gov/Archives/edgar/data/1590364/000156761917001299/s001761x1_ex10-1.htm" TargetMode="External"/><Relationship Id="rId48" Type="http://schemas.openxmlformats.org/officeDocument/2006/relationships/hyperlink" Target="http://www.sec.gov/Archives/edgar/data/1590364/000159036418000010/creditagreement-exhibit1015.htm" TargetMode="External"/><Relationship Id="rId49" Type="http://schemas.openxmlformats.org/officeDocument/2006/relationships/hyperlink" Target="http://www.sec.gov/Archives/edgar/data/1590364/000114036118002262/s002014x3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2019-12-28T18:39:17Z</dcterms:created>
  <dcterms:modified xsi:type="dcterms:W3CDTF">2019-12-28T18:39:17Z</dcterms:modified>
</cp:coreProperties>
</file>