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 SECURITIES AND EXCHANGE COMMISSION</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tbl>
      <w:tblPr>
        <w:tblW w:w="9657" w:type="dxa"/>
        <w:jc w:val="center"/>
        <w:tblInd w:w="0" w:type="dxa"/>
        <w:tblLayout w:type="fixed"/>
        <w:tblCellMar>
          <w:top w:w="28" w:type="dxa"/>
          <w:left w:w="28" w:type="dxa"/>
          <w:bottom w:w="28" w:type="dxa"/>
          <w:right w:w="28" w:type="dxa"/>
        </w:tblCellMar>
      </w:tblPr>
      <w:tblGrid>
        <w:gridCol w:w="124"/>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Arial;sans-serif" w:hAnsi="Arial;sans-serif"/>
          <w:b w:val="false"/>
          <w:color w:val="000000"/>
          <w:sz w:val="18"/>
        </w:rPr>
        <w:t>For the quarterly period ended </w:t>
      </w:r>
      <w:r>
        <w:rPr>
          <w:rFonts w:ascii="Arial;sans-serif" w:hAnsi="Arial;sans-serif"/>
          <w:b/>
          <w:color w:val="000000"/>
          <w:sz w:val="18"/>
        </w:rPr>
        <w:t>June 30, 2023</w:t>
      </w:r>
      <w:r>
        <w:rPr>
          <w:color w:val="000000"/>
        </w:rPr>
        <w:t xml:space="preserve"> </w:t>
      </w:r>
    </w:p>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OR</w:t>
      </w:r>
    </w:p>
    <w:tbl>
      <w:tblPr>
        <w:tblW w:w="9626" w:type="dxa"/>
        <w:jc w:val="center"/>
        <w:tblInd w:w="0" w:type="dxa"/>
        <w:tblLayout w:type="fixed"/>
        <w:tblCellMar>
          <w:top w:w="28" w:type="dxa"/>
          <w:left w:w="28" w:type="dxa"/>
          <w:bottom w:w="28" w:type="dxa"/>
          <w:right w:w="28" w:type="dxa"/>
        </w:tblCellMar>
      </w:tblPr>
      <w:tblGrid>
        <w:gridCol w:w="124"/>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____ to ____</w:t>
      </w:r>
    </w:p>
    <w:p>
      <w:pPr>
        <w:pStyle w:val="TextBody"/>
        <w:bidi w:val="0"/>
        <w:spacing w:lineRule="auto" w:line="288" w:before="6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001-37386</w:t>
      </w:r>
      <w:r>
        <w:rPr>
          <w:color w:val="000000"/>
        </w:rPr>
        <w:t xml:space="preserve"> </w:t>
      </w:r>
    </w:p>
    <w:p>
      <w:pPr>
        <w:pStyle w:val="TextBody"/>
        <w:bidi w:val="0"/>
        <w:spacing w:before="120" w:after="283"/>
        <w:jc w:val="center"/>
        <w:rPr/>
      </w:pPr>
      <w:r>
        <w:rPr/>
        <w:drawing>
          <wp:inline distT="0" distB="0" distL="0" distR="0">
            <wp:extent cx="14382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5524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FTAI AVIATION LTD.</w:t>
      </w:r>
    </w:p>
    <w:p>
      <w:pPr>
        <w:pStyle w:val="TextBody"/>
        <w:bidi w:val="0"/>
        <w:spacing w:lineRule="auto" w:line="288" w:before="0" w:after="0"/>
        <w:jc w:val="center"/>
        <w:rPr/>
      </w:pPr>
      <w:r>
        <w:rPr>
          <w:rFonts w:ascii="Arial;sans-serif" w:hAnsi="Arial;sans-serif"/>
          <w:b w:val="false"/>
          <w:color w:val="000000"/>
          <w:sz w:val="18"/>
        </w:rPr>
        <w:t>(Exact name of registrant as specified in its charter</w:t>
      </w:r>
      <w:r>
        <w:rPr>
          <w:rFonts w:ascii="Arial;sans-serif" w:hAnsi="Arial;sans-serif"/>
          <w:b w:val="false"/>
          <w:color w:val="000000"/>
          <w:sz w:val="20"/>
        </w:rPr>
        <w:t>)</w:t>
      </w:r>
    </w:p>
    <w:tbl>
      <w:tblPr>
        <w:tblW w:w="10052" w:type="dxa"/>
        <w:jc w:val="left"/>
        <w:tblInd w:w="0" w:type="dxa"/>
        <w:tblLayout w:type="fixed"/>
        <w:tblCellMar>
          <w:top w:w="28" w:type="dxa"/>
          <w:left w:w="28" w:type="dxa"/>
          <w:bottom w:w="28" w:type="dxa"/>
          <w:right w:w="28" w:type="dxa"/>
        </w:tblCellMar>
      </w:tblPr>
      <w:tblGrid>
        <w:gridCol w:w="1302"/>
        <w:gridCol w:w="1149"/>
        <w:gridCol w:w="1149"/>
        <w:gridCol w:w="532"/>
        <w:gridCol w:w="532"/>
        <w:gridCol w:w="532"/>
        <w:gridCol w:w="532"/>
        <w:gridCol w:w="532"/>
        <w:gridCol w:w="532"/>
        <w:gridCol w:w="109"/>
        <w:gridCol w:w="109"/>
        <w:gridCol w:w="109"/>
        <w:gridCol w:w="309"/>
        <w:gridCol w:w="309"/>
        <w:gridCol w:w="309"/>
        <w:gridCol w:w="309"/>
        <w:gridCol w:w="309"/>
        <w:gridCol w:w="309"/>
        <w:gridCol w:w="309"/>
        <w:gridCol w:w="309"/>
        <w:gridCol w:w="461"/>
      </w:tblGrid>
      <w:tr>
        <w:trPr/>
        <w:tc>
          <w:tcPr>
            <w:tcW w:w="130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67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98-1420784</w:t>
            </w:r>
          </w:p>
        </w:tc>
      </w:tr>
      <w:tr>
        <w:trPr/>
        <w:tc>
          <w:tcPr>
            <w:tcW w:w="67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1345 Avenue of the Americas, 45th Floor</w:t>
            </w:r>
          </w:p>
        </w:tc>
        <w:tc>
          <w:tcPr>
            <w:tcW w:w="15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New York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10105</w:t>
            </w:r>
          </w:p>
        </w:tc>
      </w:tr>
      <w:tr>
        <w:trPr/>
        <w:tc>
          <w:tcPr>
            <w:tcW w:w="80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(Registrant’s telephone number, including area code)</w:t>
      </w:r>
      <w:r>
        <w:rPr>
          <w:color w:val="000000"/>
        </w:rPr>
        <w:t> </w:t>
      </w:r>
      <w:r>
        <w:rPr>
          <w:rFonts w:ascii="Arial;sans-serif" w:hAnsi="Arial;sans-serif"/>
          <w:b/>
          <w:color w:val="000000"/>
          <w:sz w:val="18"/>
        </w:rPr>
        <w:t xml:space="preserve">(212) 798-6100 </w:t>
      </w:r>
    </w:p>
    <w:p>
      <w:pPr>
        <w:pStyle w:val="TextBody"/>
        <w:bidi w:val="0"/>
        <w:spacing w:lineRule="auto" w:line="288" w:before="60" w:after="283"/>
        <w:jc w:val="center"/>
        <w:rPr/>
      </w:pPr>
      <w:r>
        <w:rPr>
          <w:rFonts w:ascii="Arial;sans-serif" w:hAnsi="Arial;sans-serif"/>
          <w:b w:val="false"/>
          <w:color w:val="000000"/>
          <w:sz w:val="18"/>
        </w:rPr>
        <w:t xml:space="preserve">(Former name, former address and former fiscal year, if changed since last report) </w:t>
      </w:r>
      <w:r>
        <w:rPr>
          <w:rFonts w:ascii="Arial;sans-serif" w:hAnsi="Arial;sans-serif"/>
          <w:b/>
          <w:color w:val="000000"/>
          <w:sz w:val="18"/>
        </w:rPr>
        <w:t>N/A</w:t>
      </w:r>
    </w:p>
    <w:tbl>
      <w:tblPr>
        <w:tblW w:w="10205" w:type="dxa"/>
        <w:jc w:val="center"/>
        <w:tblInd w:w="0" w:type="dxa"/>
        <w:tblLayout w:type="fixed"/>
        <w:tblCellMar>
          <w:top w:w="28" w:type="dxa"/>
          <w:left w:w="28" w:type="dxa"/>
          <w:bottom w:w="28" w:type="dxa"/>
          <w:right w:w="28" w:type="dxa"/>
        </w:tblCellMar>
      </w:tblPr>
      <w:tblGrid>
        <w:gridCol w:w="1956"/>
        <w:gridCol w:w="1589"/>
        <w:gridCol w:w="1581"/>
        <w:gridCol w:w="255"/>
        <w:gridCol w:w="255"/>
        <w:gridCol w:w="255"/>
        <w:gridCol w:w="401"/>
        <w:gridCol w:w="385"/>
        <w:gridCol w:w="350"/>
        <w:gridCol w:w="255"/>
        <w:gridCol w:w="255"/>
        <w:gridCol w:w="255"/>
        <w:gridCol w:w="720"/>
        <w:gridCol w:w="720"/>
        <w:gridCol w:w="973"/>
      </w:tblGrid>
      <w:tr>
        <w:trPr/>
        <w:tc>
          <w:tcPr>
            <w:tcW w:w="195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5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$0.01 par value per share</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Fixed-to-Floating Rate Series A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FTAIP</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8.00% Fixed-to-Floating Rate Series B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FTAIO</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 Fixed-Rate Reset Series C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FTAIN</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shd w:fill="FFFFFF" w:val="clear"/>
              </w:rPr>
              <w:t>9.50% F</w:t>
            </w:r>
            <w:r>
              <w:rPr>
                <w:rFonts w:ascii="Times New Roman;sans-serif" w:hAnsi="Times New Roman;sans-serif"/>
                <w:b w:val="false"/>
                <w:color w:val="000000"/>
                <w:sz w:val="18"/>
              </w:rPr>
              <w:t>ixed-Rate Reset Series D Cumulative Perpetual Redeemable Preferred Shares</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FTAIM</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60" w:after="283"/>
        <w:jc w:val="center"/>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124"/>
        <w:gridCol w:w="109"/>
        <w:gridCol w:w="109"/>
        <w:gridCol w:w="644"/>
        <w:gridCol w:w="644"/>
        <w:gridCol w:w="646"/>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lineRule="auto" w:line="288" w:before="120" w:after="60"/>
        <w:jc w:val="both"/>
        <w:rPr/>
      </w:pPr>
      <w:r>
        <w:rPr>
          <w:rFonts w:ascii="Arial;sans-serif" w:hAnsi="Arial;sans-serif"/>
          <w:b w:val="false"/>
          <w:color w:val="000000"/>
          <w:sz w:val="18"/>
        </w:rPr>
        <w:t>Indicate by check mark whether the registrant is a shell company (as defined in Rule 12b-2 of the Exchange Act). Yes</w:t>
      </w:r>
      <w:r>
        <w:rPr>
          <w:color w:val="000000"/>
        </w:rPr>
        <w:t xml:space="preserve"> ☐ </w:t>
      </w:r>
      <w:r>
        <w:rPr>
          <w:rFonts w:ascii="Arial;sans-serif" w:hAnsi="Arial;sans-serif"/>
          <w:b w:val="false"/>
          <w:color w:val="000000"/>
          <w:sz w:val="18"/>
        </w:rPr>
        <w:t>No</w:t>
      </w:r>
      <w:r>
        <w:rPr>
          <w:color w:val="000000"/>
        </w:rPr>
        <w:t xml:space="preserve"> ☑ </w:t>
      </w:r>
    </w:p>
    <w:p>
      <w:pPr>
        <w:pStyle w:val="TextBody"/>
        <w:bidi w:val="0"/>
        <w:spacing w:lineRule="auto" w:line="288" w:before="120" w:after="60"/>
        <w:jc w:val="both"/>
        <w:rPr/>
      </w:pPr>
      <w:r>
        <w:rPr>
          <w:rFonts w:ascii="Arial;sans-serif" w:hAnsi="Arial;sans-serif"/>
          <w:b w:val="false"/>
          <w:color w:val="000000"/>
          <w:sz w:val="18"/>
        </w:rPr>
        <w:t xml:space="preserve">There </w:t>
      </w:r>
      <w:r>
        <w:rPr>
          <w:rFonts w:ascii="Arial;sans-serif" w:hAnsi="Arial;sans-serif"/>
          <w:b w:val="false"/>
          <w:color w:val="000000"/>
          <w:sz w:val="18"/>
          <w:shd w:fill="FFFFFF" w:val="clear"/>
        </w:rPr>
        <w:t>were 99,737,046 ordin</w:t>
      </w:r>
      <w:r>
        <w:rPr>
          <w:rFonts w:ascii="Arial;sans-serif" w:hAnsi="Arial;sans-serif"/>
          <w:b w:val="false"/>
          <w:color w:val="000000"/>
          <w:sz w:val="18"/>
        </w:rPr>
        <w:t>ary shares outstanding representing limited liability company interests at July 24,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20"/>
        </w:rPr>
      </w:pPr>
      <w:r>
        <w:rPr>
          <w:rFonts w:ascii="Arial;sans-serif" w:hAnsi="Arial;sans-serif"/>
          <w:b/>
          <w:color w:val="00497F"/>
          <w:sz w:val="20"/>
        </w:rPr>
        <w:t>FORWARD-LOOKING STATEMENTS AND RISK FACTORS SUMMARY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Part II, Item 1A. “Risk Factors” of this report. We believe that these factors include, but are not limited to:</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economic conditions generally and specifically in our industry sectors, and other risks relating to the global economy, including, but not limited to, the Russia-Ukraine conflict, and any related responses or actions by businesses and governments;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reductions in cash flows received from our assets, as well as contractual limitations on the use of our aviation assets to secure debt for borrowed money;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take advantage of acquisition opportunities at favorable prices;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 lack of liquidity surrounding our assets, which could impede our ability to vary our portfolio in an appropriate manner;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relative spreads between the yield on the assets we acquire and the cost of financing;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adverse changes in the financing markets we access affecting our ability to finance our acquisitions;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customer defaults on their obligations;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renew existing contracts and enter into new contracts with existing or potential customers;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availability and cost of capital for future acquisitions;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concentration of a particular type of asset or in a particular sector;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competition within the aviation industry;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competitive market for acquisition opportunities;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risks related to operating through joint ventures, partnerships, consortium arrangements or other collaborations with third parties;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integrate acquired businesses;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obsolescence of our assets or our ability to sell, re-lease or re-charter our assets;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uninsurable losses and force majeure events;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legislative/regulatory environment and exposure to increased economic regulation;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the oil and gas industry’s volatile oil and gas prices;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difficulties in obtaining effective legal redress in jurisdictions in which we operate with less developed legal systems;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maintain our exemption from registration under the Investment Company Act of 1940 and the fact that maintaining such exemption imposes limits on our operations;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ability to successfully utilize leverage in connection with our investments;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foreign currency risk and risk management activities;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effectiveness of our internal control over financial reporting;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exposure to environmental risks, including natural disasters, increasing environmental legislation and the broader impacts of climate change;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changes in interest rates and/or credit spreads, as well as the success of any hedging strategy we may undertake in relation to such changes;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actions taken by national, state, or provincial governments, including nationalization, or the imposition of new taxes, could materially impact the financial performance or value of our assets;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our dependence on our Manager and its professionals and actual, potential or perceived conflicts of interest in our relationship with our Manager;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effects of the pending acquisition of SoftBank’s equity in Fortress by certain members of management of Fortress and Mubadala;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32740"/>
                <wp:effectExtent l="0" t="0" r="0" b="0"/>
                <wp:wrapNone/>
                <wp:docPr id="3" name="Frame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volatility in the market price of our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the inability to pay dividends to our shareholders in the future; and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other risks described in the “Risk Factors” section of this report.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32740"/>
                <wp:effectExtent l="0" t="0" r="0" b="0"/>
                <wp:wrapNone/>
                <wp:docPr id="4" name="Frame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FTAI AVIATION LTD.</w:t>
      </w:r>
    </w:p>
    <w:p>
      <w:pPr>
        <w:pStyle w:val="TextBody"/>
        <w:bidi w:val="0"/>
        <w:spacing w:lineRule="auto" w:line="288" w:before="100" w:after="283"/>
        <w:jc w:val="center"/>
        <w:rPr>
          <w:rFonts w:ascii="Arial;sans-serif" w:hAnsi="Arial;sans-serif"/>
          <w:b/>
          <w:color w:val="00497F"/>
          <w:sz w:val="20"/>
          <w:shd w:fill="FFFFFF" w:val="clear"/>
        </w:rPr>
      </w:pPr>
      <w:r>
        <w:rPr>
          <w:rFonts w:ascii="Arial;sans-serif" w:hAnsi="Arial;sans-serif"/>
          <w:b/>
          <w:color w:val="00497F"/>
          <w:sz w:val="20"/>
          <w:shd w:fill="FFFFFF" w:val="clear"/>
        </w:rPr>
        <w:t>INDEX TO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26" w:type="dxa"/>
        <w:jc w:val="center"/>
        <w:tblInd w:w="0" w:type="dxa"/>
        <w:tblLayout w:type="fixed"/>
        <w:tblCellMar>
          <w:top w:w="28" w:type="dxa"/>
          <w:left w:w="28" w:type="dxa"/>
          <w:bottom w:w="28" w:type="dxa"/>
          <w:right w:w="28" w:type="dxa"/>
        </w:tblCellMar>
      </w:tblPr>
      <w:tblGrid>
        <w:gridCol w:w="275"/>
        <w:gridCol w:w="243"/>
        <w:gridCol w:w="246"/>
        <w:gridCol w:w="2929"/>
        <w:gridCol w:w="2929"/>
        <w:gridCol w:w="293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 - 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9">
              <w:r>
                <w:rPr>
                  <w:rStyle w:val="InternetLink"/>
                  <w:rFonts w:ascii="Arial;sans-serif" w:hAnsi="Arial;sans-serif"/>
                  <w:b w:val="false"/>
                  <w:strike w:val="false"/>
                  <w:dstrike w:val="false"/>
                  <w:color w:val="0000FF"/>
                  <w:sz w:val="16"/>
                  <w:u w:val="none"/>
                  <w:effect w:val="none"/>
                </w:rPr>
                <w:t>Unaudited Consolidated Financial Statements of FTAI Aviation Ltd.: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9">
              <w:r>
                <w:rPr>
                  <w:rStyle w:val="InternetLink"/>
                  <w:rFonts w:ascii="Arial;sans-serif" w:hAnsi="Arial;sans-serif"/>
                  <w:b w:val="false"/>
                  <w:strike w:val="false"/>
                  <w:dstrike w:val="false"/>
                  <w:color w:val="0000FF"/>
                  <w:sz w:val="16"/>
                  <w:u w:val="none"/>
                  <w:effect w:val="none"/>
                </w:rPr>
                <w:t>Consolidated Balance Sheets as of June 30, 2023 and December 31,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9">
              <w:r>
                <w:rPr>
                  <w:rStyle w:val="InternetLink"/>
                  <w:rFonts w:ascii="Arial;sans-serif" w:hAnsi="Arial;sans-serif"/>
                  <w:b w:val="false"/>
                  <w:strike w:val="false"/>
                  <w:dstrike w:val="false"/>
                  <w:color w:val="0000FF"/>
                  <w:sz w:val="16"/>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25">
              <w:r>
                <w:rPr>
                  <w:rStyle w:val="InternetLink"/>
                  <w:rFonts w:ascii="Arial;sans-serif" w:hAnsi="Arial;sans-serif"/>
                  <w:b w:val="false"/>
                  <w:strike w:val="false"/>
                  <w:dstrike w:val="false"/>
                  <w:color w:val="0000FF"/>
                  <w:sz w:val="16"/>
                  <w:u w:val="none"/>
                  <w:effect w:val="none"/>
                </w:rPr>
                <w:t>Consolidated Statements of Operations for the three and six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25">
              <w:r>
                <w:rPr>
                  <w:rStyle w:val="InternetLink"/>
                  <w:rFonts w:ascii="Arial;sans-serif" w:hAnsi="Arial;sans-serif"/>
                  <w:b w:val="false"/>
                  <w:strike w:val="false"/>
                  <w:dstrike w:val="false"/>
                  <w:color w:val="0000FF"/>
                  <w:sz w:val="16"/>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bdcc6e27831141aa94cfaf609c81507b_31">
              <w:r>
                <w:rPr>
                  <w:rStyle w:val="InternetLink"/>
                  <w:rFonts w:ascii="Arial;sans-serif" w:hAnsi="Arial;sans-serif"/>
                  <w:b w:val="false"/>
                  <w:strike w:val="false"/>
                  <w:dstrike w:val="false"/>
                  <w:color w:val="0000FF"/>
                  <w:sz w:val="16"/>
                  <w:u w:val="none"/>
                  <w:effect w:val="none"/>
                </w:rPr>
                <w:t>Consolidated Statements of Comprehensive Income (Loss) for the three and six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31">
              <w:r>
                <w:rPr>
                  <w:rStyle w:val="InternetLink"/>
                  <w:rFonts w:ascii="Arial;sans-serif" w:hAnsi="Arial;sans-serif"/>
                  <w:b w:val="false"/>
                  <w:strike w:val="false"/>
                  <w:dstrike w:val="false"/>
                  <w:color w:val="0000FF"/>
                  <w:sz w:val="16"/>
                  <w:u w:val="none"/>
                  <w:effect w:val="non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37">
              <w:r>
                <w:rPr>
                  <w:rStyle w:val="InternetLink"/>
                  <w:rFonts w:ascii="Arial;sans-serif" w:hAnsi="Arial;sans-serif"/>
                  <w:b w:val="false"/>
                  <w:strike w:val="false"/>
                  <w:dstrike w:val="false"/>
                  <w:color w:val="0000FF"/>
                  <w:sz w:val="16"/>
                  <w:u w:val="none"/>
                  <w:effect w:val="none"/>
                </w:rPr>
                <w:t>Consolidated Statements of Changes in Equity for the three and six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37">
              <w:r>
                <w:rPr>
                  <w:rStyle w:val="InternetLink"/>
                  <w:rFonts w:ascii="Arial;sans-serif" w:hAnsi="Arial;sans-serif"/>
                  <w:b w:val="false"/>
                  <w:strike w:val="false"/>
                  <w:dstrike w:val="false"/>
                  <w:color w:val="0000FF"/>
                  <w:sz w:val="16"/>
                  <w:u w:val="none"/>
                  <w:effect w:val="none"/>
                </w:rPr>
                <w:t>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40">
              <w:r>
                <w:rPr>
                  <w:rStyle w:val="InternetLink"/>
                  <w:rFonts w:ascii="Arial;sans-serif" w:hAnsi="Arial;sans-serif"/>
                  <w:b w:val="false"/>
                  <w:strike w:val="false"/>
                  <w:dstrike w:val="false"/>
                  <w:color w:val="0000FF"/>
                  <w:sz w:val="16"/>
                  <w:u w:val="none"/>
                  <w:effect w:val="none"/>
                </w:rPr>
                <w:t>Consolidated Statements of Cash Flows for the six months ended June 30, 2023 and 2022</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40">
              <w:r>
                <w:rPr>
                  <w:rStyle w:val="InternetLink"/>
                  <w:rFonts w:ascii="Arial;sans-serif" w:hAnsi="Arial;sans-serif"/>
                  <w:b w:val="false"/>
                  <w:strike w:val="false"/>
                  <w:dstrike w:val="false"/>
                  <w:color w:val="0000FF"/>
                  <w:sz w:val="16"/>
                  <w:u w:val="none"/>
                  <w:effect w:val="none"/>
                </w:rPr>
                <w:t>10</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46">
              <w:r>
                <w:rPr>
                  <w:rStyle w:val="InternetLink"/>
                  <w:rFonts w:ascii="Arial;sans-serif" w:hAnsi="Arial;sans-serif"/>
                  <w:b w:val="false"/>
                  <w:strike w:val="false"/>
                  <w:dstrike w:val="false"/>
                  <w:color w:val="0000FF"/>
                  <w:sz w:val="16"/>
                  <w:u w:val="none"/>
                  <w:effect w:val="non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46">
              <w:r>
                <w:rPr>
                  <w:rStyle w:val="InternetLink"/>
                  <w:rFonts w:ascii="Arial;sans-serif" w:hAnsi="Arial;sans-serif"/>
                  <w:b w:val="false"/>
                  <w:strike w:val="false"/>
                  <w:dstrike w:val="false"/>
                  <w:color w:val="0000FF"/>
                  <w:sz w:val="16"/>
                  <w:u w:val="none"/>
                  <w:effect w:val="none"/>
                </w:rPr>
                <w:t>12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49">
              <w:r>
                <w:rPr>
                  <w:rStyle w:val="InternetLink"/>
                  <w:rFonts w:ascii="Arial;sans-serif" w:hAnsi="Arial;sans-serif"/>
                  <w:b w:val="false"/>
                  <w:strike w:val="false"/>
                  <w:dstrike w:val="false"/>
                  <w:color w:val="0000FF"/>
                  <w:sz w:val="16"/>
                  <w:u w:val="none"/>
                  <w:effect w:val="none"/>
                </w:rPr>
                <w:t>Note 1: Organization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49">
              <w:r>
                <w:rPr>
                  <w:rStyle w:val="InternetLink"/>
                  <w:rFonts w:ascii="Arial;sans-serif" w:hAnsi="Arial;sans-serif"/>
                  <w:b w:val="false"/>
                  <w:strike w:val="false"/>
                  <w:dstrike w:val="false"/>
                  <w:color w:val="0000FF"/>
                  <w:sz w:val="16"/>
                  <w:u w:val="none"/>
                  <w:effect w:val="none"/>
                </w:rPr>
                <w:t>12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52">
              <w:r>
                <w:rPr>
                  <w:rStyle w:val="InternetLink"/>
                  <w:rFonts w:ascii="Arial;sans-serif" w:hAnsi="Arial;sans-serif"/>
                  <w:b w:val="false"/>
                  <w:strike w:val="false"/>
                  <w:dstrike w:val="false"/>
                  <w:color w:val="0000FF"/>
                  <w:sz w:val="16"/>
                  <w:u w:val="none"/>
                  <w:effect w:val="none"/>
                </w:rPr>
                <w:t>Note 2: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52">
              <w:r>
                <w:rPr>
                  <w:rStyle w:val="InternetLink"/>
                  <w:rFonts w:ascii="Arial;sans-serif" w:hAnsi="Arial;sans-serif"/>
                  <w:b w:val="false"/>
                  <w:strike w:val="false"/>
                  <w:dstrike w:val="false"/>
                  <w:color w:val="0000FF"/>
                  <w:sz w:val="16"/>
                  <w:u w:val="none"/>
                  <w:effect w:val="none"/>
                </w:rPr>
                <w:t>12</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58">
              <w:r>
                <w:rPr>
                  <w:rStyle w:val="InternetLink"/>
                  <w:rFonts w:ascii="Arial;sans-serif" w:hAnsi="Arial;sans-serif"/>
                  <w:b w:val="false"/>
                  <w:strike w:val="false"/>
                  <w:dstrike w:val="false"/>
                  <w:color w:val="0000FF"/>
                  <w:sz w:val="16"/>
                  <w:u w:val="none"/>
                  <w:effect w:val="none"/>
                </w:rPr>
                <w:t>Note 3: Discontinued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58">
              <w:r>
                <w:rPr>
                  <w:rStyle w:val="InternetLink"/>
                  <w:rFonts w:ascii="Arial;sans-serif" w:hAnsi="Arial;sans-serif"/>
                  <w:b w:val="false"/>
                  <w:strike w:val="false"/>
                  <w:dstrike w:val="false"/>
                  <w:color w:val="0000FF"/>
                  <w:sz w:val="16"/>
                  <w:u w:val="none"/>
                  <w:effect w:val="none"/>
                </w:rPr>
                <w:t>15</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64">
              <w:r>
                <w:rPr>
                  <w:rStyle w:val="InternetLink"/>
                  <w:rFonts w:ascii="Arial;sans-serif" w:hAnsi="Arial;sans-serif"/>
                  <w:b w:val="false"/>
                  <w:strike w:val="false"/>
                  <w:dstrike w:val="false"/>
                  <w:color w:val="0000FF"/>
                  <w:sz w:val="16"/>
                  <w:u w:val="none"/>
                  <w:effect w:val="none"/>
                </w:rPr>
                <w:t>Note 4: Leasing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64">
              <w:r>
                <w:rPr>
                  <w:rStyle w:val="InternetLink"/>
                  <w:rFonts w:ascii="Arial;sans-serif" w:hAnsi="Arial;sans-serif"/>
                  <w:b w:val="false"/>
                  <w:strike w:val="false"/>
                  <w:dstrike w:val="false"/>
                  <w:color w:val="0000FF"/>
                  <w:sz w:val="16"/>
                  <w:u w:val="none"/>
                  <w:effect w:val="none"/>
                </w:rPr>
                <w:t>16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73">
              <w:r>
                <w:rPr>
                  <w:rStyle w:val="InternetLink"/>
                  <w:rFonts w:ascii="Arial;sans-serif" w:hAnsi="Arial;sans-serif"/>
                  <w:b w:val="false"/>
                  <w:strike w:val="false"/>
                  <w:dstrike w:val="false"/>
                  <w:color w:val="0000FF"/>
                  <w:sz w:val="16"/>
                  <w:u w:val="none"/>
                  <w:effect w:val="none"/>
                </w:rPr>
                <w:t>Note 5: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73">
              <w:r>
                <w:rPr>
                  <w:rStyle w:val="InternetLink"/>
                  <w:rFonts w:ascii="Arial;sans-serif" w:hAnsi="Arial;sans-serif"/>
                  <w:b w:val="false"/>
                  <w:strike w:val="false"/>
                  <w:dstrike w:val="false"/>
                  <w:color w:val="0000FF"/>
                  <w:sz w:val="16"/>
                  <w:u w:val="none"/>
                  <w:effect w:val="none"/>
                </w:rPr>
                <w:t>17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76">
              <w:r>
                <w:rPr>
                  <w:rStyle w:val="InternetLink"/>
                  <w:rFonts w:ascii="Arial;sans-serif" w:hAnsi="Arial;sans-serif"/>
                  <w:b w:val="false"/>
                  <w:strike w:val="false"/>
                  <w:dstrike w:val="false"/>
                  <w:color w:val="0000FF"/>
                  <w:sz w:val="16"/>
                  <w:u w:val="none"/>
                  <w:effect w:val="none"/>
                </w:rPr>
                <w:t>Note 6: Intangible Assets and Liabilities,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76">
              <w:r>
                <w:rPr>
                  <w:rStyle w:val="InternetLink"/>
                  <w:rFonts w:ascii="Arial;sans-serif" w:hAnsi="Arial;sans-serif"/>
                  <w:b w:val="false"/>
                  <w:strike w:val="false"/>
                  <w:dstrike w:val="false"/>
                  <w:color w:val="0000FF"/>
                  <w:sz w:val="16"/>
                  <w:u w:val="none"/>
                  <w:effect w:val="none"/>
                </w:rPr>
                <w:t>18</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79">
              <w:r>
                <w:rPr>
                  <w:rStyle w:val="InternetLink"/>
                  <w:rFonts w:ascii="Arial;sans-serif" w:hAnsi="Arial;sans-serif"/>
                  <w:b w:val="false"/>
                  <w:strike w:val="false"/>
                  <w:dstrike w:val="false"/>
                  <w:color w:val="0000FF"/>
                  <w:sz w:val="16"/>
                  <w:u w:val="none"/>
                  <w:effect w:val="none"/>
                </w:rPr>
                <w:t>Note 7: Debt,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79">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82">
              <w:r>
                <w:rPr>
                  <w:rStyle w:val="InternetLink"/>
                  <w:rFonts w:ascii="Arial;sans-serif" w:hAnsi="Arial;sans-serif"/>
                  <w:b w:val="false"/>
                  <w:strike w:val="false"/>
                  <w:dstrike w:val="false"/>
                  <w:color w:val="0000FF"/>
                  <w:sz w:val="16"/>
                  <w:u w:val="none"/>
                  <w:effect w:val="none"/>
                </w:rPr>
                <w:t>Note 8: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82">
              <w:r>
                <w:rPr>
                  <w:rStyle w:val="InternetLink"/>
                  <w:rFonts w:ascii="Arial;sans-serif" w:hAnsi="Arial;sans-serif"/>
                  <w:b w:val="false"/>
                  <w:strike w:val="false"/>
                  <w:dstrike w:val="false"/>
                  <w:color w:val="0000FF"/>
                  <w:sz w:val="16"/>
                  <w:u w:val="none"/>
                  <w:effect w:val="none"/>
                </w:rPr>
                <w:t>19</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97">
              <w:r>
                <w:rPr>
                  <w:rStyle w:val="InternetLink"/>
                  <w:rFonts w:ascii="Arial;sans-serif" w:hAnsi="Arial;sans-serif"/>
                  <w:b w:val="false"/>
                  <w:strike w:val="false"/>
                  <w:dstrike w:val="false"/>
                  <w:color w:val="0000FF"/>
                  <w:sz w:val="16"/>
                  <w:u w:val="none"/>
                  <w:effect w:val="none"/>
                </w:rPr>
                <w:t>Note 9: Equity-Based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97">
              <w:r>
                <w:rPr>
                  <w:rStyle w:val="InternetLink"/>
                  <w:rFonts w:ascii="Arial;sans-serif" w:hAnsi="Arial;sans-serif"/>
                  <w:b w:val="false"/>
                  <w:strike w:val="false"/>
                  <w:dstrike w:val="false"/>
                  <w:color w:val="0000FF"/>
                  <w:sz w:val="16"/>
                  <w:u w:val="none"/>
                  <w:effect w:val="none"/>
                </w:rPr>
                <w:t>20</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79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03">
              <w:r>
                <w:rPr>
                  <w:rStyle w:val="InternetLink"/>
                  <w:rFonts w:ascii="Arial;sans-serif" w:hAnsi="Arial;sans-serif"/>
                  <w:b w:val="false"/>
                  <w:strike w:val="false"/>
                  <w:dstrike w:val="false"/>
                  <w:color w:val="0000FF"/>
                  <w:sz w:val="16"/>
                  <w:u w:val="none"/>
                  <w:effect w:val="none"/>
                </w:rPr>
                <w:t>Note 10: 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03">
              <w:r>
                <w:rPr>
                  <w:rStyle w:val="InternetLink"/>
                  <w:rFonts w:ascii="Arial;sans-serif" w:hAnsi="Arial;sans-serif"/>
                  <w:b w:val="false"/>
                  <w:strike w:val="false"/>
                  <w:dstrike w:val="false"/>
                  <w:color w:val="0000FF"/>
                  <w:sz w:val="16"/>
                  <w:u w:val="none"/>
                  <w:effect w:val="none"/>
                </w:rPr>
                <w:t>21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06">
              <w:r>
                <w:rPr>
                  <w:rStyle w:val="InternetLink"/>
                  <w:rFonts w:ascii="Arial;sans-serif" w:hAnsi="Arial;sans-serif"/>
                  <w:b w:val="false"/>
                  <w:strike w:val="false"/>
                  <w:dstrike w:val="false"/>
                  <w:color w:val="0000FF"/>
                  <w:sz w:val="16"/>
                  <w:u w:val="none"/>
                  <w:effect w:val="none"/>
                </w:rPr>
                <w:t>Note 11: Management Agreement and Affiliate Transactions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06">
              <w:r>
                <w:rPr>
                  <w:rStyle w:val="InternetLink"/>
                  <w:rFonts w:ascii="Arial;sans-serif" w:hAnsi="Arial;sans-serif"/>
                  <w:b w:val="false"/>
                  <w:strike w:val="false"/>
                  <w:dstrike w:val="false"/>
                  <w:color w:val="0000FF"/>
                  <w:sz w:val="16"/>
                  <w:u w:val="none"/>
                  <w:effect w:val="none"/>
                </w:rPr>
                <w:t>21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09">
              <w:r>
                <w:rPr>
                  <w:rStyle w:val="InternetLink"/>
                  <w:rFonts w:ascii="Arial;sans-serif" w:hAnsi="Arial;sans-serif"/>
                  <w:b w:val="false"/>
                  <w:strike w:val="false"/>
                  <w:dstrike w:val="false"/>
                  <w:color w:val="0000FF"/>
                  <w:sz w:val="16"/>
                  <w:u w:val="none"/>
                  <w:effect w:val="none"/>
                </w:rPr>
                <w:t>Note 12: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09">
              <w:r>
                <w:rPr>
                  <w:rStyle w:val="InternetLink"/>
                  <w:rFonts w:ascii="Arial;sans-serif" w:hAnsi="Arial;sans-serif"/>
                  <w:b w:val="false"/>
                  <w:strike w:val="false"/>
                  <w:dstrike w:val="false"/>
                  <w:color w:val="0000FF"/>
                  <w:sz w:val="16"/>
                  <w:u w:val="none"/>
                  <w:effect w:val="none"/>
                </w:rPr>
                <w:t>23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15">
              <w:r>
                <w:rPr>
                  <w:rStyle w:val="InternetLink"/>
                  <w:rFonts w:ascii="Arial;sans-serif" w:hAnsi="Arial;sans-serif"/>
                  <w:b w:val="false"/>
                  <w:strike w:val="false"/>
                  <w:dstrike w:val="false"/>
                  <w:color w:val="0000FF"/>
                  <w:sz w:val="16"/>
                  <w:u w:val="none"/>
                  <w:effect w:val="none"/>
                </w:rPr>
                <w:t>Note 13: Earnings per Share and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15">
              <w:r>
                <w:rPr>
                  <w:rStyle w:val="InternetLink"/>
                  <w:rFonts w:ascii="Arial;sans-serif" w:hAnsi="Arial;sans-serif"/>
                  <w:b w:val="false"/>
                  <w:strike w:val="false"/>
                  <w:dstrike w:val="false"/>
                  <w:color w:val="0000FF"/>
                  <w:sz w:val="16"/>
                  <w:u w:val="none"/>
                  <w:effect w:val="none"/>
                </w:rPr>
                <w:t>31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18">
              <w:r>
                <w:rPr>
                  <w:rStyle w:val="InternetLink"/>
                  <w:rFonts w:ascii="Arial;sans-serif" w:hAnsi="Arial;sans-serif"/>
                  <w:b w:val="false"/>
                  <w:strike w:val="false"/>
                  <w:dstrike w:val="false"/>
                  <w:color w:val="0000FF"/>
                  <w:sz w:val="16"/>
                  <w:u w:val="none"/>
                  <w:effect w:val="none"/>
                </w:rPr>
                <w:t>Note 14: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18">
              <w:r>
                <w:rPr>
                  <w:rStyle w:val="InternetLink"/>
                  <w:rFonts w:ascii="Arial;sans-serif" w:hAnsi="Arial;sans-serif"/>
                  <w:b w:val="false"/>
                  <w:strike w:val="false"/>
                  <w:dstrike w:val="false"/>
                  <w:color w:val="0000FF"/>
                  <w:sz w:val="16"/>
                  <w:u w:val="none"/>
                  <w:effect w:val="none"/>
                </w:rPr>
                <w:t>32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21">
              <w:r>
                <w:rPr>
                  <w:rStyle w:val="InternetLink"/>
                  <w:rFonts w:ascii="Arial;sans-serif" w:hAnsi="Arial;sans-serif"/>
                  <w:b w:val="false"/>
                  <w:strike w:val="false"/>
                  <w:dstrike w:val="false"/>
                  <w:color w:val="0000FF"/>
                  <w:sz w:val="16"/>
                  <w:u w:val="none"/>
                  <w:effect w:val="none"/>
                </w:rPr>
                <w:t>Note 15: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21">
              <w:r>
                <w:rPr>
                  <w:rStyle w:val="InternetLink"/>
                  <w:rFonts w:ascii="Arial;sans-serif" w:hAnsi="Arial;sans-serif"/>
                  <w:b w:val="false"/>
                  <w:strike w:val="false"/>
                  <w:dstrike w:val="false"/>
                  <w:color w:val="0000FF"/>
                  <w:sz w:val="16"/>
                  <w:u w:val="none"/>
                  <w:effect w:val="none"/>
                </w:rPr>
                <w:t>32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2.</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24">
              <w:r>
                <w:rPr>
                  <w:rStyle w:val="InternetLink"/>
                  <w:rFonts w:ascii="Arial;sans-serif" w:hAnsi="Arial;sans-serif"/>
                  <w:b w:val="false"/>
                  <w:strike w:val="false"/>
                  <w:dstrike w:val="false"/>
                  <w:color w:val="0000FF"/>
                  <w:sz w:val="16"/>
                  <w:u w:val="none"/>
                  <w:effect w:val="non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24">
              <w:r>
                <w:rPr>
                  <w:rStyle w:val="InternetLink"/>
                  <w:rFonts w:ascii="Arial;sans-serif" w:hAnsi="Arial;sans-serif"/>
                  <w:b w:val="false"/>
                  <w:strike w:val="false"/>
                  <w:dstrike w:val="false"/>
                  <w:color w:val="0000FF"/>
                  <w:sz w:val="16"/>
                  <w:u w:val="none"/>
                  <w:effect w:val="none"/>
                </w:rPr>
                <w:t>34</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84">
              <w:r>
                <w:rPr>
                  <w:rStyle w:val="InternetLink"/>
                  <w:rFonts w:ascii="Arial;sans-serif" w:hAnsi="Arial;sans-serif"/>
                  <w:b w:val="false"/>
                  <w:strike w:val="false"/>
                  <w:dstrike w:val="false"/>
                  <w:color w:val="0000FF"/>
                  <w:sz w:val="16"/>
                  <w:u w:val="none"/>
                  <w:effect w:val="non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84">
              <w:r>
                <w:rPr>
                  <w:rStyle w:val="InternetLink"/>
                  <w:rFonts w:ascii="Arial;sans-serif" w:hAnsi="Arial;sans-serif"/>
                  <w:b w:val="false"/>
                  <w:strike w:val="false"/>
                  <w:dstrike w:val="false"/>
                  <w:color w:val="0000FF"/>
                  <w:sz w:val="16"/>
                  <w:u w:val="none"/>
                  <w:effect w:val="none"/>
                </w:rPr>
                <w:t>49</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87">
              <w:r>
                <w:rPr>
                  <w:rStyle w:val="InternetLink"/>
                  <w:rFonts w:ascii="Arial;sans-serif" w:hAnsi="Arial;sans-serif"/>
                  <w:b w:val="false"/>
                  <w:strike w:val="false"/>
                  <w:dstrike w:val="false"/>
                  <w:color w:val="0000FF"/>
                  <w:sz w:val="16"/>
                  <w:u w:val="none"/>
                  <w:effect w:val="non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87">
              <w:r>
                <w:rPr>
                  <w:rStyle w:val="InternetLink"/>
                  <w:rFonts w:ascii="Arial;sans-serif" w:hAnsi="Arial;sans-serif"/>
                  <w:b w:val="false"/>
                  <w:strike w:val="false"/>
                  <w:dstrike w:val="false"/>
                  <w:color w:val="0000FF"/>
                  <w:sz w:val="16"/>
                  <w:u w:val="none"/>
                  <w:effect w:val="none"/>
                </w:rPr>
                <w:t>49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EBF"/>
                <w:sz w:val="16"/>
              </w:rPr>
            </w:pPr>
            <w:r>
              <w:rPr>
                <w:rFonts w:ascii="Arial;sans-serif" w:hAnsi="Arial;sans-serif"/>
                <w:b/>
                <w:color w:val="006EBF"/>
                <w:sz w:val="16"/>
              </w:rPr>
              <w:t>PART II - 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93">
              <w:r>
                <w:rPr>
                  <w:rStyle w:val="InternetLink"/>
                  <w:rFonts w:ascii="Arial;sans-serif" w:hAnsi="Arial;sans-serif"/>
                  <w:b w:val="false"/>
                  <w:strike w:val="false"/>
                  <w:dstrike w:val="false"/>
                  <w:color w:val="0000FF"/>
                  <w:sz w:val="16"/>
                  <w:u w:val="none"/>
                  <w:effect w:val="non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93">
              <w:r>
                <w:rPr>
                  <w:rStyle w:val="InternetLink"/>
                  <w:rFonts w:ascii="Arial;sans-serif" w:hAnsi="Arial;sans-serif"/>
                  <w:b w:val="false"/>
                  <w:strike w:val="false"/>
                  <w:dstrike w:val="false"/>
                  <w:color w:val="0000FF"/>
                  <w:sz w:val="16"/>
                  <w:u w:val="none"/>
                  <w:effect w:val="none"/>
                </w:rPr>
                <w:t>50</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1A.</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96">
              <w:r>
                <w:rPr>
                  <w:rStyle w:val="InternetLink"/>
                  <w:rFonts w:ascii="Arial;sans-serif" w:hAnsi="Arial;sans-serif"/>
                  <w:b w:val="false"/>
                  <w:strike w:val="false"/>
                  <w:dstrike w:val="false"/>
                  <w:color w:val="0000FF"/>
                  <w:sz w:val="16"/>
                  <w:u w:val="none"/>
                  <w:effect w:val="non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96">
              <w:r>
                <w:rPr>
                  <w:rStyle w:val="InternetLink"/>
                  <w:rFonts w:ascii="Arial;sans-serif" w:hAnsi="Arial;sans-serif"/>
                  <w:b w:val="false"/>
                  <w:strike w:val="false"/>
                  <w:dstrike w:val="false"/>
                  <w:color w:val="0000FF"/>
                  <w:sz w:val="16"/>
                  <w:u w:val="none"/>
                  <w:effect w:val="none"/>
                </w:rPr>
                <w:t>50</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 xml:space="preserve">Item 2. </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199">
              <w:r>
                <w:rPr>
                  <w:rStyle w:val="InternetLink"/>
                  <w:rFonts w:ascii="Arial;sans-serif" w:hAnsi="Arial;sans-serif"/>
                  <w:b w:val="false"/>
                  <w:strike w:val="false"/>
                  <w:dstrike w:val="false"/>
                  <w:color w:val="0000FF"/>
                  <w:sz w:val="16"/>
                  <w:u w:val="none"/>
                  <w:effect w:val="non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199">
              <w:r>
                <w:rPr>
                  <w:rStyle w:val="InternetLink"/>
                  <w:rFonts w:ascii="Arial;sans-serif" w:hAnsi="Arial;sans-serif"/>
                  <w:b w:val="false"/>
                  <w:strike w:val="false"/>
                  <w:dstrike w:val="false"/>
                  <w:color w:val="0000FF"/>
                  <w:sz w:val="16"/>
                  <w:u w:val="none"/>
                  <w:effect w:val="none"/>
                </w:rPr>
                <w:t>66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3.</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202">
              <w:r>
                <w:rPr>
                  <w:rStyle w:val="InternetLink"/>
                  <w:rFonts w:ascii="Arial;sans-serif" w:hAnsi="Arial;sans-serif"/>
                  <w:b w:val="false"/>
                  <w:strike w:val="false"/>
                  <w:dstrike w:val="false"/>
                  <w:color w:val="0000FF"/>
                  <w:sz w:val="16"/>
                  <w:u w:val="none"/>
                  <w:effect w:val="non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202">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4.</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205">
              <w:r>
                <w:rPr>
                  <w:rStyle w:val="InternetLink"/>
                  <w:rFonts w:ascii="Arial;sans-serif" w:hAnsi="Arial;sans-serif"/>
                  <w:b w:val="false"/>
                  <w:strike w:val="false"/>
                  <w:dstrike w:val="false"/>
                  <w:color w:val="0000FF"/>
                  <w:sz w:val="16"/>
                  <w:u w:val="none"/>
                  <w:effect w:val="non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205">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5.</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208">
              <w:r>
                <w:rPr>
                  <w:rStyle w:val="InternetLink"/>
                  <w:rFonts w:ascii="Arial;sans-serif" w:hAnsi="Arial;sans-serif"/>
                  <w:b w:val="false"/>
                  <w:strike w:val="false"/>
                  <w:dstrike w:val="false"/>
                  <w:color w:val="0000FF"/>
                  <w:sz w:val="16"/>
                  <w:u w:val="none"/>
                  <w:effect w:val="non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208">
              <w:r>
                <w:rPr>
                  <w:rStyle w:val="InternetLink"/>
                  <w:rFonts w:ascii="Arial;sans-serif" w:hAnsi="Arial;sans-serif"/>
                  <w:b w:val="false"/>
                  <w:strike w:val="false"/>
                  <w:dstrike w:val="false"/>
                  <w:color w:val="0000FF"/>
                  <w:sz w:val="16"/>
                  <w:u w:val="none"/>
                  <w:effect w:val="none"/>
                </w:rPr>
                <w:t>67</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EBF"/>
                <w:sz w:val="16"/>
              </w:rPr>
            </w:pPr>
            <w:r>
              <w:rPr>
                <w:rFonts w:ascii="Arial;sans-serif" w:hAnsi="Arial;sans-serif"/>
                <w:b/>
                <w:color w:val="006EBF"/>
                <w:sz w:val="16"/>
              </w:rPr>
              <w:t>Item 6.</w:t>
            </w:r>
          </w:p>
        </w:tc>
        <w:tc>
          <w:tcPr>
            <w:tcW w:w="87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cc6e27831141aa94cfaf609c81507b_211">
              <w:r>
                <w:rPr>
                  <w:rStyle w:val="InternetLink"/>
                  <w:rFonts w:ascii="Arial;sans-serif" w:hAnsi="Arial;sans-serif"/>
                  <w:b w:val="false"/>
                  <w:strike w:val="false"/>
                  <w:dstrike w:val="false"/>
                  <w:color w:val="0000FF"/>
                  <w:sz w:val="16"/>
                  <w:u w:val="none"/>
                  <w:effect w:val="non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cc6e27831141aa94cfaf609c81507b_211">
              <w:r>
                <w:rPr>
                  <w:rStyle w:val="InternetLink"/>
                  <w:rFonts w:ascii="Arial;sans-serif" w:hAnsi="Arial;sans-serif"/>
                  <w:b w:val="false"/>
                  <w:strike w:val="false"/>
                  <w:dstrike w:val="false"/>
                  <w:color w:val="0000FF"/>
                  <w:sz w:val="16"/>
                  <w:u w:val="none"/>
                  <w:effect w:val="none"/>
                </w:rPr>
                <w:t>68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6EBF"/>
          <w:sz w:val="20"/>
        </w:rPr>
      </w:pPr>
      <w:r>
        <w:rPr>
          <w:rFonts w:ascii="Arial;sans-serif" w:hAnsi="Arial;sans-serif"/>
          <w:b/>
          <w:color w:val="006EBF"/>
          <w:sz w:val="20"/>
        </w:rPr>
        <w:t>PART I—FINANCIAL INFORMATION</w:t>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1.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CONSOLIDATED BALANCE SHEETS</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21"/>
        <w:gridCol w:w="1981"/>
        <w:gridCol w:w="2008"/>
        <w:gridCol w:w="190"/>
        <w:gridCol w:w="190"/>
        <w:gridCol w:w="191"/>
        <w:gridCol w:w="109"/>
        <w:gridCol w:w="109"/>
        <w:gridCol w:w="109"/>
        <w:gridCol w:w="196"/>
        <w:gridCol w:w="886"/>
        <w:gridCol w:w="109"/>
        <w:gridCol w:w="109"/>
        <w:gridCol w:w="109"/>
        <w:gridCol w:w="109"/>
        <w:gridCol w:w="221"/>
        <w:gridCol w:w="982"/>
        <w:gridCol w:w="176"/>
      </w:tblGrid>
      <w:tr>
        <w:trPr/>
        <w:tc>
          <w:tcPr>
            <w:tcW w:w="242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117,546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1,891,263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1,913,553 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163,676 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167,018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2,525,632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2,429,577 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net</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2,173,108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2,175,727 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deposits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2,434,314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2,410,175 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Ordinary shares ($0.01 par value per share; 2,000,000,000 shares authorized; </w:t>
            </w:r>
            <w:r>
              <w:rPr>
                <w:rFonts w:ascii="Arial;sans-serif" w:hAnsi="Arial;sans-serif"/>
                <w:b w:val="false"/>
                <w:color w:val="000000"/>
                <w:sz w:val="16"/>
                <w:shd w:fill="FFFFFF" w:val="clear"/>
              </w:rPr>
              <w:t xml:space="preserve">99,737,046 </w:t>
            </w:r>
            <w:r>
              <w:rPr>
                <w:rFonts w:ascii="Arial;sans-serif" w:hAnsi="Arial;sans-serif"/>
                <w:b w:val="false"/>
                <w:color w:val="000000"/>
                <w:sz w:val="16"/>
              </w:rPr>
              <w:t>and 99,716,621 shares issued and outstanding as of June 30, 2023 and December 31, 2022, respectively)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shares ($0.01 par value per share; 200,000,000 shares authorized; 15,920,000 and 13,320,000 shares issued and outstanding as of June 30, 2023 and December 31, 2022, respectively)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(241,452)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Shareholders'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90,784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in equity of consolidated subsidiaries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equity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2,525,632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2,429,577 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OPERATIONS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427"/>
        <w:gridCol w:w="1164"/>
        <w:gridCol w:w="1148"/>
        <w:gridCol w:w="190"/>
        <w:gridCol w:w="190"/>
        <w:gridCol w:w="191"/>
        <w:gridCol w:w="109"/>
        <w:gridCol w:w="109"/>
        <w:gridCol w:w="109"/>
        <w:gridCol w:w="243"/>
        <w:gridCol w:w="823"/>
        <w:gridCol w:w="114"/>
        <w:gridCol w:w="114"/>
        <w:gridCol w:w="114"/>
        <w:gridCol w:w="114"/>
        <w:gridCol w:w="223"/>
        <w:gridCol w:w="738"/>
        <w:gridCol w:w="114"/>
        <w:gridCol w:w="109"/>
        <w:gridCol w:w="109"/>
        <w:gridCol w:w="109"/>
        <w:gridCol w:w="220"/>
        <w:gridCol w:w="846"/>
        <w:gridCol w:w="109"/>
        <w:gridCol w:w="109"/>
        <w:gridCol w:w="109"/>
        <w:gridCol w:w="109"/>
        <w:gridCol w:w="196"/>
        <w:gridCol w:w="788"/>
        <w:gridCol w:w="158"/>
      </w:tblGrid>
      <w:tr>
        <w:trPr/>
        <w:tc>
          <w:tcPr>
            <w:tcW w:w="14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59,541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42,065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101,486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274,345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104,532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24,797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38,514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38,499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217,765</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415,264 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56,608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(130,097)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(133,265)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(86,634)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(219,899)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(loss) per share: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0.46</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shares outstanding:</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99,732,179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99,370,301 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99,730,223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99,367,597 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100,462,277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99,805,455 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100,314,508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99,367,597 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pPr>
      <w:r>
        <w:rPr>
          <w:rFonts w:ascii="Arial;sans-serif" w:hAnsi="Arial;sans-serif"/>
          <w:b/>
          <w:color w:val="00497F"/>
          <w:sz w:val="20"/>
        </w:rPr>
        <w:t xml:space="preserve">CONSOLIDATED STATEMENTS OF COMPREHENSIVE INCOME (LOSS)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left"/>
        <w:tblInd w:w="0" w:type="dxa"/>
        <w:tblLayout w:type="fixed"/>
        <w:tblCellMar>
          <w:top w:w="28" w:type="dxa"/>
          <w:left w:w="28" w:type="dxa"/>
          <w:bottom w:w="28" w:type="dxa"/>
          <w:right w:w="28" w:type="dxa"/>
        </w:tblCellMar>
      </w:tblPr>
      <w:tblGrid>
        <w:gridCol w:w="1880"/>
        <w:gridCol w:w="1622"/>
        <w:gridCol w:w="1548"/>
        <w:gridCol w:w="204"/>
        <w:gridCol w:w="687"/>
        <w:gridCol w:w="113"/>
        <w:gridCol w:w="113"/>
        <w:gridCol w:w="113"/>
        <w:gridCol w:w="113"/>
        <w:gridCol w:w="204"/>
        <w:gridCol w:w="731"/>
        <w:gridCol w:w="113"/>
        <w:gridCol w:w="109"/>
        <w:gridCol w:w="109"/>
        <w:gridCol w:w="109"/>
        <w:gridCol w:w="196"/>
        <w:gridCol w:w="661"/>
        <w:gridCol w:w="109"/>
        <w:gridCol w:w="109"/>
        <w:gridCol w:w="109"/>
        <w:gridCol w:w="109"/>
        <w:gridCol w:w="196"/>
        <w:gridCol w:w="791"/>
        <w:gridCol w:w="157"/>
      </w:tblGrid>
      <w:tr>
        <w:trPr/>
        <w:tc>
          <w:tcPr>
            <w:tcW w:w="188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(219,899)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related to equity method investees, net in discontinued operations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(142,493)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(362,392)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loss attributable to non-controlling interest:</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shareholders</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(29,474)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(346,446)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8"/>
        <w:gridCol w:w="404"/>
        <w:gridCol w:w="405"/>
        <w:gridCol w:w="231"/>
        <w:gridCol w:w="516"/>
        <w:gridCol w:w="130"/>
        <w:gridCol w:w="109"/>
        <w:gridCol w:w="109"/>
        <w:gridCol w:w="109"/>
        <w:gridCol w:w="239"/>
        <w:gridCol w:w="534"/>
        <w:gridCol w:w="134"/>
        <w:gridCol w:w="109"/>
        <w:gridCol w:w="109"/>
        <w:gridCol w:w="109"/>
        <w:gridCol w:w="218"/>
        <w:gridCol w:w="838"/>
        <w:gridCol w:w="121"/>
        <w:gridCol w:w="109"/>
        <w:gridCol w:w="109"/>
        <w:gridCol w:w="109"/>
        <w:gridCol w:w="225"/>
        <w:gridCol w:w="868"/>
        <w:gridCol w:w="126"/>
        <w:gridCol w:w="109"/>
        <w:gridCol w:w="109"/>
        <w:gridCol w:w="109"/>
        <w:gridCol w:w="500"/>
        <w:gridCol w:w="1112"/>
        <w:gridCol w:w="279"/>
        <w:gridCol w:w="109"/>
        <w:gridCol w:w="109"/>
        <w:gridCol w:w="109"/>
        <w:gridCol w:w="198"/>
        <w:gridCol w:w="668"/>
        <w:gridCol w:w="166"/>
      </w:tblGrid>
      <w:tr>
        <w:trPr/>
        <w:tc>
          <w:tcPr>
            <w:tcW w:w="6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Six Months Ended June 30, 2023</w:t>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Ordinary Shares</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Preferred Shares</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2022</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343,350 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(325,602)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29,397</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29,397</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29,397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29,397</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preferred shares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61,703</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61,729</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March 31, 2023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368,681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(296,205)</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524</w:t>
            </w:r>
            <w:r>
              <w:rPr>
                <w:color w:val="000000"/>
              </w:rPr>
              <w:t>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74,156</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(8,335)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2023</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331,080</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(241,452)</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91,318</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605" cy="14605"/>
                <wp:effectExtent l="0" t="0" r="0" b="0"/>
                <wp:wrapNone/>
                <wp:docPr id="9" name="Frame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CONSOLIDATED STATEMENTS OF CHANGES IN EQUITY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p>
      <w:pPr>
        <w:pStyle w:val="TextBody"/>
        <w:bidi w:val="0"/>
        <w:spacing w:before="0" w:after="0"/>
        <w:jc w:val="left"/>
        <w:rPr/>
      </w:pPr>
      <w:r>
        <w:rPr/>
      </w:r>
    </w:p>
    <w:tbl>
      <w:tblPr>
        <w:tblW w:w="11235" w:type="dxa"/>
        <w:jc w:val="left"/>
        <w:tblInd w:w="0" w:type="dxa"/>
        <w:tblLayout w:type="fixed"/>
        <w:tblCellMar>
          <w:top w:w="28" w:type="dxa"/>
          <w:left w:w="28" w:type="dxa"/>
          <w:bottom w:w="28" w:type="dxa"/>
          <w:right w:w="28" w:type="dxa"/>
        </w:tblCellMar>
      </w:tblPr>
      <w:tblGrid>
        <w:gridCol w:w="595"/>
        <w:gridCol w:w="325"/>
        <w:gridCol w:w="326"/>
        <w:gridCol w:w="227"/>
        <w:gridCol w:w="487"/>
        <w:gridCol w:w="127"/>
        <w:gridCol w:w="109"/>
        <w:gridCol w:w="109"/>
        <w:gridCol w:w="109"/>
        <w:gridCol w:w="222"/>
        <w:gridCol w:w="478"/>
        <w:gridCol w:w="126"/>
        <w:gridCol w:w="109"/>
        <w:gridCol w:w="109"/>
        <w:gridCol w:w="109"/>
        <w:gridCol w:w="196"/>
        <w:gridCol w:w="871"/>
        <w:gridCol w:w="109"/>
        <w:gridCol w:w="109"/>
        <w:gridCol w:w="109"/>
        <w:gridCol w:w="109"/>
        <w:gridCol w:w="214"/>
        <w:gridCol w:w="822"/>
        <w:gridCol w:w="120"/>
        <w:gridCol w:w="109"/>
        <w:gridCol w:w="109"/>
        <w:gridCol w:w="109"/>
        <w:gridCol w:w="250"/>
        <w:gridCol w:w="960"/>
        <w:gridCol w:w="141"/>
        <w:gridCol w:w="109"/>
        <w:gridCol w:w="109"/>
        <w:gridCol w:w="109"/>
        <w:gridCol w:w="325"/>
        <w:gridCol w:w="949"/>
        <w:gridCol w:w="182"/>
        <w:gridCol w:w="109"/>
        <w:gridCol w:w="109"/>
        <w:gridCol w:w="109"/>
        <w:gridCol w:w="196"/>
        <w:gridCol w:w="871"/>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and Six Months Ended June 30, 2022</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Common Shares</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Preferred Shares</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Non-Controlling Interest in Equity of Consolidated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December 31, 2021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(132,392)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(156,381)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loss</w:t>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(222,193)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(94,779)</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March 31, 2022</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(354,585)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(251,160)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(6,949)</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760,995 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comprehensive income (loss)</w:t>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(47,714)</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consolidated subsidiary</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non-controlling interest</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ordinary shares</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 - preferred shares</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 June 30, 2022</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(336,345)</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(298,874)</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(9,603)</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Common and Preferred Shares of Fortress Transportation and Infrastructure Investors LLC were exchanged for Ordinary and Preferred Shares of FTAI Aviation Ltd. when the Merger, as detailed in Note 1, was completed on November 10, 2022.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9698" w:type="dxa"/>
        <w:jc w:val="left"/>
        <w:tblInd w:w="0" w:type="dxa"/>
        <w:tblLayout w:type="fixed"/>
        <w:tblCellMar>
          <w:top w:w="28" w:type="dxa"/>
          <w:left w:w="28" w:type="dxa"/>
          <w:bottom w:w="28" w:type="dxa"/>
          <w:right w:w="28" w:type="dxa"/>
        </w:tblCellMar>
      </w:tblPr>
      <w:tblGrid>
        <w:gridCol w:w="2571"/>
        <w:gridCol w:w="2258"/>
        <w:gridCol w:w="2265"/>
        <w:gridCol w:w="196"/>
        <w:gridCol w:w="811"/>
        <w:gridCol w:w="109"/>
        <w:gridCol w:w="109"/>
        <w:gridCol w:w="109"/>
        <w:gridCol w:w="109"/>
        <w:gridCol w:w="196"/>
        <w:gridCol w:w="811"/>
        <w:gridCol w:w="154"/>
      </w:tblGrid>
      <w:tr>
        <w:trPr/>
        <w:tc>
          <w:tcPr>
            <w:tcW w:w="25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and maintenance claims included in earnings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non-hedge derivative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guarantees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lease intangibles and incentives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Accounts payable and accrued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Management fees payable to affiliate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notes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collections on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(325,462)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lease intangibles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promissory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deposits for acquisitions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leasing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273,229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for deposit on sale of aircraft and engine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deposits for sale of aircraft and engine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used in investing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(101,846)</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(306,784)</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 xml:space="preserve">FTAI AVIATION LTD. </w:t>
      </w:r>
    </w:p>
    <w:p>
      <w:pPr>
        <w:pStyle w:val="TextBody"/>
        <w:bidi w:val="0"/>
        <w:spacing w:lineRule="auto" w:line="288" w:before="0" w:after="0"/>
        <w:jc w:val="left"/>
        <w:rPr/>
      </w:pPr>
      <w:r>
        <w:rPr>
          <w:rFonts w:ascii="Arial;sans-serif" w:hAnsi="Arial;sans-serif"/>
          <w:b/>
          <w:color w:val="00497F"/>
          <w:sz w:val="20"/>
        </w:rPr>
        <w:t xml:space="preserve">CONSOLIDATED STATEMENTS OF CASH FLOWS </w:t>
      </w:r>
      <w:r>
        <w:rPr>
          <w:rFonts w:ascii="Arial;sans-serif" w:hAnsi="Arial;sans-serif"/>
          <w:b/>
          <w:i/>
          <w:color w:val="00497F"/>
          <w:sz w:val="20"/>
        </w:rPr>
        <w:t>(unaudited)</w:t>
      </w:r>
    </w:p>
    <w:p>
      <w:pPr>
        <w:pStyle w:val="TextBody"/>
        <w:bidi w:val="0"/>
        <w:spacing w:lineRule="auto" w:line="288" w:before="0" w:after="0"/>
        <w:jc w:val="left"/>
        <w:rPr>
          <w:rFonts w:ascii="Arial;sans-serif" w:hAnsi="Arial;sans-serif"/>
          <w:b w:val="false"/>
          <w:i/>
          <w:color w:val="00497F"/>
          <w:sz w:val="20"/>
        </w:rPr>
      </w:pPr>
      <w:r>
        <w:rPr>
          <w:rFonts w:ascii="Arial;sans-serif" w:hAnsi="Arial;sans-serif"/>
          <w:b w:val="false"/>
          <w:i/>
          <w:color w:val="00497F"/>
          <w:sz w:val="20"/>
        </w:rPr>
        <w:t>(Dollars in thousands)</w:t>
      </w:r>
    </w:p>
    <w:tbl>
      <w:tblPr>
        <w:tblW w:w="10205" w:type="dxa"/>
        <w:jc w:val="left"/>
        <w:tblInd w:w="0" w:type="dxa"/>
        <w:tblLayout w:type="fixed"/>
        <w:tblCellMar>
          <w:top w:w="28" w:type="dxa"/>
          <w:left w:w="28" w:type="dxa"/>
          <w:bottom w:w="28" w:type="dxa"/>
          <w:right w:w="28" w:type="dxa"/>
        </w:tblCellMar>
      </w:tblPr>
      <w:tblGrid>
        <w:gridCol w:w="2816"/>
        <w:gridCol w:w="2450"/>
        <w:gridCol w:w="2469"/>
        <w:gridCol w:w="196"/>
        <w:gridCol w:w="751"/>
        <w:gridCol w:w="109"/>
        <w:gridCol w:w="109"/>
        <w:gridCol w:w="109"/>
        <w:gridCol w:w="109"/>
        <w:gridCol w:w="196"/>
        <w:gridCol w:w="736"/>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503,980 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(224,724)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deferred financing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security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of security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Receipt of maintenance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maintenance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contributions from non-controlling interests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preferred shares, net of underwriter's discount and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61,729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common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dividends - preferred shares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decrease in cash and cash equivalents and 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and restricted cash,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296,805 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leasing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Security deposits, maintenance deposits, other assets and other liabilities settled in the sale of leasing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Settled and assumed security deposits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assumed and settled maintenance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change in equity method investment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Conversion of interests in unconsolidated entities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73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497F"/>
          <w:sz w:val="18"/>
        </w:rPr>
      </w:pPr>
      <w:r>
        <w:rPr>
          <w:rFonts w:ascii="Arial;sans-serif" w:hAnsi="Arial;sans-serif"/>
          <w:b w:val="false"/>
          <w:color w:val="00497F"/>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1. ORGANIZATION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exclusivity arrangements, aftermarket components for aircraft engines. Additionally, we own and lease offshore energy equipment. We have two reportable segments, (i) Aviation Leasing and (ii) Aerospace Products (see Note 12).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the Company completed the spin-off of its infrastructure business into an independent publicly traded company. Accordingly, the operating results of, and costs to separate, the infrastructure business are reported in Net loss from discontinued operations, net of income taxes in the Consolidated Statements of Operations for all periods presented. All amounts and disclosures included in the Notes to Consolidated Financial Statements reflect only the Company's continuing operations unless otherwise noted. For additional information, see Note 3,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November 10, 2022, the Company completed a reverse merger transaction pursuant to the Agreement and Plan of Merger (the “Merger”) between Fortress Transportation and Infrastructure Investors LLC (“FTAI LLC”) and the Company and the parties thereto, with FTAI LLC becoming a subsidiary of the Company. This reverse merger represents a transaction between entities under common control. Upon merger completion, FTAI LLC’s shareholders received one share of the Company’s ordinary shares, Series A Preferred Shares, Series B Preferred Shares and Series C Preferred Shares in exchange for each share of FTAI LLC’s common shares, Series A Preferred Shares, Series B Preferred Shares and Series C Preferred Shares, respectively, with the new Shares of FTAI Aviation Ltd. having substantially similar rights and privileges as the respective FTAI LLC shares being converted. All exchanges were completed without any further action from the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2. SUMMARY OF SIGNIFICANT ACCOUNTING POLICIES </w:t>
      </w:r>
    </w:p>
    <w:p>
      <w:pPr>
        <w:pStyle w:val="TextBody"/>
        <w:bidi w:val="0"/>
        <w:spacing w:lineRule="auto" w:line="288" w:before="180" w:after="283"/>
        <w:jc w:val="both"/>
        <w:rPr/>
      </w:pPr>
      <w:r>
        <w:rPr>
          <w:rFonts w:ascii="Arial;sans-serif" w:hAnsi="Arial;sans-serif"/>
          <w:b/>
          <w:i/>
          <w:color w:val="00497F"/>
          <w:sz w:val="18"/>
        </w:rPr>
        <w:t>Basis of Accounting</w:t>
      </w:r>
      <w:r>
        <w:rPr>
          <w:color w:val="00497F"/>
        </w:rPr>
        <w:t>—</w:t>
      </w:r>
      <w:r>
        <w:rPr>
          <w:rFonts w:ascii="Arial;sans-serif" w:hAnsi="Arial;sans-serif"/>
          <w:b w:val="false"/>
          <w:color w:val="000000"/>
          <w:sz w:val="18"/>
        </w:rPr>
        <w:t>The accompanying consolidated financial statements are prepared in accordance with U.S. generally accepted accounting principles (“U.S. GAAP”) and include the accounts of us and our subsidiaries. These financial statements and related notes should be read in conjunction with the Consolidated Financial Statements and related notes included in the Company’s Annual Report on Form 10-K for the year ended December 31, 2022.</w:t>
      </w:r>
    </w:p>
    <w:p>
      <w:pPr>
        <w:pStyle w:val="TextBody"/>
        <w:bidi w:val="0"/>
        <w:spacing w:lineRule="auto" w:line="288" w:before="120" w:after="283"/>
        <w:jc w:val="both"/>
        <w:rPr/>
      </w:pPr>
      <w:r>
        <w:rPr>
          <w:rFonts w:ascii="Arial;sans-serif" w:hAnsi="Arial;sans-serif"/>
          <w:b/>
          <w:i/>
          <w:color w:val="00497F"/>
          <w:sz w:val="18"/>
        </w:rPr>
        <w:t>Principles of Consolidation</w:t>
      </w:r>
      <w:r>
        <w:rPr>
          <w:color w:val="00497F"/>
        </w:rPr>
        <w:t>—</w:t>
      </w:r>
      <w:r>
        <w:rPr>
          <w:rFonts w:ascii="Arial;sans-serif" w:hAnsi="Arial;sans-serif"/>
          <w:b w:val="false"/>
          <w:color w:val="000000"/>
          <w:sz w:val="18"/>
        </w:rPr>
        <w:t>We consolidate all entities in which we have a controlling financial interest and control over significant operating decisions. All adjustments (consisting of normal recurring accruals) considered necessary for a fair presentation have been included. The ownership interest of other investors in consolidated subsidiaries is recorded as non-controlling interest.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loss.</w:t>
      </w:r>
    </w:p>
    <w:p>
      <w:pPr>
        <w:pStyle w:val="TextBody"/>
        <w:bidi w:val="0"/>
        <w:spacing w:lineRule="auto" w:line="288" w:before="120" w:after="283"/>
        <w:jc w:val="both"/>
        <w:rPr/>
      </w:pPr>
      <w:r>
        <w:rPr>
          <w:rFonts w:ascii="Arial;sans-serif" w:hAnsi="Arial;sans-serif"/>
          <w:b/>
          <w:i/>
          <w:color w:val="00497F"/>
          <w:sz w:val="18"/>
        </w:rPr>
        <w:t>Use of Estimates</w:t>
      </w:r>
      <w:r>
        <w:rPr>
          <w:color w:val="00497F"/>
        </w:rPr>
        <w:t>—</w:t>
      </w:r>
      <w:r>
        <w:rPr>
          <w:rFonts w:ascii="Arial;sans-serif" w:hAnsi="Arial;sans-serif"/>
          <w:b w:val="false"/>
          <w:color w:val="000000"/>
          <w:sz w:val="18"/>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lineRule="auto" w:line="288" w:before="120" w:after="283"/>
        <w:jc w:val="both"/>
        <w:rPr/>
      </w:pPr>
      <w:r>
        <w:rPr>
          <w:rFonts w:ascii="Arial;sans-serif" w:hAnsi="Arial;sans-serif"/>
          <w:b/>
          <w:i/>
          <w:color w:val="00497F"/>
          <w:sz w:val="18"/>
        </w:rPr>
        <w:t>Risks and Uncertainties</w:t>
      </w:r>
      <w:r>
        <w:rPr>
          <w:color w:val="00497F"/>
        </w:rPr>
        <w:t>—</w:t>
      </w:r>
      <w:r>
        <w:rPr>
          <w:rFonts w:ascii="Arial;sans-serif" w:hAnsi="Arial;sans-serif"/>
          <w:b w:val="false"/>
          <w:color w:val="000000"/>
          <w:sz w:val="18"/>
        </w:rPr>
        <w:t>In the normal course of business, we encounter several significant types of economic risk including credit, market, and capital 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pStyle w:val="TextBody"/>
        <w:bidi w:val="0"/>
        <w:spacing w:lineRule="auto" w:line="288" w:before="120" w:after="283"/>
        <w:jc w:val="both"/>
        <w:rPr/>
      </w:pPr>
      <w:r>
        <w:rPr>
          <w:rFonts w:ascii="Arial;sans-serif" w:hAnsi="Arial;sans-serif"/>
          <w:b/>
          <w:i/>
          <w:color w:val="00497F"/>
          <w:sz w:val="18"/>
        </w:rPr>
        <w:t>Cash and Cash Equivalents</w:t>
      </w:r>
      <w:r>
        <w:rPr>
          <w:color w:val="00497F"/>
        </w:rPr>
        <w:t>—</w:t>
      </w:r>
      <w:r>
        <w:rPr>
          <w:rFonts w:ascii="Arial;sans-serif" w:hAnsi="Arial;sans-serif"/>
          <w:b w:val="false"/>
          <w:color w:val="000000"/>
          <w:sz w:val="18"/>
        </w:rPr>
        <w:t>We consider all highly liquid short-term investments with a maturity of 90 days or less when purchased to be cash equivalents.</w:t>
      </w:r>
    </w:p>
    <w:p>
      <w:pPr>
        <w:pStyle w:val="TextBody"/>
        <w:bidi w:val="0"/>
        <w:spacing w:lineRule="auto" w:line="288" w:before="120" w:after="283"/>
        <w:jc w:val="both"/>
        <w:rPr/>
      </w:pPr>
      <w:r>
        <w:rPr>
          <w:rFonts w:ascii="Arial;sans-serif" w:hAnsi="Arial;sans-serif"/>
          <w:b/>
          <w:i/>
          <w:color w:val="00497F"/>
          <w:sz w:val="18"/>
        </w:rPr>
        <w:t>Restricted Cash</w:t>
      </w:r>
      <w:r>
        <w:rPr>
          <w:color w:val="00497F"/>
        </w:rPr>
        <w:t>—</w:t>
      </w:r>
      <w:r>
        <w:rPr>
          <w:rFonts w:ascii="Arial;sans-serif" w:hAnsi="Arial;sans-serif"/>
          <w:b w:val="false"/>
          <w:color w:val="000000"/>
          <w:sz w:val="18"/>
          <w:shd w:fill="FFFFFF" w:val="clear"/>
        </w:rPr>
        <w:t xml:space="preserve">Restricted cash consists of funds required for the Company’s investment in Quick Turn, as described in Note 5, of </w:t>
      </w:r>
      <w:r>
        <w:rPr>
          <w:rFonts w:ascii="Arial;sans-serif" w:hAnsi="Arial;sans-serif"/>
          <w:b w:val="false"/>
          <w:color w:val="000000"/>
          <w:sz w:val="18"/>
        </w:rPr>
        <w:t>$19.5 million</w:t>
      </w:r>
      <w:r>
        <w:rPr>
          <w:color w:val="000000"/>
          <w:shd w:fill="FFFFFF" w:val="clear"/>
        </w:rPr>
        <w:t xml:space="preserve"> </w:t>
      </w:r>
      <w:r>
        <w:rPr>
          <w:rFonts w:ascii="Arial;sans-serif" w:hAnsi="Arial;sans-serif"/>
          <w:b w:val="false"/>
          <w:color w:val="000000"/>
          <w:sz w:val="18"/>
          <w:shd w:fill="FFFFFF" w:val="clear"/>
        </w:rPr>
        <w:t>as of December 31, 2022. The Company had no restricted cash as of June 30, 2023.</w:t>
      </w:r>
    </w:p>
    <w:p>
      <w:pPr>
        <w:pStyle w:val="TextBody"/>
        <w:bidi w:val="0"/>
        <w:spacing w:lineRule="auto" w:line="288" w:before="120" w:after="283"/>
        <w:jc w:val="both"/>
        <w:rPr/>
      </w:pPr>
      <w:r>
        <w:rPr>
          <w:rFonts w:ascii="Arial;sans-serif" w:hAnsi="Arial;sans-serif"/>
          <w:b/>
          <w:i/>
          <w:color w:val="00497F"/>
          <w:sz w:val="18"/>
        </w:rPr>
        <w:t>Inventory</w:t>
      </w:r>
      <w:r>
        <w:rPr>
          <w:color w:val="00497F"/>
        </w:rPr>
        <w:t>—</w:t>
      </w:r>
      <w:r>
        <w:rPr>
          <w:rFonts w:ascii="Arial;sans-serif" w:hAnsi="Arial;sans-serif"/>
          <w:b w:val="false"/>
          <w:color w:val="000000"/>
          <w:sz w:val="18"/>
        </w:rPr>
        <w:t>We hold aircraft engine modules, spare parts and used material inventory for trading and to support operations. Inventory is carried at the lower of cost or net realizable value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Revenues</w:t>
      </w:r>
      <w:r>
        <w:rPr>
          <w:color w:val="00497F"/>
        </w:rPr>
        <w:t>—</w:t>
      </w:r>
      <w:r>
        <w:rPr>
          <w:rFonts w:ascii="Arial;sans-serif" w:hAnsi="Arial;sans-serif"/>
          <w:b w:val="false"/>
          <w:color w:val="000000"/>
          <w:sz w:val="18"/>
        </w:rPr>
        <w:t>We disaggregate our revenue from contracts with customers by products and services. Revenues are within the scope of ASC 842,</w:t>
      </w:r>
      <w:r>
        <w:rPr>
          <w:color w:val="000000"/>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 xml:space="preserve">and ASC 606, </w:t>
      </w:r>
      <w:r>
        <w:rPr>
          <w:rFonts w:ascii="Arial;sans-serif" w:hAnsi="Arial;sans-serif"/>
          <w:b w:val="false"/>
          <w:i/>
          <w:color w:val="000000"/>
          <w:sz w:val="18"/>
        </w:rPr>
        <w:t>Revenue from contracts with customers</w:t>
      </w:r>
      <w:r>
        <w:rPr>
          <w:rFonts w:ascii="Arial;sans-serif" w:hAnsi="Arial;sans-serif"/>
          <w:b w:val="false"/>
          <w:color w:val="000000"/>
          <w:sz w:val="18"/>
        </w:rPr>
        <w:t>, unless otherwise noted. We have elected to exclude sales and other similar taxes from revenues.</w: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18"/>
        </w:rPr>
        <w:t xml:space="preserve">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Asset sales revenue in the Consolidated Statement of Operations beginning in the third quarter of 2022 and are accounted for in accordance with ASC 606. The corresponding net book values of the assets sold are recorded in Cost of sales in the Consolidated Statement of Operations beginning in the third quarter of 2022. Sales transactions of aircraft and engines prior to the third quarter of 2022 were accounted for in accordance with ASC 610-20, </w:t>
      </w:r>
      <w:r>
        <w:rPr>
          <w:rFonts w:ascii="Arial;sans-serif" w:hAnsi="Arial;sans-serif"/>
          <w:b w:val="false"/>
          <w:i/>
          <w:color w:val="000000"/>
          <w:sz w:val="18"/>
        </w:rPr>
        <w:t>Gains and losses from the derecognition of nonfinancial assets</w:t>
      </w:r>
      <w:r>
        <w:rPr>
          <w:color w:val="000000"/>
        </w:rPr>
        <w:t xml:space="preserve"> </w:t>
      </w:r>
      <w:r>
        <w:rPr>
          <w:rFonts w:ascii="Arial;sans-serif" w:hAnsi="Arial;sans-serif"/>
          <w:b w:val="false"/>
          <w:color w:val="000000"/>
          <w:sz w:val="18"/>
        </w:rPr>
        <w:t>and were included in Gain on sale of assets, net on the Consolidated Statement of Operations, as we were previously only occasionally selling these assets. Generally, assets sold were under leasing arrangements with customers prior to sales and were included in Leasing equipment, net, on the Consolidated Balance Sheets.</w:t>
      </w:r>
    </w:p>
    <w:p>
      <w:pPr>
        <w:pStyle w:val="TextBody"/>
        <w:bidi w:val="0"/>
        <w:spacing w:lineRule="auto" w:line="288" w:before="120" w:after="283"/>
        <w:jc w:val="both"/>
        <w:rPr/>
      </w:pPr>
      <w:r>
        <w:rPr>
          <w:rFonts w:ascii="Arial;sans-serif" w:hAnsi="Arial;sans-serif"/>
          <w:b w:val="false"/>
          <w:i/>
          <w:color w:val="00497F"/>
          <w:sz w:val="18"/>
        </w:rPr>
        <w:t>Operating Leases</w:t>
      </w:r>
      <w:r>
        <w:rPr>
          <w:color w:val="000000"/>
        </w:rPr>
        <w:t>—</w:t>
      </w:r>
      <w:r>
        <w:rPr>
          <w:rFonts w:ascii="Arial;sans-serif" w:hAnsi="Arial;sans-serif"/>
          <w:b w:val="false"/>
          <w:color w:val="000000"/>
          <w:sz w:val="18"/>
        </w:rPr>
        <w:t>We lease equipment pursuant to operating leases. Operating leases with fixed rentals and step rentals are 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Maintenance payments received for which we expect to repay to the lessee are presented as Maintenance deposits in our Consolidated Balance Sheets. All excess maintenance payments received that we do not expect to repay to the lessee are recorded as Maintenance revenue on our Consolidated Statements of Operations.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pStyle w:val="TextBody"/>
        <w:bidi w:val="0"/>
        <w:spacing w:lineRule="auto" w:line="288" w:before="120" w:after="283"/>
        <w:jc w:val="both"/>
        <w:rPr/>
      </w:pPr>
      <w:r>
        <w:rPr>
          <w:rFonts w:ascii="Arial;sans-serif" w:hAnsi="Arial;sans-serif"/>
          <w:b w:val="false"/>
          <w:i/>
          <w:color w:val="00497F"/>
          <w:sz w:val="18"/>
        </w:rPr>
        <w:t>Finance Leases</w:t>
      </w:r>
      <w:r>
        <w:rPr>
          <w:color w:val="000000"/>
        </w:rPr>
        <w:t>—</w:t>
      </w:r>
      <w:r>
        <w:rPr>
          <w:rFonts w:ascii="Arial;sans-serif" w:hAnsi="Arial;sans-serif"/>
          <w:b w:val="false"/>
          <w:color w:val="000000"/>
          <w:sz w:val="18"/>
        </w:rPr>
        <w:t>From time to time we enter into finance lease arrangements that include a lessee obligation to purchase the leased equipment at the end 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pStyle w:val="TextBody"/>
        <w:bidi w:val="0"/>
        <w:spacing w:lineRule="auto" w:line="288" w:before="120" w:after="283"/>
        <w:jc w:val="both"/>
        <w:rPr/>
      </w:pPr>
      <w:r>
        <w:rPr>
          <w:rFonts w:ascii="Arial;sans-serif" w:hAnsi="Arial;sans-serif"/>
          <w:b w:val="false"/>
          <w:i/>
          <w:color w:val="00497F"/>
          <w:sz w:val="18"/>
        </w:rPr>
        <w:t>Asset sales revenue</w:t>
      </w:r>
      <w:r>
        <w:rPr>
          <w:color w:val="000000"/>
        </w:rPr>
        <w:t>—</w:t>
      </w:r>
      <w:r>
        <w:rPr>
          <w:rFonts w:ascii="Arial;sans-serif" w:hAnsi="Arial;sans-serif"/>
          <w:b w:val="false"/>
          <w:color w:val="000000"/>
          <w:sz w:val="18"/>
        </w:rPr>
        <w:t xml:space="preserve">Asset sales revenue primarily consists of the transaction price related to the sale of aircraft and aircraft engines from our Aviation 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w:t>
      </w:r>
    </w:p>
    <w:p>
      <w:pPr>
        <w:pStyle w:val="TextBody"/>
        <w:bidi w:val="0"/>
        <w:spacing w:lineRule="auto" w:line="288" w:before="120" w:after="283"/>
        <w:jc w:val="both"/>
        <w:rPr/>
      </w:pPr>
      <w:r>
        <w:rPr>
          <w:rFonts w:ascii="Arial;sans-serif" w:hAnsi="Arial;sans-serif"/>
          <w:b w:val="false"/>
          <w:i/>
          <w:color w:val="00497F"/>
          <w:sz w:val="18"/>
        </w:rPr>
        <w:t>Aerospace products revenue</w:t>
      </w:r>
      <w:r>
        <w:rPr>
          <w:color w:val="000000"/>
        </w:rPr>
        <w:t>—</w:t>
      </w:r>
      <w:r>
        <w:rPr>
          <w:rFonts w:ascii="Arial;sans-serif" w:hAnsi="Arial;sans-serif"/>
          <w:b w:val="false"/>
          <w:color w:val="000000"/>
          <w:sz w:val="18"/>
        </w:rPr>
        <w:t>Aerospace products revenue primarily consists of the transaction price related to the sale of repaired CFM56-7B and CFM56-5B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i/>
          <w:color w:val="00497F"/>
          <w:sz w:val="18"/>
        </w:rPr>
        <w:t>Leasing Arrangements</w:t>
      </w:r>
      <w:r>
        <w:rPr>
          <w:color w:val="00497F"/>
        </w:rPr>
        <w:t>—</w:t>
      </w:r>
      <w:r>
        <w:rPr>
          <w:rFonts w:ascii="Arial;sans-serif" w:hAnsi="Arial;sans-serif"/>
          <w:b w:val="false"/>
          <w:color w:val="000000"/>
          <w:sz w:val="18"/>
        </w:rPr>
        <w:t>At contract inception, we evaluate whether an arrangement is or contains a lease for which we are the lessee (that is, arrangements which provide us with the right to control a physical asset for a period of time). Operating lease right-of-use (“ROU”) assets and lease liabilities are included in Other assets and Other liabilities in our Consolidated Balance Sheets, respectively. Finance lease ROU assets are recognized in Other assets and lease liabilities are recognized in Other liabilities in our Consolidated Balance Sheets.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All lease liabilities are measured at the present value of the unpaid lease payments, discounted using our incremental borrowing rate based on the information available at commencement date of the lease. ROU assets, for both operating and finance leases, 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Operating lease expenses are recognized on a straight-line basis over the lease term. With respect to finance leases, amortization of the ROU asset is presented separately from interest expense related to the finance lease liability and is recorded in Operating expenses in the Consolidated Statements of Operations. Variable lease payments, which are primarily based on usage, are recognized when the associated activity occurs.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pStyle w:val="TextBody"/>
        <w:bidi w:val="0"/>
        <w:spacing w:lineRule="auto" w:line="288" w:before="120" w:after="283"/>
        <w:jc w:val="both"/>
        <w:rPr/>
      </w:pPr>
      <w:r>
        <w:rPr>
          <w:rFonts w:ascii="Arial;sans-serif" w:hAnsi="Arial;sans-serif"/>
          <w:b/>
          <w:i/>
          <w:color w:val="00497F"/>
          <w:sz w:val="18"/>
          <w:shd w:fill="FFFFFF" w:val="clear"/>
        </w:rPr>
        <w:t>Concentration of Credit Risk</w:t>
      </w:r>
      <w:r>
        <w:rPr>
          <w:color w:val="00497F"/>
          <w:shd w:fill="FFFFFF" w:val="clear"/>
        </w:rPr>
        <w:t>—</w:t>
      </w:r>
      <w:r>
        <w:rPr>
          <w:rFonts w:ascii="Arial;sans-serif" w:hAnsi="Arial;sans-serif"/>
          <w:b w:val="false"/>
          <w:color w:val="000000"/>
          <w:sz w:val="18"/>
          <w:shd w:fill="FFFFFF" w:val="clear"/>
        </w:rPr>
        <w:t xml:space="preserve">We are subject to concentrations of credit risk with respect to amounts due from customers. We attempt to limit our credit risk by performing ongoing credit evaluations. We earned </w:t>
      </w:r>
      <w:r>
        <w:rPr>
          <w:rFonts w:ascii="Arial;sans-serif" w:hAnsi="Arial;sans-serif"/>
          <w:b w:val="false"/>
          <w:color w:val="000000"/>
          <w:sz w:val="18"/>
        </w:rPr>
        <w:t xml:space="preserve">10% </w:t>
      </w:r>
      <w:r>
        <w:rPr>
          <w:rFonts w:ascii="Arial;sans-serif" w:hAnsi="Arial;sans-serif"/>
          <w:b w:val="false"/>
          <w:color w:val="000000"/>
          <w:sz w:val="18"/>
          <w:shd w:fill="FFFFFF" w:val="clear"/>
        </w:rPr>
        <w:t>and 11% of our revenue from one customer in the Aviation Leasing segment during the three and six months ended June 30, 2023, respectively. No single customer accounted for greater than 10% of total revenue during the three and six months ended June 30, 2022.</w:t>
      </w:r>
    </w:p>
    <w:p>
      <w:pPr>
        <w:pStyle w:val="TextBody"/>
        <w:bidi w:val="0"/>
        <w:spacing w:lineRule="auto" w:line="288" w:before="120" w:after="283"/>
        <w:jc w:val="both"/>
        <w:rPr/>
      </w:pPr>
      <w:r>
        <w:rPr>
          <w:rFonts w:ascii="Arial;sans-serif" w:hAnsi="Arial;sans-serif"/>
          <w:b w:val="false"/>
          <w:color w:val="000000"/>
          <w:sz w:val="18"/>
          <w:shd w:fill="FFFFFF" w:val="clear"/>
        </w:rPr>
        <w:t xml:space="preserve">As of June 30, 2023, there were three customers in the Aviation Leasing segment that represented </w:t>
      </w:r>
      <w:r>
        <w:rPr>
          <w:rFonts w:ascii="Arial;sans-serif" w:hAnsi="Arial;sans-serif"/>
          <w:b w:val="false"/>
          <w:color w:val="000000"/>
          <w:sz w:val="18"/>
        </w:rPr>
        <w:t>15%, 14%, and 11%</w:t>
      </w:r>
      <w:r>
        <w:rPr>
          <w:color w:val="000000"/>
          <w:shd w:fill="FFFFFF" w:val="clear"/>
        </w:rPr>
        <w:t xml:space="preserve"> </w:t>
      </w:r>
      <w:r>
        <w:rPr>
          <w:rFonts w:ascii="Arial;sans-serif" w:hAnsi="Arial;sans-serif"/>
          <w:b w:val="false"/>
          <w:color w:val="000000"/>
          <w:sz w:val="18"/>
          <w:shd w:fill="FFFFFF" w:val="clear"/>
        </w:rPr>
        <w:t>of total accounts receivable, net. As of December 31, 2022, there were two customers in the Aviation Leasing segment that represented 20% and 12% of total accounts receivable, net.</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maintain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pStyle w:val="TextBody"/>
        <w:bidi w:val="0"/>
        <w:spacing w:lineRule="auto" w:line="288" w:before="120" w:after="283"/>
        <w:jc w:val="both"/>
        <w:rPr/>
      </w:pPr>
      <w:r>
        <w:rPr>
          <w:rFonts w:ascii="Arial;sans-serif" w:hAnsi="Arial;sans-serif"/>
          <w:b/>
          <w:i/>
          <w:color w:val="00497F"/>
          <w:sz w:val="18"/>
          <w:shd w:fill="FFFFFF" w:val="clear"/>
        </w:rPr>
        <w:t>Allowance for Doubtful Accounts</w:t>
      </w:r>
      <w:r>
        <w:rPr>
          <w:color w:val="00497F"/>
          <w:shd w:fill="FFFFFF" w:val="clear"/>
        </w:rPr>
        <w:t>—</w:t>
      </w:r>
      <w:r>
        <w:rPr>
          <w:rFonts w:ascii="Arial;sans-serif" w:hAnsi="Arial;sans-serif"/>
          <w:b w:val="false"/>
          <w:color w:val="000000"/>
          <w:sz w:val="18"/>
          <w:shd w:fill="FFFFFF" w:val="clear"/>
        </w:rPr>
        <w:t xml:space="preserve">We determine the allowance for doubtful accounts based on our assessment of the collectability of our receivables on a customer-by-customer basis. The allowance for doubtful accounts was $66.6 million and $65.6 million as of June 30, 2023 and December 31, 2022, respectively. There was provision for credit losses of $0.6 million and a bad debt reversal of $0.7 million for the three months ended June 30, 2023 and 2022, respectively. There was a provision for credit losses of $1.0 million and </w:t>
      </w:r>
      <w:r>
        <w:rPr>
          <w:rFonts w:ascii="Arial;sans-serif" w:hAnsi="Arial;sans-serif"/>
          <w:b w:val="false"/>
          <w:color w:val="000000"/>
          <w:sz w:val="18"/>
        </w:rPr>
        <w:t>a provision for credit losses of $47.2 million</w:t>
      </w:r>
      <w:r>
        <w:rPr>
          <w:color w:val="000000"/>
          <w:shd w:fill="FFFFFF" w:val="clear"/>
        </w:rPr>
        <w:t xml:space="preserve"> </w:t>
      </w:r>
      <w:r>
        <w:rPr>
          <w:rFonts w:ascii="Arial;sans-serif" w:hAnsi="Arial;sans-serif"/>
          <w:b w:val="false"/>
          <w:color w:val="000000"/>
          <w:sz w:val="18"/>
          <w:shd w:fill="FFFFFF" w:val="clear"/>
        </w:rPr>
        <w:t>for the six months ended June 30, 2023 and 2022, respectively, and is included in Operating expenses in the Consolidated Statements of Operations.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and our allowance for doubtful accounts at June 30, 2023 includes all accounts receivable exposure to Russian and Ukrainian customers.</w:t>
      </w:r>
    </w:p>
    <w:p>
      <w:pPr>
        <w:pStyle w:val="TextBody"/>
        <w:bidi w:val="0"/>
        <w:spacing w:lineRule="auto" w:line="288" w:before="120" w:after="283"/>
        <w:jc w:val="both"/>
        <w:rPr/>
      </w:pPr>
      <w:r>
        <w:rPr>
          <w:rFonts w:ascii="Arial;sans-serif" w:hAnsi="Arial;sans-serif"/>
          <w:b/>
          <w:i/>
          <w:color w:val="00497F"/>
          <w:sz w:val="18"/>
        </w:rPr>
        <w:t>Comprehensive Loss</w:t>
      </w:r>
      <w:r>
        <w:rPr>
          <w:color w:val="00497F"/>
        </w:rPr>
        <w:t>—</w:t>
      </w:r>
      <w:r>
        <w:rPr>
          <w:rFonts w:ascii="Arial;sans-serif" w:hAnsi="Arial;sans-serif"/>
          <w:b w:val="false"/>
          <w:color w:val="000000"/>
          <w:sz w:val="18"/>
        </w:rPr>
        <w:t>Comprehensive loss is defined as the change in equity of a business enterprise during a period from transactions and other events and circumstances, excluding those resulting from investments by and distributions to owners. Our comprehensive loss represents net income (loss), as presented in the Consolidated Statements of Operations, adjusted for comprehensive loss related to cash flow hedges of our equity method investees of discontinued operations. The cash flow impact of commodity derivatives held by our consolidated subsidiaries is recognized in Change in fair value of non-hedge derivatives in our Consolidated Statements of Cash Flows.</w:t>
      </w:r>
    </w:p>
    <w:p>
      <w:pPr>
        <w:pStyle w:val="TextBody"/>
        <w:bidi w:val="0"/>
        <w:spacing w:lineRule="auto" w:line="288" w:before="120" w:after="283"/>
        <w:jc w:val="both"/>
        <w:rPr/>
      </w:pPr>
      <w:r>
        <w:rPr>
          <w:rFonts w:ascii="Arial;sans-serif" w:hAnsi="Arial;sans-serif"/>
          <w:b/>
          <w:i/>
          <w:color w:val="00497F"/>
          <w:sz w:val="18"/>
          <w:shd w:fill="FFFFFF" w:val="clear"/>
        </w:rPr>
        <w:t>Other Assets—</w:t>
      </w:r>
      <w:r>
        <w:rPr>
          <w:rFonts w:ascii="Arial;sans-serif" w:hAnsi="Arial;sans-serif"/>
          <w:b w:val="false"/>
          <w:color w:val="000000"/>
          <w:sz w:val="18"/>
          <w:shd w:fill="FFFFFF" w:val="clear"/>
        </w:rPr>
        <w:t>Other assets is primarily comprised of lease incentives of $</w:t>
      </w:r>
      <w:r>
        <w:rPr>
          <w:rFonts w:ascii="Arial;sans-serif" w:hAnsi="Arial;sans-serif"/>
          <w:b w:val="false"/>
          <w:color w:val="000000"/>
          <w:sz w:val="18"/>
        </w:rPr>
        <w:t>49.4 million</w:t>
      </w:r>
      <w:r>
        <w:rPr>
          <w:color w:val="000000"/>
          <w:shd w:fill="FFFFFF" w:val="clear"/>
        </w:rPr>
        <w:t xml:space="preserve"> </w:t>
      </w:r>
      <w:r>
        <w:rPr>
          <w:rFonts w:ascii="Arial;sans-serif" w:hAnsi="Arial;sans-serif"/>
          <w:b w:val="false"/>
          <w:color w:val="000000"/>
          <w:sz w:val="18"/>
          <w:shd w:fill="FFFFFF" w:val="clear"/>
        </w:rPr>
        <w:t>and $37.9 million, purchase deposits of $</w:t>
      </w:r>
      <w:r>
        <w:rPr>
          <w:rFonts w:ascii="Arial;sans-serif" w:hAnsi="Arial;sans-serif"/>
          <w:b w:val="false"/>
          <w:color w:val="000000"/>
          <w:sz w:val="18"/>
        </w:rPr>
        <w:t>11.2 million</w:t>
      </w:r>
      <w:r>
        <w:rPr>
          <w:color w:val="000000"/>
          <w:shd w:fill="FFFFFF" w:val="clear"/>
        </w:rPr>
        <w:t xml:space="preserve"> </w:t>
      </w:r>
      <w:r>
        <w:rPr>
          <w:rFonts w:ascii="Arial;sans-serif" w:hAnsi="Arial;sans-serif"/>
          <w:b w:val="false"/>
          <w:color w:val="000000"/>
          <w:sz w:val="18"/>
          <w:shd w:fill="FFFFFF" w:val="clear"/>
        </w:rPr>
        <w:t>and $6.7 million, notes receivable of $</w:t>
      </w:r>
      <w:r>
        <w:rPr>
          <w:rFonts w:ascii="Arial;sans-serif" w:hAnsi="Arial;sans-serif"/>
          <w:b w:val="false"/>
          <w:color w:val="000000"/>
          <w:sz w:val="18"/>
        </w:rPr>
        <w:t>71.6 million</w:t>
      </w:r>
      <w:r>
        <w:rPr>
          <w:color w:val="000000"/>
          <w:shd w:fill="FFFFFF" w:val="clear"/>
        </w:rPr>
        <w:t xml:space="preserve"> </w:t>
      </w:r>
      <w:r>
        <w:rPr>
          <w:rFonts w:ascii="Arial;sans-serif" w:hAnsi="Arial;sans-serif"/>
          <w:b w:val="false"/>
          <w:color w:val="000000"/>
          <w:sz w:val="18"/>
          <w:shd w:fill="FFFFFF" w:val="clear"/>
        </w:rPr>
        <w:t xml:space="preserve">and $49.2 million, </w:t>
      </w:r>
      <w:r>
        <w:rPr>
          <w:rFonts w:ascii="Arial;sans-serif" w:hAnsi="Arial;sans-serif"/>
          <w:b w:val="false"/>
          <w:color w:val="000000"/>
          <w:sz w:val="18"/>
        </w:rPr>
        <w:t>operating lease right-of-use assets, net o</w:t>
      </w:r>
      <w:r>
        <w:rPr>
          <w:rFonts w:ascii="Arial;sans-serif" w:hAnsi="Arial;sans-serif"/>
          <w:b w:val="false"/>
          <w:color w:val="000000"/>
          <w:sz w:val="18"/>
          <w:shd w:fill="FFFFFF" w:val="clear"/>
        </w:rPr>
        <w:t>f $</w:t>
      </w:r>
      <w:r>
        <w:rPr>
          <w:rFonts w:ascii="Arial;sans-serif" w:hAnsi="Arial;sans-serif"/>
          <w:b w:val="false"/>
          <w:color w:val="000000"/>
          <w:sz w:val="18"/>
        </w:rPr>
        <w:t xml:space="preserve">2.6 million and </w:t>
      </w:r>
      <w:r>
        <w:rPr>
          <w:rFonts w:ascii="Arial;sans-serif" w:hAnsi="Arial;sans-serif"/>
          <w:b w:val="false"/>
          <w:color w:val="000000"/>
          <w:sz w:val="18"/>
          <w:shd w:fill="FFFFFF" w:val="clear"/>
        </w:rPr>
        <w:t>$3.0 million, finance leases, net of $</w:t>
      </w:r>
      <w:r>
        <w:rPr>
          <w:rFonts w:ascii="Arial;sans-serif" w:hAnsi="Arial;sans-serif"/>
          <w:b w:val="false"/>
          <w:color w:val="000000"/>
          <w:sz w:val="18"/>
        </w:rPr>
        <w:t>4.1 million</w:t>
      </w:r>
      <w:r>
        <w:rPr>
          <w:color w:val="000000"/>
          <w:shd w:fill="FFFFFF" w:val="clear"/>
        </w:rPr>
        <w:t xml:space="preserve"> </w:t>
      </w:r>
      <w:r>
        <w:rPr>
          <w:rFonts w:ascii="Arial;sans-serif" w:hAnsi="Arial;sans-serif"/>
          <w:b w:val="false"/>
          <w:color w:val="000000"/>
          <w:sz w:val="18"/>
          <w:shd w:fill="FFFFFF" w:val="clear"/>
        </w:rPr>
        <w:t>and $6.4 million, maintenance right assets of $</w:t>
      </w:r>
      <w:r>
        <w:rPr>
          <w:rFonts w:ascii="Arial;sans-serif" w:hAnsi="Arial;sans-serif"/>
          <w:b w:val="false"/>
          <w:color w:val="000000"/>
          <w:sz w:val="18"/>
        </w:rPr>
        <w:t>9.4 million</w:t>
      </w:r>
      <w:r>
        <w:rPr>
          <w:color w:val="000000"/>
          <w:shd w:fill="FFFFFF" w:val="clear"/>
        </w:rPr>
        <w:t xml:space="preserve"> </w:t>
      </w:r>
      <w:r>
        <w:rPr>
          <w:rFonts w:ascii="Arial;sans-serif" w:hAnsi="Arial;sans-serif"/>
          <w:b w:val="false"/>
          <w:color w:val="000000"/>
          <w:sz w:val="18"/>
          <w:shd w:fill="FFFFFF" w:val="clear"/>
        </w:rPr>
        <w:t>and $6.8 million and prepaid expenses of $</w:t>
      </w:r>
      <w:r>
        <w:rPr>
          <w:rFonts w:ascii="Arial;sans-serif" w:hAnsi="Arial;sans-serif"/>
          <w:b w:val="false"/>
          <w:color w:val="000000"/>
          <w:sz w:val="18"/>
        </w:rPr>
        <w:t>3.1 million</w:t>
      </w:r>
      <w:r>
        <w:rPr>
          <w:color w:val="000000"/>
          <w:shd w:fill="FFFFFF" w:val="clear"/>
        </w:rPr>
        <w:t xml:space="preserve"> </w:t>
      </w:r>
      <w:r>
        <w:rPr>
          <w:rFonts w:ascii="Arial;sans-serif" w:hAnsi="Arial;sans-serif"/>
          <w:b w:val="false"/>
          <w:color w:val="000000"/>
          <w:sz w:val="18"/>
          <w:shd w:fill="FFFFFF" w:val="clear"/>
        </w:rPr>
        <w:t xml:space="preserve">and $1.9 million, as of June 30, 2023 and December 31, 2022, respectively. </w:t>
      </w:r>
    </w:p>
    <w:p>
      <w:pPr>
        <w:pStyle w:val="TextBody"/>
        <w:bidi w:val="0"/>
        <w:spacing w:lineRule="auto" w:line="288" w:before="120" w:after="283"/>
        <w:jc w:val="both"/>
        <w:rPr/>
      </w:pPr>
      <w:r>
        <w:rPr>
          <w:rFonts w:ascii="Arial;sans-serif" w:hAnsi="Arial;sans-serif"/>
          <w:b/>
          <w:i/>
          <w:color w:val="00497F"/>
          <w:sz w:val="18"/>
        </w:rPr>
        <w:t>Dividends—</w:t>
      </w:r>
      <w:r>
        <w:rPr>
          <w:rFonts w:ascii="Arial;sans-serif" w:hAnsi="Arial;sans-serif"/>
          <w:b w:val="false"/>
          <w:color w:val="000000"/>
          <w:sz w:val="18"/>
        </w:rPr>
        <w:t xml:space="preserve">Dividends are recorded if and when declared by the Board of Directors. For the three months ended June 30, 2023 and 2022, the Board of Directors declared cash dividends of $0.30 and $0.33 per ordinary share, respectively. For the six months ended June 30, 2023 and 2022, the Board of Directors declared cash dividends of $0.60 and $0.66 per ordinary share, respectively.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Additionally, in the quarter ended June 30, 2023, the Board of Directors declared cash dividends on the Series A Preferred Shares, Series B Preferred Shares, Series C Preferred Shares and Series D Preferred Shares of $0.52, $0.50, $0.52 and $0.59 per share,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68" w:before="0" w:after="0"/>
        <w:jc w:val="left"/>
        <w:rPr/>
      </w:pPr>
      <w:r>
        <w:rPr>
          <w:rFonts w:ascii="Arial;sans-serif" w:hAnsi="Arial;sans-serif"/>
          <w:b/>
          <w:i/>
          <w:color w:val="00497F"/>
          <w:sz w:val="18"/>
        </w:rPr>
        <w:t>Recent Accounting Pronouncements</w:t>
      </w:r>
      <w:r>
        <w:rPr>
          <w:color w:val="00497F"/>
        </w:rPr>
        <w:t>—</w:t>
      </w:r>
      <w:r>
        <w:rPr>
          <w:rFonts w:ascii="Arial;sans-serif" w:hAnsi="Arial;sans-serif"/>
          <w:b w:val="false"/>
          <w:color w:val="000000"/>
          <w:sz w:val="18"/>
        </w:rPr>
        <w:t>The Company has evaluated all recent accounting pronouncements and none are expected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3. DISCONTINUED OPERATIONS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FTAI Infrastructure Inc. (“FTAI Infrastructure”) Spin-Off</w:t>
      </w:r>
    </w:p>
    <w:p>
      <w:pPr>
        <w:pStyle w:val="TextBody"/>
        <w:bidi w:val="0"/>
        <w:spacing w:lineRule="auto" w:line="288" w:before="120" w:after="283"/>
        <w:jc w:val="both"/>
        <w:rPr/>
      </w:pPr>
      <w:r>
        <w:rPr>
          <w:rFonts w:ascii="Arial;sans-serif" w:hAnsi="Arial;sans-serif"/>
          <w:b w:val="false"/>
          <w:color w:val="000000"/>
          <w:sz w:val="18"/>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ordinary shares as of July 21, 2022. The distribution was completed on August 1, 2022. Under ASC 205-20, </w:t>
      </w:r>
      <w:r>
        <w:rPr>
          <w:rFonts w:ascii="Arial;sans-serif" w:hAnsi="Arial;sans-serif"/>
          <w:b w:val="false"/>
          <w:i/>
          <w:color w:val="000000"/>
          <w:sz w:val="18"/>
        </w:rPr>
        <w:t>Presentation of Financial Statements – Discontinued Operations</w:t>
      </w:r>
      <w:r>
        <w:rPr>
          <w:rFonts w:ascii="Arial;sans-serif" w:hAnsi="Arial;sans-serif"/>
          <w:b w:val="false"/>
          <w:color w:val="000000"/>
          <w:sz w:val="18"/>
        </w:rPr>
        <w:t>, the spin-off met the criteria to be reported as a discontinued operation. Therefore, FTAI Infrastructure is presented as a discontinued operation within the Company’s financial statements for the three and six months ended June 30,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businesses.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LLC retained the aviation business and certain other assets, and FTAI LLC’s remaining outstanding corporate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Financial Information of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the significant components of net loss from discontinued operations:</w:t>
      </w:r>
    </w:p>
    <w:tbl>
      <w:tblPr>
        <w:tblW w:w="9732" w:type="dxa"/>
        <w:jc w:val="left"/>
        <w:tblInd w:w="0" w:type="dxa"/>
        <w:tblLayout w:type="fixed"/>
        <w:tblCellMar>
          <w:top w:w="28" w:type="dxa"/>
          <w:left w:w="28" w:type="dxa"/>
          <w:bottom w:w="28" w:type="dxa"/>
          <w:right w:w="28" w:type="dxa"/>
        </w:tblCellMar>
      </w:tblPr>
      <w:tblGrid>
        <w:gridCol w:w="2175"/>
        <w:gridCol w:w="1916"/>
        <w:gridCol w:w="1924"/>
        <w:gridCol w:w="344"/>
        <w:gridCol w:w="1265"/>
        <w:gridCol w:w="191"/>
        <w:gridCol w:w="109"/>
        <w:gridCol w:w="109"/>
        <w:gridCol w:w="109"/>
        <w:gridCol w:w="287"/>
        <w:gridCol w:w="1078"/>
        <w:gridCol w:w="225"/>
      </w:tblGrid>
      <w:tr>
        <w:trPr/>
        <w:tc>
          <w:tcPr>
            <w:tcW w:w="2175"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2022</w:t>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112,016 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87,925 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84,233 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154,797 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in losses of unconsolidated entities </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(38,069)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expense</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(15,982)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(40,124)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(82,905)</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from discontinued operations, net of income taxes</w:t>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(35,929)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(86,634)</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(27,449)</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(70,688)</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76" w:before="120" w:after="283"/>
        <w:jc w:val="both"/>
        <w:rPr>
          <w:rFonts w:ascii="Arial;sans-serif" w:hAnsi="Arial;sans-serif"/>
          <w:b w:val="false"/>
          <w:color w:val="000000"/>
          <w:sz w:val="18"/>
        </w:rPr>
      </w:pPr>
      <w:r>
        <w:rPr>
          <w:rFonts w:ascii="Arial;sans-serif" w:hAnsi="Arial;sans-serif"/>
          <w:b w:val="false"/>
          <w:color w:val="000000"/>
          <w:sz w:val="18"/>
        </w:rPr>
        <w:t>The cash flows related to discontinued operations have not been segregated, and are included in the Consolidated Statements of Cash Flows for the six months ended June 30, 2022. The following table summarizes depreciation and amortization, capital expenditures, and other significant operating and investing noncash items from discontinued operations:</w:t>
      </w:r>
    </w:p>
    <w:tbl>
      <w:tblPr>
        <w:tblW w:w="5999" w:type="dxa"/>
        <w:jc w:val="left"/>
        <w:tblInd w:w="0" w:type="dxa"/>
        <w:tblLayout w:type="fixed"/>
        <w:tblCellMar>
          <w:top w:w="28" w:type="dxa"/>
          <w:left w:w="28" w:type="dxa"/>
          <w:bottom w:w="28" w:type="dxa"/>
          <w:right w:w="28" w:type="dxa"/>
        </w:tblCellMar>
      </w:tblPr>
      <w:tblGrid>
        <w:gridCol w:w="1581"/>
        <w:gridCol w:w="1386"/>
        <w:gridCol w:w="1397"/>
        <w:gridCol w:w="276"/>
        <w:gridCol w:w="1142"/>
        <w:gridCol w:w="217"/>
      </w:tblGrid>
      <w:tr>
        <w:trPr/>
        <w:tc>
          <w:tcPr>
            <w:tcW w:w="15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(38,069)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34,315 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Equity-based compensation</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property, plant and equipment</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(113,917)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unconsolidated entities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 of property, plant and equipment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change in equity method investment</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(142,493)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Non-cash conversion of interest in unconsolidated entities </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pPr>
      <w:r>
        <w:rPr>
          <w:rFonts w:ascii="Arial;sans-serif" w:hAnsi="Arial;sans-serif"/>
          <w:b w:val="false"/>
          <w:color w:val="000000"/>
          <w:sz w:val="18"/>
        </w:rPr>
        <w:t>The Company accounted for Long Ridge Terminal LLC, included in discontinued operations for the three and six months ended June 30, 2022 included above, using the equity method of accounting. Summarized financial data for Long Ridge Terminal LLC are shown in the following table.</w:t>
      </w:r>
      <w:r>
        <w:rPr>
          <w:color w:val="000000"/>
        </w:rPr>
        <w:t xml:space="preserve"> </w:t>
      </w:r>
    </w:p>
    <w:tbl>
      <w:tblPr>
        <w:tblW w:w="6169" w:type="dxa"/>
        <w:jc w:val="left"/>
        <w:tblInd w:w="0" w:type="dxa"/>
        <w:tblLayout w:type="fixed"/>
        <w:tblCellMar>
          <w:top w:w="28" w:type="dxa"/>
          <w:left w:w="28" w:type="dxa"/>
          <w:bottom w:w="28" w:type="dxa"/>
          <w:right w:w="28" w:type="dxa"/>
        </w:tblCellMar>
      </w:tblPr>
      <w:tblGrid>
        <w:gridCol w:w="826"/>
        <w:gridCol w:w="725"/>
        <w:gridCol w:w="729"/>
        <w:gridCol w:w="335"/>
        <w:gridCol w:w="1233"/>
        <w:gridCol w:w="186"/>
        <w:gridCol w:w="109"/>
        <w:gridCol w:w="109"/>
        <w:gridCol w:w="109"/>
        <w:gridCol w:w="295"/>
        <w:gridCol w:w="1086"/>
        <w:gridCol w:w="164"/>
        <w:gridCol w:w="109"/>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Statement</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83,396 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(25,892)</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(68,566)</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4. LEASING EQUIPMENT, NET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Leasing equipment, net is summarized as follows:</w:t>
      </w:r>
    </w:p>
    <w:tbl>
      <w:tblPr>
        <w:tblW w:w="6890" w:type="dxa"/>
        <w:jc w:val="left"/>
        <w:tblInd w:w="0" w:type="dxa"/>
        <w:tblLayout w:type="fixed"/>
        <w:tblCellMar>
          <w:top w:w="28" w:type="dxa"/>
          <w:left w:w="28" w:type="dxa"/>
          <w:bottom w:w="28" w:type="dxa"/>
          <w:right w:w="28" w:type="dxa"/>
        </w:tblCellMar>
      </w:tblPr>
      <w:tblGrid>
        <w:gridCol w:w="885"/>
        <w:gridCol w:w="777"/>
        <w:gridCol w:w="782"/>
        <w:gridCol w:w="109"/>
        <w:gridCol w:w="109"/>
        <w:gridCol w:w="109"/>
        <w:gridCol w:w="109"/>
        <w:gridCol w:w="109"/>
        <w:gridCol w:w="109"/>
        <w:gridCol w:w="196"/>
        <w:gridCol w:w="886"/>
        <w:gridCol w:w="109"/>
        <w:gridCol w:w="109"/>
        <w:gridCol w:w="109"/>
        <w:gridCol w:w="109"/>
        <w:gridCol w:w="109"/>
        <w:gridCol w:w="109"/>
        <w:gridCol w:w="109"/>
        <w:gridCol w:w="109"/>
        <w:gridCol w:w="109"/>
        <w:gridCol w:w="109"/>
        <w:gridCol w:w="260"/>
        <w:gridCol w:w="1156"/>
        <w:gridCol w:w="20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2601"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Leasing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2,396,594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2,413,230 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(505,331)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(499,677)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Leasing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1,891,263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1,913,553 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both"/>
        <w:rPr/>
      </w:pPr>
      <w:r>
        <w:rPr>
          <w:rFonts w:ascii="Arial;sans-serif" w:hAnsi="Arial;sans-serif"/>
          <w:b w:val="false"/>
          <w:color w:val="000000"/>
          <w:sz w:val="18"/>
        </w:rPr>
        <w:t xml:space="preserve">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aircrafts and engines that had not yet been recovered from Ukraine and Russia. As a result, we recognized an impairment charge totaling </w:t>
      </w:r>
      <w:r>
        <w:rPr>
          <w:rFonts w:ascii="Arial;sans-serif" w:hAnsi="Arial;sans-serif"/>
          <w:b w:val="false"/>
          <w:color w:val="000000"/>
          <w:sz w:val="18"/>
          <w:shd w:fill="FFFFFF" w:val="clear"/>
        </w:rPr>
        <w:t>$120.0 million,</w:t>
      </w:r>
      <w:r>
        <w:rPr>
          <w:color w:val="000000"/>
        </w:rPr>
        <w:t xml:space="preserve"> </w:t>
      </w:r>
      <w:r>
        <w:rPr>
          <w:rFonts w:ascii="Arial;sans-serif" w:hAnsi="Arial;sans-serif"/>
          <w:b w:val="false"/>
          <w:color w:val="000000"/>
          <w:sz w:val="18"/>
        </w:rPr>
        <w:t xml:space="preserve">net of maintenance deposits, to write-off the </w:t>
      </w:r>
      <w:r>
        <w:rPr>
          <w:rFonts w:ascii="Arial;sans-serif" w:hAnsi="Arial;sans-serif"/>
          <w:b w:val="false"/>
          <w:color w:val="000000"/>
          <w:sz w:val="18"/>
          <w:shd w:fill="FFFFFF" w:val="clear"/>
        </w:rPr>
        <w:t xml:space="preserve">entire carrying value of leasing equipment assets that we did not expect to recover from Ukraine and Russia. As of June 30, 2023, four aircraft were still located in Ukraine and eight aircraft and seventeen </w:t>
      </w:r>
      <w:r>
        <w:rPr>
          <w:rFonts w:ascii="Arial;sans-serif" w:hAnsi="Arial;sans-serif"/>
          <w:b w:val="false"/>
          <w:color w:val="000000"/>
          <w:sz w:val="18"/>
        </w:rPr>
        <w:t>engines were still located in Russia. Additionally, we identified certain assets in our leasing equipment portfolio with indicators of impairm</w:t>
      </w:r>
      <w:r>
        <w:rPr>
          <w:rFonts w:ascii="Arial;sans-serif" w:hAnsi="Arial;sans-serif"/>
          <w:b w:val="false"/>
          <w:color w:val="000000"/>
          <w:sz w:val="18"/>
          <w:shd w:fill="FFFFFF" w:val="clear"/>
        </w:rPr>
        <w:t xml:space="preserve">ent. </w:t>
      </w:r>
      <w:r>
        <w:rPr>
          <w:rFonts w:ascii="Times New Roman;sans-serif" w:hAnsi="Times New Roman;sans-serif"/>
          <w:b w:val="false"/>
          <w:color w:val="000000"/>
          <w:sz w:val="20"/>
          <w:shd w:fill="FFFFFF" w:val="clear"/>
        </w:rPr>
        <w:t>As</w:t>
      </w:r>
      <w:r>
        <w:rPr>
          <w:color w:val="000000"/>
          <w:shd w:fill="FFFFFF" w:val="clear"/>
        </w:rPr>
        <w:t xml:space="preserve"> </w:t>
      </w:r>
      <w:r>
        <w:rPr>
          <w:rFonts w:ascii="Arial;sans-serif" w:hAnsi="Arial;sans-serif"/>
          <w:b w:val="false"/>
          <w:color w:val="000000"/>
          <w:sz w:val="18"/>
          <w:shd w:fill="FFFFFF" w:val="clear"/>
        </w:rPr>
        <w:t>a result, we adjusted the carrying value of these assets to fair value and recognized transactional impairment charges of $1.2 million</w:t>
      </w:r>
      <w:r>
        <w:rPr>
          <w:rFonts w:ascii="Arial;sans-serif" w:hAnsi="Arial;sans-serif"/>
          <w:b w:val="false"/>
          <w:color w:val="000000"/>
          <w:sz w:val="18"/>
        </w:rPr>
        <w:t>, net of redelivery compensation during the six months ended June 30, 2023.</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Depreciation expense for leasing equipment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tbl>
      <w:tblPr>
        <w:tblW w:w="8373" w:type="dxa"/>
        <w:jc w:val="left"/>
        <w:tblInd w:w="0" w:type="dxa"/>
        <w:tblLayout w:type="fixed"/>
        <w:tblCellMar>
          <w:top w:w="28" w:type="dxa"/>
          <w:left w:w="28" w:type="dxa"/>
          <w:bottom w:w="28" w:type="dxa"/>
          <w:right w:w="28" w:type="dxa"/>
        </w:tblCellMar>
      </w:tblPr>
      <w:tblGrid>
        <w:gridCol w:w="1194"/>
        <w:gridCol w:w="1051"/>
        <w:gridCol w:w="1054"/>
        <w:gridCol w:w="214"/>
        <w:gridCol w:w="724"/>
        <w:gridCol w:w="119"/>
        <w:gridCol w:w="119"/>
        <w:gridCol w:w="119"/>
        <w:gridCol w:w="119"/>
        <w:gridCol w:w="214"/>
        <w:gridCol w:w="708"/>
        <w:gridCol w:w="119"/>
        <w:gridCol w:w="109"/>
        <w:gridCol w:w="109"/>
        <w:gridCol w:w="109"/>
        <w:gridCol w:w="196"/>
        <w:gridCol w:w="663"/>
        <w:gridCol w:w="109"/>
        <w:gridCol w:w="109"/>
        <w:gridCol w:w="109"/>
        <w:gridCol w:w="109"/>
        <w:gridCol w:w="196"/>
        <w:gridCol w:w="647"/>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expense for leasing equipment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38,336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5. INVESTMENTS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presents the ownership interests and carrying values of our investments:</w:t>
      </w:r>
    </w:p>
    <w:tbl>
      <w:tblPr>
        <w:tblW w:w="9182" w:type="dxa"/>
        <w:jc w:val="left"/>
        <w:tblInd w:w="0" w:type="dxa"/>
        <w:tblLayout w:type="fixed"/>
        <w:tblCellMar>
          <w:top w:w="28" w:type="dxa"/>
          <w:left w:w="28" w:type="dxa"/>
          <w:bottom w:w="28" w:type="dxa"/>
          <w:right w:w="28" w:type="dxa"/>
        </w:tblCellMar>
      </w:tblPr>
      <w:tblGrid>
        <w:gridCol w:w="858"/>
        <w:gridCol w:w="753"/>
        <w:gridCol w:w="758"/>
        <w:gridCol w:w="379"/>
        <w:gridCol w:w="379"/>
        <w:gridCol w:w="381"/>
        <w:gridCol w:w="109"/>
        <w:gridCol w:w="109"/>
        <w:gridCol w:w="109"/>
        <w:gridCol w:w="634"/>
        <w:gridCol w:w="634"/>
        <w:gridCol w:w="636"/>
        <w:gridCol w:w="109"/>
        <w:gridCol w:w="109"/>
        <w:gridCol w:w="109"/>
        <w:gridCol w:w="237"/>
        <w:gridCol w:w="801"/>
        <w:gridCol w:w="132"/>
        <w:gridCol w:w="109"/>
        <w:gridCol w:w="109"/>
        <w:gridCol w:w="109"/>
        <w:gridCol w:w="318"/>
        <w:gridCol w:w="1051"/>
        <w:gridCol w:w="250"/>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Ownership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20,480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1,696</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Equity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17,646</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39,822</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did not recognize any other-than-temporary impairments for the three and six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proportionate share of equity in (losses) income:</w:t>
      </w:r>
    </w:p>
    <w:tbl>
      <w:tblPr>
        <w:tblW w:w="7445" w:type="dxa"/>
        <w:jc w:val="left"/>
        <w:tblInd w:w="0" w:type="dxa"/>
        <w:tblLayout w:type="fixed"/>
        <w:tblCellMar>
          <w:top w:w="28" w:type="dxa"/>
          <w:left w:w="28" w:type="dxa"/>
          <w:bottom w:w="28" w:type="dxa"/>
          <w:right w:w="28" w:type="dxa"/>
        </w:tblCellMar>
      </w:tblPr>
      <w:tblGrid>
        <w:gridCol w:w="858"/>
        <w:gridCol w:w="753"/>
        <w:gridCol w:w="758"/>
        <w:gridCol w:w="250"/>
        <w:gridCol w:w="632"/>
        <w:gridCol w:w="139"/>
        <w:gridCol w:w="139"/>
        <w:gridCol w:w="139"/>
        <w:gridCol w:w="139"/>
        <w:gridCol w:w="250"/>
        <w:gridCol w:w="632"/>
        <w:gridCol w:w="139"/>
        <w:gridCol w:w="109"/>
        <w:gridCol w:w="109"/>
        <w:gridCol w:w="109"/>
        <w:gridCol w:w="213"/>
        <w:gridCol w:w="686"/>
        <w:gridCol w:w="118"/>
        <w:gridCol w:w="118"/>
        <w:gridCol w:w="118"/>
        <w:gridCol w:w="118"/>
        <w:gridCol w:w="213"/>
        <w:gridCol w:w="539"/>
        <w:gridCol w:w="167"/>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Advanced Engine Repair JV</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Falcon MSN 177 LLC</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Quick Turn Engine Center LLC</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Equity Method Investments</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Advanced Engine Repair JV</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December 2016, we invested $15 million for a 25% interest in an advanced engine repair joint venture. This joint venture is focused on developing new cost savings programs for engine repairs. We exercise significant influence over this investment and account for this investment as an equity method investment. </w:t>
      </w:r>
    </w:p>
    <w:p>
      <w:pPr>
        <w:pStyle w:val="TextBody"/>
        <w:bidi w:val="0"/>
        <w:spacing w:lineRule="auto" w:line="288" w:before="120" w:after="283"/>
        <w:jc w:val="both"/>
        <w:rPr/>
      </w:pPr>
      <w:r>
        <w:rPr>
          <w:rFonts w:ascii="Arial;sans-serif" w:hAnsi="Arial;sans-serif"/>
          <w:b w:val="false"/>
          <w:color w:val="000000"/>
          <w:sz w:val="18"/>
        </w:rPr>
        <w:t xml:space="preserve">In August 2019, we expanded the scope of our joint venture and invested an additional $13.5 million and maintained a 25% </w:t>
      </w:r>
      <w:r>
        <w:rPr>
          <w:rFonts w:ascii="Arial;sans-serif" w:hAnsi="Arial;sans-serif"/>
          <w:b w:val="false"/>
          <w:color w:val="000000"/>
          <w:sz w:val="18"/>
          <w:shd w:fill="FFFFFF" w:val="clear"/>
        </w:rPr>
        <w:t>interest.</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Falcon MSN 177 LLC</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pStyle w:val="TextBody"/>
        <w:bidi w:val="0"/>
        <w:spacing w:lineRule="auto" w:line="288" w:before="120" w:after="283"/>
        <w:jc w:val="both"/>
        <w:rPr>
          <w:rFonts w:ascii="Arial;sans-serif" w:hAnsi="Arial;sans-serif"/>
          <w:b w:val="false"/>
          <w:i/>
          <w:color w:val="00497F"/>
          <w:sz w:val="18"/>
        </w:rPr>
      </w:pPr>
      <w:r>
        <w:rPr>
          <w:rFonts w:ascii="Arial;sans-serif" w:hAnsi="Arial;sans-serif"/>
          <w:b w:val="false"/>
          <w:i/>
          <w:color w:val="00497F"/>
          <w:sz w:val="18"/>
        </w:rPr>
        <w:t>Quick Turn Engine Center LLC</w:t>
      </w:r>
    </w:p>
    <w:p>
      <w:pPr>
        <w:pStyle w:val="TextBody"/>
        <w:bidi w:val="0"/>
        <w:spacing w:lineRule="auto" w:line="288" w:before="120" w:after="283"/>
        <w:jc w:val="both"/>
        <w:rPr/>
      </w:pPr>
      <w:r>
        <w:rPr>
          <w:rFonts w:ascii="Arial;sans-serif" w:hAnsi="Arial;sans-serif"/>
          <w:b w:val="false"/>
          <w:color w:val="000000"/>
          <w:sz w:val="18"/>
        </w:rPr>
        <w:t xml:space="preserve">On January 4, 2023, we invested $19.5 million for a 50% interest in Quick Turn Engine Center LLC or “Quick Turn” (previously iAero Thrust LLC), a hospital maintenance and testing facility dedicated to the CFM56 engine. We account for our investment in </w:t>
      </w:r>
      <w:r>
        <w:rPr>
          <w:rFonts w:ascii="Arial;sans-serif" w:hAnsi="Arial;sans-serif"/>
          <w:b w:val="false"/>
          <w:color w:val="000000"/>
          <w:sz w:val="18"/>
          <w:shd w:fill="FFFFFF" w:val="clear"/>
        </w:rPr>
        <w:t>Quick Turn</w:t>
      </w:r>
      <w:r>
        <w:rPr>
          <w:color w:val="000000"/>
        </w:rPr>
        <w:t xml:space="preserve"> </w:t>
      </w:r>
      <w:r>
        <w:rPr>
          <w:rFonts w:ascii="Arial;sans-serif" w:hAnsi="Arial;sans-serif"/>
          <w:b w:val="false"/>
          <w:color w:val="000000"/>
          <w:sz w:val="18"/>
        </w:rPr>
        <w:t>as an equity method investment as we have significant influence through our interest.</w:t>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6. INTANGIBLE ASSETS AND LIABILITIES, NET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Intangible assets and liabilities, net are summarized as follows:</w:t>
      </w:r>
    </w:p>
    <w:tbl>
      <w:tblPr>
        <w:tblW w:w="6670" w:type="dxa"/>
        <w:jc w:val="left"/>
        <w:tblInd w:w="0" w:type="dxa"/>
        <w:tblLayout w:type="fixed"/>
        <w:tblCellMar>
          <w:top w:w="28" w:type="dxa"/>
          <w:left w:w="28" w:type="dxa"/>
          <w:bottom w:w="28" w:type="dxa"/>
          <w:right w:w="28" w:type="dxa"/>
        </w:tblCellMar>
      </w:tblPr>
      <w:tblGrid>
        <w:gridCol w:w="1289"/>
        <w:gridCol w:w="1129"/>
        <w:gridCol w:w="1136"/>
        <w:gridCol w:w="237"/>
        <w:gridCol w:w="801"/>
        <w:gridCol w:w="132"/>
        <w:gridCol w:w="109"/>
        <w:gridCol w:w="109"/>
        <w:gridCol w:w="109"/>
        <w:gridCol w:w="314"/>
        <w:gridCol w:w="1059"/>
        <w:gridCol w:w="246"/>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favorable lease intangibles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61,934</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(17,251)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(22,247)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favorable lease intangibles, net</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44,683</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41,955</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liabilities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unfavorable lease intangibles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2,232</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Acquired unfavorable lease intangibles,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852</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Intangible assets and liabilities are all held within the Aviation Leasing segment. Intangible liabilities relate to unfavorable lease intangibles and are included as a component of Other liabilities in the Consolidated Balance Sheets.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Amortization of intangible assets and liabilities is as follows:</w:t>
      </w:r>
    </w:p>
    <w:tbl>
      <w:tblPr>
        <w:tblW w:w="10205" w:type="dxa"/>
        <w:jc w:val="left"/>
        <w:tblInd w:w="0" w:type="dxa"/>
        <w:tblLayout w:type="fixed"/>
        <w:tblCellMar>
          <w:top w:w="28" w:type="dxa"/>
          <w:left w:w="28" w:type="dxa"/>
          <w:bottom w:w="28" w:type="dxa"/>
          <w:right w:w="28" w:type="dxa"/>
        </w:tblCellMar>
      </w:tblPr>
      <w:tblGrid>
        <w:gridCol w:w="453"/>
        <w:gridCol w:w="398"/>
        <w:gridCol w:w="400"/>
        <w:gridCol w:w="1233"/>
        <w:gridCol w:w="1233"/>
        <w:gridCol w:w="1235"/>
        <w:gridCol w:w="109"/>
        <w:gridCol w:w="109"/>
        <w:gridCol w:w="109"/>
        <w:gridCol w:w="223"/>
        <w:gridCol w:w="651"/>
        <w:gridCol w:w="123"/>
        <w:gridCol w:w="123"/>
        <w:gridCol w:w="123"/>
        <w:gridCol w:w="123"/>
        <w:gridCol w:w="223"/>
        <w:gridCol w:w="634"/>
        <w:gridCol w:w="123"/>
        <w:gridCol w:w="109"/>
        <w:gridCol w:w="109"/>
        <w:gridCol w:w="109"/>
        <w:gridCol w:w="208"/>
        <w:gridCol w:w="608"/>
        <w:gridCol w:w="115"/>
        <w:gridCol w:w="115"/>
        <w:gridCol w:w="115"/>
        <w:gridCol w:w="115"/>
        <w:gridCol w:w="208"/>
        <w:gridCol w:w="592"/>
        <w:gridCol w:w="177"/>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Classification in Consolidated 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intangibles</w:t>
            </w:r>
          </w:p>
        </w:tc>
        <w:tc>
          <w:tcPr>
            <w:tcW w:w="3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7,599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As of June 30, 2023, estimated net annual amortization of intangibles is as follows:</w:t>
      </w:r>
    </w:p>
    <w:tbl>
      <w:tblPr>
        <w:tblW w:w="2496" w:type="dxa"/>
        <w:jc w:val="left"/>
        <w:tblInd w:w="0" w:type="dxa"/>
        <w:tblLayout w:type="fixed"/>
        <w:tblCellMar>
          <w:top w:w="28" w:type="dxa"/>
          <w:left w:w="28" w:type="dxa"/>
          <w:bottom w:w="28" w:type="dxa"/>
          <w:right w:w="28" w:type="dxa"/>
        </w:tblCellMar>
      </w:tblPr>
      <w:tblGrid>
        <w:gridCol w:w="544"/>
        <w:gridCol w:w="476"/>
        <w:gridCol w:w="480"/>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7. DEBT, NET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Our debt, net is summarized as follows: </w:t>
      </w:r>
    </w:p>
    <w:tbl>
      <w:tblPr>
        <w:tblW w:w="10205" w:type="dxa"/>
        <w:jc w:val="left"/>
        <w:tblInd w:w="0" w:type="dxa"/>
        <w:tblLayout w:type="fixed"/>
        <w:tblCellMar>
          <w:top w:w="28" w:type="dxa"/>
          <w:left w:w="28" w:type="dxa"/>
          <w:bottom w:w="28" w:type="dxa"/>
          <w:right w:w="28" w:type="dxa"/>
        </w:tblCellMar>
      </w:tblPr>
      <w:tblGrid>
        <w:gridCol w:w="772"/>
        <w:gridCol w:w="655"/>
        <w:gridCol w:w="660"/>
        <w:gridCol w:w="304"/>
        <w:gridCol w:w="1375"/>
        <w:gridCol w:w="168"/>
        <w:gridCol w:w="109"/>
        <w:gridCol w:w="109"/>
        <w:gridCol w:w="109"/>
        <w:gridCol w:w="782"/>
        <w:gridCol w:w="782"/>
        <w:gridCol w:w="785"/>
        <w:gridCol w:w="109"/>
        <w:gridCol w:w="109"/>
        <w:gridCol w:w="109"/>
        <w:gridCol w:w="348"/>
        <w:gridCol w:w="348"/>
        <w:gridCol w:w="350"/>
        <w:gridCol w:w="109"/>
        <w:gridCol w:w="109"/>
        <w:gridCol w:w="109"/>
        <w:gridCol w:w="303"/>
        <w:gridCol w:w="1348"/>
        <w:gridCol w:w="244"/>
      </w:tblGrid>
      <w:tr>
        <w:trPr/>
        <w:tc>
          <w:tcPr>
            <w:tcW w:w="77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Outstanding Borrowings</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 payable</w:t>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Revolving Credit Facility </w:t>
            </w:r>
            <w:r>
              <w:rPr>
                <w:rFonts w:ascii="Arial;sans-serif" w:hAnsi="Arial;sans-serif"/>
                <w:b w:val="false"/>
                <w:color w:val="000000"/>
                <w:sz w:val="10"/>
              </w:rPr>
              <w:t>(1)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145,000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 Base Rate + 1.75%; or</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(ii) Adjusted Term SOFR Rate + 2.75%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loans payable</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145,000</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150,000 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Bonds payable</w:t>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2025 </w:t>
            </w:r>
            <w:r>
              <w:rPr>
                <w:rFonts w:ascii="Arial;sans-serif" w:hAnsi="Arial;sans-serif"/>
                <w:b w:val="false"/>
                <w:color w:val="000000"/>
                <w:sz w:val="10"/>
              </w:rPr>
              <w:t>(2)</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652,547</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653,036 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400,000</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Senior Notes due 2028 </w:t>
            </w:r>
            <w:r>
              <w:rPr>
                <w:rFonts w:ascii="Arial;sans-serif" w:hAnsi="Arial;sans-serif"/>
                <w:b w:val="false"/>
                <w:color w:val="000000"/>
                <w:sz w:val="10"/>
              </w:rPr>
              <w:t>(3)</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1,001,921</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1,002,091 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bonds payable</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2,054,468</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2,055,127 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2,199,468</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2,205,127 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Debt issuance costs</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(26,360)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net</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2,173,108</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2,175,727 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 due within one year</w:t>
            </w:r>
          </w:p>
        </w:tc>
        <w:tc>
          <w:tcPr>
            <w:tcW w:w="3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60" w:after="283"/>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Requires a quarterly commitment fee at a rate of 0.50% on the average daily unused portion, as well as customary letter of credit fees and agency fees. </w:t>
      </w:r>
    </w:p>
    <w:p>
      <w:pPr>
        <w:pStyle w:val="TextBody"/>
        <w:bidi w:val="0"/>
        <w:spacing w:lineRule="auto" w:line="288" w:before="60" w:after="283"/>
        <w:ind w:left="0" w:right="0" w:hanging="18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an unamortized discount of $1,096 and $1,318 at June 30, 2023 and December 31, 2022, respectively, and an unamortized premium of $3,643 and $4,354 at June 30, 2023 and December 31, 2022, respectively.</w:t>
      </w:r>
    </w:p>
    <w:p>
      <w:pPr>
        <w:pStyle w:val="TextBody"/>
        <w:bidi w:val="0"/>
        <w:spacing w:lineRule="auto" w:line="288" w:before="60" w:after="283"/>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an unamortized premium of $1,921 and $2,091 at June 30, 2023 and December 31, 2022,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were in compliance with all debt covenants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8. FAIR VALUE MEASUREMENTS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Fair value measurements and disclosures require the use of valuation techniques to measure fair value that maximize the use of observable inputs and minimize use of unobservable inputs. These inputs are prioritized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1: Observable inputs such as quoted prices in active markets for identical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2: Inputs other than quoted prices included within Level 1 that are observable, either directly or indirectly, such as quoted prices for similar assets or liabilities or market corroborated inputs.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Level 3: Unobservable inputs for which there is little or no market data and which require us to develop our own assumptions about how market participants price the asset or liability. </w:t>
      </w:r>
    </w:p>
    <w:p>
      <w:pPr>
        <w:pStyle w:val="TextBody"/>
        <w:bidi w:val="0"/>
        <w:spacing w:lineRule="auto" w:line="288" w:before="120" w:after="283"/>
        <w:ind w:left="0" w:right="0" w:hanging="360"/>
        <w:jc w:val="both"/>
        <w:rPr>
          <w:rFonts w:ascii="Arial;sans-serif" w:hAnsi="Arial;sans-serif"/>
          <w:b w:val="false"/>
          <w:color w:val="000000"/>
          <w:sz w:val="18"/>
        </w:rPr>
      </w:pPr>
      <w:r>
        <w:rPr>
          <w:rFonts w:ascii="Arial;sans-serif" w:hAnsi="Arial;sans-serif"/>
          <w:b w:val="false"/>
          <w:color w:val="000000"/>
          <w:sz w:val="18"/>
        </w:rPr>
        <w:t xml:space="preserve">The valuation techniques that may be used to measure fair value are as follows: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Market approach—Uses prices and other relevant information generated by market transactions involving identical or comparable assets or liabilities.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Income approach—Uses valuation techniques to convert future amounts to a single present amount based on current market expectations about those future amounts.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Cost approach—Based on the amount that currently would be required to replace the service capacity of an asset (replacement cost).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our bonds payable reported as Debt, net in the Consolidated Balance Sheets are presented in the table below and classified as Level 2 within the fair value hierarchy:</w:t>
      </w:r>
    </w:p>
    <w:tbl>
      <w:tblPr>
        <w:tblW w:w="4899" w:type="dxa"/>
        <w:jc w:val="left"/>
        <w:tblInd w:w="0" w:type="dxa"/>
        <w:tblLayout w:type="fixed"/>
        <w:tblCellMar>
          <w:top w:w="28" w:type="dxa"/>
          <w:left w:w="28" w:type="dxa"/>
          <w:bottom w:w="28" w:type="dxa"/>
          <w:right w:w="28" w:type="dxa"/>
        </w:tblCellMar>
      </w:tblPr>
      <w:tblGrid>
        <w:gridCol w:w="646"/>
        <w:gridCol w:w="566"/>
        <w:gridCol w:w="572"/>
        <w:gridCol w:w="389"/>
        <w:gridCol w:w="389"/>
        <w:gridCol w:w="391"/>
        <w:gridCol w:w="109"/>
        <w:gridCol w:w="109"/>
        <w:gridCol w:w="109"/>
        <w:gridCol w:w="474"/>
        <w:gridCol w:w="474"/>
        <w:gridCol w:w="671"/>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2025</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642,688</w:t>
            </w: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613,152 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2027</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414,572</w:t>
            </w: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402,032 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2028</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915,590</w:t>
            </w: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853,490 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value of all other items reported as Debt, net in the Consolidated Balance Sheets approximate their carrying values due to their bearing market rates of interest and are classified as Level 2 within the fair value hierarchy.</w:t>
      </w:r>
    </w:p>
    <w:p>
      <w:pPr>
        <w:pStyle w:val="TextBody"/>
        <w:bidi w:val="0"/>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which are measured at fair value. The guarantees are valued a</w:t>
      </w:r>
      <w:r>
        <w:rPr>
          <w:rFonts w:ascii="Arial;sans-serif" w:hAnsi="Arial;sans-serif"/>
          <w:b w:val="false"/>
          <w:color w:val="000000"/>
          <w:sz w:val="18"/>
          <w:shd w:fill="FFFFFF" w:val="clear"/>
        </w:rPr>
        <w:t>t $6.7 million</w:t>
      </w:r>
      <w:r>
        <w:rPr>
          <w:color w:val="000000"/>
        </w:rPr>
        <w:t xml:space="preserve"> </w:t>
      </w:r>
      <w:r>
        <w:rPr>
          <w:rFonts w:ascii="Arial;sans-serif" w:hAnsi="Arial;sans-serif"/>
          <w:b w:val="false"/>
          <w:color w:val="000000"/>
          <w:sz w:val="18"/>
        </w:rPr>
        <w:t>and $3.8 million as of June 30, 2023 and December 31, 2022, respectively, and are reflected as a component of Other liabilities on the Consolidated Balance Sheets. The fair values of the guarantees are determined based on the estimated condition of the e</w:t>
      </w:r>
      <w:r>
        <w:rPr>
          <w:rFonts w:ascii="Arial;sans-serif" w:hAnsi="Arial;sans-serif"/>
          <w:b w:val="false"/>
          <w:color w:val="000000"/>
          <w:sz w:val="18"/>
          <w:shd w:fill="FFFFFF" w:val="clear"/>
        </w:rPr>
        <w:t>ngines at the end of each lease term, the estimated cost of replacement and applicable discount rates, and are classified as Level 3. During the six months ended June 30, 2023, the Company recorded a $4.9 million increase in guarantees related to the sale of seven a</w:t>
      </w:r>
      <w:r>
        <w:rPr>
          <w:rFonts w:ascii="Arial;sans-serif" w:hAnsi="Arial;sans-serif"/>
          <w:b w:val="false"/>
          <w:color w:val="000000"/>
          <w:sz w:val="18"/>
        </w:rPr>
        <w:t>ircraft and a</w:t>
      </w:r>
      <w:r>
        <w:rPr>
          <w:color w:val="000000"/>
          <w:shd w:fill="FFFFFF" w:val="clear"/>
        </w:rPr>
        <w:t xml:space="preserve"> </w:t>
      </w:r>
      <w:r>
        <w:rPr>
          <w:rFonts w:ascii="Arial;sans-serif" w:hAnsi="Arial;sans-serif"/>
          <w:b w:val="false"/>
          <w:color w:val="000000"/>
          <w:sz w:val="18"/>
          <w:shd w:fill="FFFFFF" w:val="clear"/>
        </w:rPr>
        <w:t>$1.9 million de</w:t>
      </w:r>
      <w:r>
        <w:rPr>
          <w:rFonts w:ascii="Arial;sans-serif" w:hAnsi="Arial;sans-serif"/>
          <w:b w:val="false"/>
          <w:color w:val="000000"/>
          <w:sz w:val="18"/>
        </w:rPr>
        <w:t>crease related to the change in fair value, which is recorded as Asset sales revenue in the Consolidated Statements of Operations.</w:t>
      </w:r>
    </w:p>
    <w:p>
      <w:pPr>
        <w:pStyle w:val="TextBody"/>
        <w:bidi w:val="0"/>
        <w:spacing w:lineRule="auto" w:line="288" w:before="120" w:after="283"/>
        <w:jc w:val="both"/>
        <w:rPr/>
      </w:pPr>
      <w:r>
        <w:rPr>
          <w:rFonts w:ascii="Arial;sans-serif" w:hAnsi="Arial;sans-serif"/>
          <w:b w:val="false"/>
          <w:color w:val="000000"/>
          <w:sz w:val="18"/>
        </w:rPr>
        <w:t xml:space="preserve">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w:t>
      </w:r>
      <w:r>
        <w:rPr>
          <w:rFonts w:ascii="Times New Roman;sans-serif" w:hAnsi="Times New Roman;sans-serif"/>
          <w:b w:val="false"/>
          <w:color w:val="000000"/>
          <w:sz w:val="18"/>
        </w:rPr>
        <w:t>l</w:t>
      </w:r>
      <w:r>
        <w:rPr>
          <w:rFonts w:ascii="Arial;sans-serif" w:hAnsi="Arial;sans-serif"/>
          <w:b w:val="false"/>
          <w:color w:val="000000"/>
          <w:sz w:val="18"/>
        </w:rPr>
        <w:t>easing and eventual sale of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9. EQUITY-BASED COMPENSATION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In 2015, we established a Nonqualified Stock Option and Incentive Award Plan (“Incentive Plan”) which provides for the ability to grant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w:t>
      </w:r>
    </w:p>
    <w:p>
      <w:pPr>
        <w:pStyle w:val="TextBody"/>
        <w:bidi w:val="0"/>
        <w:spacing w:lineRule="auto" w:line="288" w:before="120" w:after="283"/>
        <w:jc w:val="both"/>
        <w:rPr/>
      </w:pPr>
      <w:r>
        <w:rPr>
          <w:rFonts w:ascii="Arial;sans-serif" w:hAnsi="Arial;sans-serif"/>
          <w:b w:val="false"/>
          <w:color w:val="000000"/>
          <w:sz w:val="18"/>
        </w:rPr>
        <w:t xml:space="preserve">As of June 30, 2023, the Incentive Plan provides for the issuance of up to 29.8 million shares. We account for equity-based compensation expense in accordance with ASC 718 </w:t>
      </w:r>
      <w:r>
        <w:rPr>
          <w:rFonts w:ascii="Arial;sans-serif" w:hAnsi="Arial;sans-serif"/>
          <w:b w:val="false"/>
          <w:i/>
          <w:color w:val="000000"/>
          <w:sz w:val="18"/>
        </w:rPr>
        <w:t xml:space="preserve">Compensation-Stock Compensation </w:t>
      </w:r>
      <w:r>
        <w:rPr>
          <w:rFonts w:ascii="Arial;sans-serif" w:hAnsi="Arial;sans-serif"/>
          <w:b w:val="false"/>
          <w:color w:val="000000"/>
          <w:sz w:val="18"/>
        </w:rPr>
        <w:t xml:space="preserve">and is reported within operating expenses and general and administrative in the Consolidated Statements of Operations.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Consolidated Statements of Operations includes the following expense related to our stock-based compensation arrangements:</w:t>
      </w:r>
    </w:p>
    <w:tbl>
      <w:tblPr>
        <w:tblW w:w="10205" w:type="dxa"/>
        <w:jc w:val="left"/>
        <w:tblInd w:w="0" w:type="dxa"/>
        <w:tblLayout w:type="fixed"/>
        <w:tblCellMar>
          <w:top w:w="28" w:type="dxa"/>
          <w:left w:w="28" w:type="dxa"/>
          <w:bottom w:w="28" w:type="dxa"/>
          <w:right w:w="28" w:type="dxa"/>
        </w:tblCellMar>
      </w:tblPr>
      <w:tblGrid>
        <w:gridCol w:w="375"/>
        <w:gridCol w:w="329"/>
        <w:gridCol w:w="332"/>
        <w:gridCol w:w="217"/>
        <w:gridCol w:w="484"/>
        <w:gridCol w:w="120"/>
        <w:gridCol w:w="120"/>
        <w:gridCol w:w="120"/>
        <w:gridCol w:w="120"/>
        <w:gridCol w:w="217"/>
        <w:gridCol w:w="451"/>
        <w:gridCol w:w="120"/>
        <w:gridCol w:w="109"/>
        <w:gridCol w:w="109"/>
        <w:gridCol w:w="109"/>
        <w:gridCol w:w="211"/>
        <w:gridCol w:w="469"/>
        <w:gridCol w:w="117"/>
        <w:gridCol w:w="117"/>
        <w:gridCol w:w="117"/>
        <w:gridCol w:w="117"/>
        <w:gridCol w:w="211"/>
        <w:gridCol w:w="437"/>
        <w:gridCol w:w="117"/>
        <w:gridCol w:w="109"/>
        <w:gridCol w:w="109"/>
        <w:gridCol w:w="109"/>
        <w:gridCol w:w="555"/>
        <w:gridCol w:w="1619"/>
        <w:gridCol w:w="310"/>
        <w:gridCol w:w="624"/>
        <w:gridCol w:w="624"/>
        <w:gridCol w:w="901"/>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Remaining Expense To Be Recognized, If All Vesting Conditions Are Met</w:t>
            </w:r>
          </w:p>
        </w:tc>
        <w:tc>
          <w:tcPr>
            <w:tcW w:w="21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(in years)</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vMerge w:val="continue"/>
            <w:tcBorders/>
            <w:tcMar>
              <w:top w:w="0" w:type="dxa"/>
              <w:left w:w="0" w:type="dxa"/>
              <w:bottom w:w="0" w:type="dxa"/>
              <w:right w:w="0" w:type="dxa"/>
            </w:tcMar>
            <w:vAlign w:val="center"/>
          </w:tcPr>
          <w:p>
            <w:pPr>
              <w:pStyle w:val="Normal"/>
              <w:bidi w:val="0"/>
              <w:jc w:val="left"/>
              <w:rPr/>
            </w:pPr>
            <w:r>
              <w:rPr/>
            </w:r>
          </w:p>
        </w:tc>
        <w:tc>
          <w:tcPr>
            <w:tcW w:w="21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8,153</w:t>
            </w: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 years</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4"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Options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connection with our March 2023 offering of preferred shares (see Note 13), we granted options to the Manager related to 248,947 ordinary shares at an exercise price of $26.11, which had a grant date fair value of $2.1 million. The assumptions used in valuing the options were: a 3.471% risk-free rate, a 6.263% dividend yield, a 37.879% volatility and a ten-year term.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2023, the Manager did not transfer any options to employees.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Restricted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2023, we issued restricted shares of the Company to select employees of FTAI Aviation LLC (a wholly owned subsidiary of the Company) that had a grant date fair value of $8.8 million and vest over 4.3 years. These awards are subject to continued employment, and the compensation expense is recognized ratably over the vesting periods, with 50% of the units vesting on June 30, 2026 and the remaining units vesting on June 30, 2027. The fair value of these awards were calculated based on the closing price of FTAI Aviation Ltd.’s ordinary shares on grant date of March 13,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10. INCOME TAXES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current and deferred components of the income tax provision included in the Consolidated Statements of Operations are as follows: </w:t>
      </w:r>
    </w:p>
    <w:tbl>
      <w:tblPr>
        <w:tblW w:w="7471" w:type="dxa"/>
        <w:jc w:val="left"/>
        <w:tblInd w:w="0" w:type="dxa"/>
        <w:tblLayout w:type="fixed"/>
        <w:tblCellMar>
          <w:top w:w="28" w:type="dxa"/>
          <w:left w:w="28" w:type="dxa"/>
          <w:bottom w:w="28" w:type="dxa"/>
          <w:right w:w="28" w:type="dxa"/>
        </w:tblCellMar>
      </w:tblPr>
      <w:tblGrid>
        <w:gridCol w:w="868"/>
        <w:gridCol w:w="763"/>
        <w:gridCol w:w="769"/>
        <w:gridCol w:w="233"/>
        <w:gridCol w:w="680"/>
        <w:gridCol w:w="129"/>
        <w:gridCol w:w="129"/>
        <w:gridCol w:w="129"/>
        <w:gridCol w:w="129"/>
        <w:gridCol w:w="233"/>
        <w:gridCol w:w="662"/>
        <w:gridCol w:w="129"/>
        <w:gridCol w:w="109"/>
        <w:gridCol w:w="109"/>
        <w:gridCol w:w="109"/>
        <w:gridCol w:w="213"/>
        <w:gridCol w:w="621"/>
        <w:gridCol w:w="118"/>
        <w:gridCol w:w="118"/>
        <w:gridCol w:w="118"/>
        <w:gridCol w:w="118"/>
        <w:gridCol w:w="213"/>
        <w:gridCol w:w="605"/>
        <w:gridCol w:w="167"/>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provision (benefit)</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Cayman Islands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provision</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1,435</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3,127</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Provision for income taxes: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6,897 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and for the six months ended June 30, 2023,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2019. We do not believe that it is reasonably possible that the total amount of unrecognized tax benefits will significantly change within 12 months of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360"/>
        <w:jc w:val="left"/>
        <w:rPr>
          <w:rFonts w:ascii="Arial;sans-serif" w:hAnsi="Arial;sans-serif"/>
          <w:b/>
          <w:color w:val="00497F"/>
          <w:sz w:val="20"/>
        </w:rPr>
      </w:pPr>
      <w:r>
        <w:rPr>
          <w:rFonts w:ascii="Arial;sans-serif" w:hAnsi="Arial;sans-serif"/>
          <w:b/>
          <w:color w:val="00497F"/>
          <w:sz w:val="20"/>
        </w:rPr>
        <w:t xml:space="preserve">11. MANAGEMENT AGREEMENT AND AFFILIATE TRANSACTIONS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LLC, FTAI Aviation Ltd., and each of the subsidiaries that are party thereto and the Manager, with substantially similar terms and conditions as the existing management and advisory agreement.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0.01% of FTAI Aviation Holdco Ltd.</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Manager is entitled to a management fee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Master GP is entitled to incentive allocations (comprised of income incentive allocation and capital gains incentive allocation, defined below). 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Master GP during the relevant quarter.</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One of our subsidiaries allocates and distributes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the management fees, income incentive allocation and capital gains incentive allocation from continuing operations:</w:t>
      </w:r>
    </w:p>
    <w:tbl>
      <w:tblPr>
        <w:tblW w:w="7536" w:type="dxa"/>
        <w:jc w:val="left"/>
        <w:tblInd w:w="0" w:type="dxa"/>
        <w:tblLayout w:type="fixed"/>
        <w:tblCellMar>
          <w:top w:w="28" w:type="dxa"/>
          <w:left w:w="28" w:type="dxa"/>
          <w:bottom w:w="28" w:type="dxa"/>
          <w:right w:w="28" w:type="dxa"/>
        </w:tblCellMar>
      </w:tblPr>
      <w:tblGrid>
        <w:gridCol w:w="890"/>
        <w:gridCol w:w="782"/>
        <w:gridCol w:w="787"/>
        <w:gridCol w:w="252"/>
        <w:gridCol w:w="734"/>
        <w:gridCol w:w="140"/>
        <w:gridCol w:w="140"/>
        <w:gridCol w:w="140"/>
        <w:gridCol w:w="140"/>
        <w:gridCol w:w="252"/>
        <w:gridCol w:w="522"/>
        <w:gridCol w:w="140"/>
        <w:gridCol w:w="109"/>
        <w:gridCol w:w="109"/>
        <w:gridCol w:w="109"/>
        <w:gridCol w:w="229"/>
        <w:gridCol w:w="669"/>
        <w:gridCol w:w="127"/>
        <w:gridCol w:w="127"/>
        <w:gridCol w:w="127"/>
        <w:gridCol w:w="127"/>
        <w:gridCol w:w="229"/>
        <w:gridCol w:w="475"/>
        <w:gridCol w:w="18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incentive allocation</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5,324</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8,266</w:t>
            </w: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gains incentive allocation</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5,563</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8,560</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following table summarizes our reimbursements to the Manager from continuing operations: </w:t>
      </w:r>
    </w:p>
    <w:tbl>
      <w:tblPr>
        <w:tblW w:w="9526" w:type="dxa"/>
        <w:jc w:val="left"/>
        <w:tblInd w:w="0" w:type="dxa"/>
        <w:tblLayout w:type="fixed"/>
        <w:tblCellMar>
          <w:top w:w="28" w:type="dxa"/>
          <w:left w:w="28" w:type="dxa"/>
          <w:bottom w:w="28" w:type="dxa"/>
          <w:right w:w="28" w:type="dxa"/>
        </w:tblCellMar>
      </w:tblPr>
      <w:tblGrid>
        <w:gridCol w:w="1611"/>
        <w:gridCol w:w="1418"/>
        <w:gridCol w:w="1426"/>
        <w:gridCol w:w="233"/>
        <w:gridCol w:w="680"/>
        <w:gridCol w:w="129"/>
        <w:gridCol w:w="129"/>
        <w:gridCol w:w="129"/>
        <w:gridCol w:w="129"/>
        <w:gridCol w:w="233"/>
        <w:gridCol w:w="662"/>
        <w:gridCol w:w="129"/>
        <w:gridCol w:w="109"/>
        <w:gridCol w:w="109"/>
        <w:gridCol w:w="109"/>
        <w:gridCol w:w="213"/>
        <w:gridCol w:w="621"/>
        <w:gridCol w:w="118"/>
        <w:gridCol w:w="118"/>
        <w:gridCol w:w="118"/>
        <w:gridCol w:w="118"/>
        <w:gridCol w:w="213"/>
        <w:gridCol w:w="605"/>
        <w:gridCol w:w="167"/>
      </w:tblGrid>
      <w:tr>
        <w:trPr/>
        <w:tc>
          <w:tcPr>
            <w:tcW w:w="16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Classification in the Consolidated Statements of Operations: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1,708</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3,713</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Master GP if Master GP is removed due to the termination of the Management Agreement in certain specified circumstances. The Incentive Allocation Fair Value Amount is an amount equal to the Income Incentive Allocation and the Capital Gains Incentive Allocation that would be paid to Master GP if our assets were sold for cash at their then current fair market value (as determined by an appraisal, taking into account, among other things, the expected future value of the underlying investments).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Upon the successful completion of an offering of our ordinary shares or other equity securities (including securities issued as consideration in an acquisition), we grant the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an ordinary share as of the date of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Any ultimate purchaser of ordinary shares for which such options are granted may be an affiliate of the Manager.</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following table summarizes amounts due to the Manager, which are included within accounts payable and accrued liabilities in the Consolidated Balance Sheets:</w:t>
      </w:r>
    </w:p>
    <w:tbl>
      <w:tblPr>
        <w:tblW w:w="5202" w:type="dxa"/>
        <w:jc w:val="left"/>
        <w:tblInd w:w="0" w:type="dxa"/>
        <w:tblLayout w:type="fixed"/>
        <w:tblCellMar>
          <w:top w:w="28" w:type="dxa"/>
          <w:left w:w="28" w:type="dxa"/>
          <w:bottom w:w="28" w:type="dxa"/>
          <w:right w:w="28" w:type="dxa"/>
        </w:tblCellMar>
      </w:tblPr>
      <w:tblGrid>
        <w:gridCol w:w="755"/>
        <w:gridCol w:w="663"/>
        <w:gridCol w:w="667"/>
        <w:gridCol w:w="309"/>
        <w:gridCol w:w="689"/>
        <w:gridCol w:w="172"/>
        <w:gridCol w:w="109"/>
        <w:gridCol w:w="109"/>
        <w:gridCol w:w="109"/>
        <w:gridCol w:w="466"/>
        <w:gridCol w:w="786"/>
        <w:gridCol w:w="368"/>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management fees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payables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6,394</w:t>
            </w: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June 30, 2023 and December 31, 2022, there were no receivables from the Manager.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12. SEGMENT INFORMATION </w:t>
      </w:r>
    </w:p>
    <w:p>
      <w:pPr>
        <w:pStyle w:val="TextBody"/>
        <w:bidi w:val="0"/>
        <w:spacing w:lineRule="auto" w:line="288" w:before="180" w:after="283"/>
        <w:jc w:val="both"/>
        <w:rPr/>
      </w:pPr>
      <w:r>
        <w:rPr>
          <w:rFonts w:ascii="Arial;sans-serif" w:hAnsi="Arial;sans-serif"/>
          <w:b w:val="false"/>
          <w:color w:val="000000"/>
          <w:sz w:val="18"/>
        </w:rPr>
        <w:t xml:space="preserve">As a result of the spin-off of FTAI Infrastructure effective on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aftermarket components for aircraft engines. The interim period discloses the reportable segments on this basis, and prior periods have been restated to reflect the change in accordance with the requirements of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During the third quarter of 2022, the CODM determined that segment asset information is not a key factor in measuring performance or allocating resources. Therefore, segment asset information is not included in the tables below as it is not provided to or reviewed by our CODM.</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During the third quarter of 2022, the Company changed its measure of segment profit to include the add back of dividends on preferred shares in Adjusted EBITDA. Prior period Adjusted EBITDA amounts and the reconciliation to net income (loss) attributable to shareholders from continuing operations have been recast to reflect this change in the measure of segment profit.</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We believe that net income (loss) attributable to shareholders from continuing operations, as defined by U.S. GAAP, is the most appropriate earnings measurement with which to reconcile Adjusted EBITDA. Adjusted EBITDA should not be considered as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32740"/>
                <wp:effectExtent l="0" t="0" r="0" b="0"/>
                <wp:wrapNone/>
                <wp:docPr id="24" name="Frame2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alternative to net income (loss) attributable to shareholders as determined in accordance with U.S. GAAP. The following tables set forth certain information for each reportable segment: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 For the Three Months Ended June 30, 2023</w:t>
      </w:r>
    </w:p>
    <w:tbl>
      <w:tblPr>
        <w:tblW w:w="10205" w:type="dxa"/>
        <w:jc w:val="left"/>
        <w:tblInd w:w="0" w:type="dxa"/>
        <w:tblLayout w:type="fixed"/>
        <w:tblCellMar>
          <w:top w:w="28" w:type="dxa"/>
          <w:left w:w="28" w:type="dxa"/>
          <w:bottom w:w="28" w:type="dxa"/>
          <w:right w:w="28" w:type="dxa"/>
        </w:tblCellMar>
      </w:tblPr>
      <w:tblGrid>
        <w:gridCol w:w="1667"/>
        <w:gridCol w:w="1366"/>
        <w:gridCol w:w="1348"/>
        <w:gridCol w:w="240"/>
        <w:gridCol w:w="813"/>
        <w:gridCol w:w="133"/>
        <w:gridCol w:w="109"/>
        <w:gridCol w:w="109"/>
        <w:gridCol w:w="109"/>
        <w:gridCol w:w="266"/>
        <w:gridCol w:w="899"/>
        <w:gridCol w:w="148"/>
        <w:gridCol w:w="109"/>
        <w:gridCol w:w="109"/>
        <w:gridCol w:w="109"/>
        <w:gridCol w:w="259"/>
        <w:gridCol w:w="924"/>
        <w:gridCol w:w="144"/>
        <w:gridCol w:w="109"/>
        <w:gridCol w:w="109"/>
        <w:gridCol w:w="109"/>
        <w:gridCol w:w="196"/>
        <w:gridCol w:w="661"/>
        <w:gridCol w:w="160"/>
      </w:tblGrid>
      <w:tr>
        <w:trPr/>
        <w:tc>
          <w:tcPr>
            <w:tcW w:w="16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48,167</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11,374</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59,541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42,065</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42,065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101,486</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101,486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192,031</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14,239</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274,345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Cost of sales </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69,558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34,974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104,532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7,578</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3,236</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13,983</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24,797</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1,169</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5,563</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35,713</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2,704</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38,514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38,499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38,499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114,018</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38,579</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65,168</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217,765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78,386</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29,151</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(50,929)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56,608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1,087</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28,567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(51,113)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from continuing operations attributable to non-controlling interests in consolidated subsidiaries</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w:t>
            </w:r>
            <w:r>
              <w:rPr>
                <w:color w:val="000000"/>
              </w:rPr>
              <w:t>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28,567</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(59,448)</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46,418</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32740"/>
                <wp:effectExtent l="0" t="0" r="0" b="0"/>
                <wp:wrapNone/>
                <wp:docPr id="25" name="Frame2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income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22"/>
        <w:gridCol w:w="1242"/>
        <w:gridCol w:w="1247"/>
        <w:gridCol w:w="235"/>
        <w:gridCol w:w="902"/>
        <w:gridCol w:w="130"/>
        <w:gridCol w:w="109"/>
        <w:gridCol w:w="109"/>
        <w:gridCol w:w="109"/>
        <w:gridCol w:w="279"/>
        <w:gridCol w:w="942"/>
        <w:gridCol w:w="155"/>
        <w:gridCol w:w="109"/>
        <w:gridCol w:w="109"/>
        <w:gridCol w:w="109"/>
        <w:gridCol w:w="288"/>
        <w:gridCol w:w="915"/>
        <w:gridCol w:w="160"/>
        <w:gridCol w:w="109"/>
        <w:gridCol w:w="109"/>
        <w:gridCol w:w="109"/>
        <w:gridCol w:w="196"/>
        <w:gridCol w:w="751"/>
        <w:gridCol w:w="160"/>
      </w:tblGrid>
      <w:tr>
        <w:trPr/>
        <w:tc>
          <w:tcPr>
            <w:tcW w:w="162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r>
      <w:tr>
        <w:trPr/>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125,856</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30,057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(2,836)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153,077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(46,834)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(48,934)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(5,324)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(1,855)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shareholders from continuing operations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46,418</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56" w:type="dxa"/>
        <w:jc w:val="left"/>
        <w:tblInd w:w="0" w:type="dxa"/>
        <w:tblLayout w:type="fixed"/>
        <w:tblCellMar>
          <w:top w:w="28" w:type="dxa"/>
          <w:left w:w="28" w:type="dxa"/>
          <w:bottom w:w="28" w:type="dxa"/>
          <w:right w:w="28" w:type="dxa"/>
        </w:tblCellMar>
      </w:tblPr>
      <w:tblGrid>
        <w:gridCol w:w="428"/>
        <w:gridCol w:w="378"/>
        <w:gridCol w:w="379"/>
        <w:gridCol w:w="267"/>
        <w:gridCol w:w="1024"/>
        <w:gridCol w:w="148"/>
        <w:gridCol w:w="109"/>
        <w:gridCol w:w="109"/>
        <w:gridCol w:w="109"/>
        <w:gridCol w:w="347"/>
        <w:gridCol w:w="1170"/>
        <w:gridCol w:w="193"/>
        <w:gridCol w:w="109"/>
        <w:gridCol w:w="109"/>
        <w:gridCol w:w="109"/>
        <w:gridCol w:w="353"/>
        <w:gridCol w:w="1191"/>
        <w:gridCol w:w="196"/>
        <w:gridCol w:w="109"/>
        <w:gridCol w:w="109"/>
        <w:gridCol w:w="109"/>
        <w:gridCol w:w="196"/>
        <w:gridCol w:w="751"/>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2023</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15,252</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1,785</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14,239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83,454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19,920</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103,374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86,385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43,200</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129,585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6,940</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3,170</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192,031</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14,239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274,345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32740"/>
                <wp:effectExtent l="0" t="0" r="0" b="0"/>
                <wp:wrapNone/>
                <wp:docPr id="26" name="Frame2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 xml:space="preserve">II. For the Six Months Ended June 30, 2023 </w:t>
      </w:r>
    </w:p>
    <w:tbl>
      <w:tblPr>
        <w:tblW w:w="10205" w:type="dxa"/>
        <w:jc w:val="left"/>
        <w:tblInd w:w="0" w:type="dxa"/>
        <w:tblLayout w:type="fixed"/>
        <w:tblCellMar>
          <w:top w:w="28" w:type="dxa"/>
          <w:left w:w="28" w:type="dxa"/>
          <w:bottom w:w="28" w:type="dxa"/>
          <w:right w:w="28" w:type="dxa"/>
        </w:tblCellMar>
      </w:tblPr>
      <w:tblGrid>
        <w:gridCol w:w="1510"/>
        <w:gridCol w:w="1249"/>
        <w:gridCol w:w="1235"/>
        <w:gridCol w:w="237"/>
        <w:gridCol w:w="909"/>
        <w:gridCol w:w="131"/>
        <w:gridCol w:w="109"/>
        <w:gridCol w:w="109"/>
        <w:gridCol w:w="109"/>
        <w:gridCol w:w="283"/>
        <w:gridCol w:w="955"/>
        <w:gridCol w:w="157"/>
        <w:gridCol w:w="109"/>
        <w:gridCol w:w="109"/>
        <w:gridCol w:w="109"/>
        <w:gridCol w:w="259"/>
        <w:gridCol w:w="1048"/>
        <w:gridCol w:w="144"/>
        <w:gridCol w:w="109"/>
        <w:gridCol w:w="109"/>
        <w:gridCol w:w="109"/>
        <w:gridCol w:w="196"/>
        <w:gridCol w:w="751"/>
        <w:gridCol w:w="160"/>
      </w:tblGrid>
      <w:tr>
        <w:trPr/>
        <w:tc>
          <w:tcPr>
            <w:tcW w:w="151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96,997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18,522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115,519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77,206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77,206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210,177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210,177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6,691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10,973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391,071</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22,804</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567,063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161,792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88,410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250,202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14,666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25,774</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47,331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73,853</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5,404</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79,440</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77,791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77,791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254,162</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96,511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127,060</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477,733</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(expense)</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137,191</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55,096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(104,256)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88,031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135,109</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53,596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(104,555)</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135,109</w:t>
            </w:r>
            <w:r>
              <w:rPr>
                <w:color w:val="000000"/>
              </w:rPr>
              <w:t>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53,596</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(119,681)</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69,024</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32740"/>
                <wp:effectExtent l="0" t="0" r="0" b="0"/>
                <wp:wrapNone/>
                <wp:docPr id="27" name="Frame2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15"/>
        <w:gridCol w:w="1234"/>
        <w:gridCol w:w="1240"/>
        <w:gridCol w:w="235"/>
        <w:gridCol w:w="900"/>
        <w:gridCol w:w="130"/>
        <w:gridCol w:w="109"/>
        <w:gridCol w:w="109"/>
        <w:gridCol w:w="109"/>
        <w:gridCol w:w="278"/>
        <w:gridCol w:w="940"/>
        <w:gridCol w:w="155"/>
        <w:gridCol w:w="109"/>
        <w:gridCol w:w="109"/>
        <w:gridCol w:w="109"/>
        <w:gridCol w:w="270"/>
        <w:gridCol w:w="969"/>
        <w:gridCol w:w="150"/>
        <w:gridCol w:w="109"/>
        <w:gridCol w:w="109"/>
        <w:gridCol w:w="109"/>
        <w:gridCol w:w="196"/>
        <w:gridCol w:w="751"/>
        <w:gridCol w:w="161"/>
      </w:tblGrid>
      <w:tr>
        <w:trPr/>
        <w:tc>
          <w:tcPr>
            <w:tcW w:w="161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233,412</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57,434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(10,113)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280,733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(92,917)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(97,704)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(3,881)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69,024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55" w:type="dxa"/>
        <w:jc w:val="left"/>
        <w:tblInd w:w="0" w:type="dxa"/>
        <w:tblLayout w:type="fixed"/>
        <w:tblCellMar>
          <w:top w:w="28" w:type="dxa"/>
          <w:left w:w="28" w:type="dxa"/>
          <w:bottom w:w="28" w:type="dxa"/>
          <w:right w:w="28" w:type="dxa"/>
        </w:tblCellMar>
      </w:tblPr>
      <w:tblGrid>
        <w:gridCol w:w="428"/>
        <w:gridCol w:w="378"/>
        <w:gridCol w:w="379"/>
        <w:gridCol w:w="267"/>
        <w:gridCol w:w="1024"/>
        <w:gridCol w:w="148"/>
        <w:gridCol w:w="109"/>
        <w:gridCol w:w="109"/>
        <w:gridCol w:w="109"/>
        <w:gridCol w:w="317"/>
        <w:gridCol w:w="1216"/>
        <w:gridCol w:w="176"/>
        <w:gridCol w:w="109"/>
        <w:gridCol w:w="109"/>
        <w:gridCol w:w="109"/>
        <w:gridCol w:w="353"/>
        <w:gridCol w:w="1191"/>
        <w:gridCol w:w="196"/>
        <w:gridCol w:w="109"/>
        <w:gridCol w:w="109"/>
        <w:gridCol w:w="109"/>
        <w:gridCol w:w="196"/>
        <w:gridCol w:w="751"/>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2023</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33,018</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1,785</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22,804</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57,607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135,819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45,886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181,705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202,050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100,196</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302,246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20,184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4,446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391,071</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567,063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Presented below are the contracted minimum future annual revenues to be received under existing operating leases across as of June 30, 2023:</w:t>
      </w:r>
    </w:p>
    <w:tbl>
      <w:tblPr>
        <w:tblW w:w="3262" w:type="dxa"/>
        <w:jc w:val="left"/>
        <w:tblInd w:w="0" w:type="dxa"/>
        <w:tblLayout w:type="fixed"/>
        <w:tblCellMar>
          <w:top w:w="28" w:type="dxa"/>
          <w:left w:w="28" w:type="dxa"/>
          <w:bottom w:w="28" w:type="dxa"/>
          <w:right w:w="28" w:type="dxa"/>
        </w:tblCellMar>
      </w:tblPr>
      <w:tblGrid>
        <w:gridCol w:w="544"/>
        <w:gridCol w:w="476"/>
        <w:gridCol w:w="480"/>
        <w:gridCol w:w="278"/>
        <w:gridCol w:w="1067"/>
        <w:gridCol w:w="154"/>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442,701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32740"/>
                <wp:effectExtent l="0" t="0" r="0" b="0"/>
                <wp:wrapNone/>
                <wp:docPr id="28" name="Frame2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III. For the Three Months Ended June 30, 2022 </w:t>
      </w:r>
    </w:p>
    <w:tbl>
      <w:tblPr>
        <w:tblW w:w="10205" w:type="dxa"/>
        <w:jc w:val="left"/>
        <w:tblInd w:w="0" w:type="dxa"/>
        <w:tblLayout w:type="fixed"/>
        <w:tblCellMar>
          <w:top w:w="28" w:type="dxa"/>
          <w:left w:w="28" w:type="dxa"/>
          <w:bottom w:w="28" w:type="dxa"/>
          <w:right w:w="28" w:type="dxa"/>
        </w:tblCellMar>
      </w:tblPr>
      <w:tblGrid>
        <w:gridCol w:w="1696"/>
        <w:gridCol w:w="1405"/>
        <w:gridCol w:w="1373"/>
        <w:gridCol w:w="239"/>
        <w:gridCol w:w="791"/>
        <w:gridCol w:w="133"/>
        <w:gridCol w:w="109"/>
        <w:gridCol w:w="109"/>
        <w:gridCol w:w="109"/>
        <w:gridCol w:w="264"/>
        <w:gridCol w:w="871"/>
        <w:gridCol w:w="147"/>
        <w:gridCol w:w="109"/>
        <w:gridCol w:w="109"/>
        <w:gridCol w:w="109"/>
        <w:gridCol w:w="255"/>
        <w:gridCol w:w="906"/>
        <w:gridCol w:w="141"/>
        <w:gridCol w:w="109"/>
        <w:gridCol w:w="109"/>
        <w:gridCol w:w="109"/>
        <w:gridCol w:w="196"/>
        <w:gridCol w:w="646"/>
        <w:gridCol w:w="161"/>
      </w:tblGrid>
      <w:tr>
        <w:trPr/>
        <w:tc>
          <w:tcPr>
            <w:tcW w:w="169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2022</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82,434 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112,064 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45,375 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(losses) of unconsolidated entities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55,068 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64,798 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from continuing operations before income taxes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47,518 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91,412 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from continuing operations attributable to non-controlling interests in consolidated subsidiaries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91,412 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(67,586)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32740"/>
                <wp:effectExtent l="0" t="0" r="0" b="0"/>
                <wp:wrapNone/>
                <wp:docPr id="29" name="Frame2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28"/>
        <w:gridCol w:w="1249"/>
        <w:gridCol w:w="1254"/>
        <w:gridCol w:w="237"/>
        <w:gridCol w:w="893"/>
        <w:gridCol w:w="131"/>
        <w:gridCol w:w="109"/>
        <w:gridCol w:w="109"/>
        <w:gridCol w:w="109"/>
        <w:gridCol w:w="282"/>
        <w:gridCol w:w="933"/>
        <w:gridCol w:w="157"/>
        <w:gridCol w:w="109"/>
        <w:gridCol w:w="109"/>
        <w:gridCol w:w="109"/>
        <w:gridCol w:w="289"/>
        <w:gridCol w:w="917"/>
        <w:gridCol w:w="160"/>
        <w:gridCol w:w="109"/>
        <w:gridCol w:w="109"/>
        <w:gridCol w:w="109"/>
        <w:gridCol w:w="196"/>
        <w:gridCol w:w="736"/>
        <w:gridCol w:w="162"/>
      </w:tblGrid>
      <w:tr>
        <w:trPr/>
        <w:tc>
          <w:tcPr>
            <w:tcW w:w="162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2022</w:t>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income of unconsolidated entities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(51,108)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85" w:type="dxa"/>
        <w:jc w:val="left"/>
        <w:tblInd w:w="0" w:type="dxa"/>
        <w:tblLayout w:type="fixed"/>
        <w:tblCellMar>
          <w:top w:w="28" w:type="dxa"/>
          <w:left w:w="28" w:type="dxa"/>
          <w:bottom w:w="28" w:type="dxa"/>
          <w:right w:w="28" w:type="dxa"/>
        </w:tblCellMar>
      </w:tblPr>
      <w:tblGrid>
        <w:gridCol w:w="428"/>
        <w:gridCol w:w="378"/>
        <w:gridCol w:w="379"/>
        <w:gridCol w:w="296"/>
        <w:gridCol w:w="978"/>
        <w:gridCol w:w="165"/>
        <w:gridCol w:w="109"/>
        <w:gridCol w:w="109"/>
        <w:gridCol w:w="109"/>
        <w:gridCol w:w="361"/>
        <w:gridCol w:w="1192"/>
        <w:gridCol w:w="201"/>
        <w:gridCol w:w="109"/>
        <w:gridCol w:w="109"/>
        <w:gridCol w:w="109"/>
        <w:gridCol w:w="396"/>
        <w:gridCol w:w="1122"/>
        <w:gridCol w:w="222"/>
        <w:gridCol w:w="109"/>
        <w:gridCol w:w="109"/>
        <w:gridCol w:w="109"/>
        <w:gridCol w:w="196"/>
        <w:gridCol w:w="736"/>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2022</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Aerospace Products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82,434 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32740"/>
                <wp:effectExtent l="0" t="0" r="0" b="0"/>
                <wp:wrapNone/>
                <wp:docPr id="30" name="Frame2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rFonts w:ascii="Arial;sans-serif" w:hAnsi="Arial;sans-serif"/>
          <w:b/>
          <w:color w:val="00497F"/>
          <w:sz w:val="18"/>
        </w:rPr>
      </w:pPr>
      <w:r>
        <w:rPr>
          <w:rFonts w:ascii="Arial;sans-serif" w:hAnsi="Arial;sans-serif"/>
          <w:b/>
          <w:color w:val="00497F"/>
          <w:sz w:val="18"/>
        </w:rPr>
        <w:t xml:space="preserve">IV. For the Six Months Ended June 30, 2022 </w:t>
      </w:r>
    </w:p>
    <w:tbl>
      <w:tblPr>
        <w:tblW w:w="10205" w:type="dxa"/>
        <w:jc w:val="left"/>
        <w:tblInd w:w="0" w:type="dxa"/>
        <w:tblLayout w:type="fixed"/>
        <w:tblCellMar>
          <w:top w:w="28" w:type="dxa"/>
          <w:left w:w="28" w:type="dxa"/>
          <w:bottom w:w="28" w:type="dxa"/>
          <w:right w:w="28" w:type="dxa"/>
        </w:tblCellMar>
      </w:tblPr>
      <w:tblGrid>
        <w:gridCol w:w="1512"/>
        <w:gridCol w:w="1251"/>
        <w:gridCol w:w="1237"/>
        <w:gridCol w:w="241"/>
        <w:gridCol w:w="864"/>
        <w:gridCol w:w="134"/>
        <w:gridCol w:w="109"/>
        <w:gridCol w:w="109"/>
        <w:gridCol w:w="109"/>
        <w:gridCol w:w="286"/>
        <w:gridCol w:w="945"/>
        <w:gridCol w:w="159"/>
        <w:gridCol w:w="109"/>
        <w:gridCol w:w="109"/>
        <w:gridCol w:w="109"/>
        <w:gridCol w:w="259"/>
        <w:gridCol w:w="1049"/>
        <w:gridCol w:w="144"/>
        <w:gridCol w:w="109"/>
        <w:gridCol w:w="109"/>
        <w:gridCol w:w="109"/>
        <w:gridCol w:w="196"/>
        <w:gridCol w:w="785"/>
        <w:gridCol w:w="162"/>
      </w:tblGrid>
      <w:tr>
        <w:trPr/>
        <w:tc>
          <w:tcPr>
            <w:tcW w:w="151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2022</w:t>
            </w:r>
          </w:p>
        </w:tc>
      </w:tr>
      <w:tr>
        <w:trPr/>
        <w:tc>
          <w:tcPr>
            <w:tcW w:w="4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Lease income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153,146 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203,755 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expenses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124,295 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415,264 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(expense)</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income (losses) of unconsolidated entities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62,372 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81,412 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income before income taxes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(113,453)</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(130,097)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(loss) income </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27,954 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(112,962)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(133,265)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income attributable to shareholders from continuing operations</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27,954 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(126,544)</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(146,847)</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32740"/>
                <wp:effectExtent l="0" t="0" r="0" b="0"/>
                <wp:wrapNone/>
                <wp:docPr id="31" name="Frame3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80" w:after="283"/>
        <w:jc w:val="left"/>
        <w:rPr/>
      </w:pPr>
      <w:r>
        <w:rPr>
          <w:rFonts w:ascii="Arial;sans-serif" w:hAnsi="Arial;sans-serif"/>
          <w:b w:val="false"/>
          <w:color w:val="000000"/>
          <w:sz w:val="18"/>
        </w:rPr>
        <w:t>The</w:t>
      </w:r>
      <w:r>
        <w:rPr>
          <w:color w:val="000000"/>
        </w:rPr>
        <w:t xml:space="preserve"> </w:t>
      </w:r>
      <w:r>
        <w:rPr>
          <w:rFonts w:ascii="Arial;sans-serif" w:hAnsi="Arial;sans-serif"/>
          <w:b w:val="false"/>
          <w:color w:val="000000"/>
          <w:sz w:val="18"/>
        </w:rPr>
        <w:t>following table sets forth a reconciliation of Adjusted EBITDA to net loss attributable to shareholders from continuing operations:</w:t>
      </w:r>
    </w:p>
    <w:tbl>
      <w:tblPr>
        <w:tblW w:w="10205" w:type="dxa"/>
        <w:jc w:val="left"/>
        <w:tblInd w:w="0" w:type="dxa"/>
        <w:tblLayout w:type="fixed"/>
        <w:tblCellMar>
          <w:top w:w="28" w:type="dxa"/>
          <w:left w:w="28" w:type="dxa"/>
          <w:bottom w:w="28" w:type="dxa"/>
          <w:right w:w="28" w:type="dxa"/>
        </w:tblCellMar>
      </w:tblPr>
      <w:tblGrid>
        <w:gridCol w:w="1611"/>
        <w:gridCol w:w="1230"/>
        <w:gridCol w:w="1235"/>
        <w:gridCol w:w="236"/>
        <w:gridCol w:w="890"/>
        <w:gridCol w:w="131"/>
        <w:gridCol w:w="109"/>
        <w:gridCol w:w="109"/>
        <w:gridCol w:w="109"/>
        <w:gridCol w:w="281"/>
        <w:gridCol w:w="928"/>
        <w:gridCol w:w="156"/>
        <w:gridCol w:w="109"/>
        <w:gridCol w:w="109"/>
        <w:gridCol w:w="109"/>
        <w:gridCol w:w="270"/>
        <w:gridCol w:w="968"/>
        <w:gridCol w:w="149"/>
        <w:gridCol w:w="109"/>
        <w:gridCol w:w="109"/>
        <w:gridCol w:w="109"/>
        <w:gridCol w:w="196"/>
        <w:gridCol w:w="783"/>
        <w:gridCol w:w="160"/>
      </w:tblGrid>
      <w:tr>
        <w:trPr/>
        <w:tc>
          <w:tcPr>
            <w:tcW w:w="161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2022</w:t>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Aerospace Products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195,699 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Non-controlling share of Adjusted EBITDA</w:t>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 in losses of unconsolidated entities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Pro-rata share of Adjusted EBITDA from unconsolidated entities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Interest expense and dividends on preferred shares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Depreciation and amortization expense</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Incentive allocations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Asset impairment charges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Changes in fair value of non-hedge derivative instruments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Losses on the modification or extinguishment of debt and capital lease obligations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 and transaction expenses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Equity-based compensation expense</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Provision for income taxes</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shareholders from continuing operations</w:t>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(146,847)</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Summary information with respect to our geographic sources of revenue, based on location of customer, is as follows:</w:t>
      </w:r>
    </w:p>
    <w:tbl>
      <w:tblPr>
        <w:tblW w:w="8185" w:type="dxa"/>
        <w:jc w:val="left"/>
        <w:tblInd w:w="0" w:type="dxa"/>
        <w:tblLayout w:type="fixed"/>
        <w:tblCellMar>
          <w:top w:w="28" w:type="dxa"/>
          <w:left w:w="28" w:type="dxa"/>
          <w:bottom w:w="28" w:type="dxa"/>
          <w:right w:w="28" w:type="dxa"/>
        </w:tblCellMar>
      </w:tblPr>
      <w:tblGrid>
        <w:gridCol w:w="428"/>
        <w:gridCol w:w="378"/>
        <w:gridCol w:w="379"/>
        <w:gridCol w:w="271"/>
        <w:gridCol w:w="1018"/>
        <w:gridCol w:w="150"/>
        <w:gridCol w:w="109"/>
        <w:gridCol w:w="109"/>
        <w:gridCol w:w="109"/>
        <w:gridCol w:w="361"/>
        <w:gridCol w:w="1192"/>
        <w:gridCol w:w="201"/>
        <w:gridCol w:w="109"/>
        <w:gridCol w:w="109"/>
        <w:gridCol w:w="109"/>
        <w:gridCol w:w="396"/>
        <w:gridCol w:w="1122"/>
        <w:gridCol w:w="222"/>
        <w:gridCol w:w="109"/>
        <w:gridCol w:w="109"/>
        <w:gridCol w:w="109"/>
        <w:gridCol w:w="196"/>
        <w:gridCol w:w="736"/>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 2022</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Aviation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Aerospace Products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153,146 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9,799 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V. Location of Long-Lived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tables sets forth the geographic location of property, plant and equipment and leasing equipment, net:</w:t>
      </w:r>
    </w:p>
    <w:tbl>
      <w:tblPr>
        <w:tblW w:w="7878" w:type="dxa"/>
        <w:jc w:val="left"/>
        <w:tblInd w:w="0" w:type="dxa"/>
        <w:tblLayout w:type="fixed"/>
        <w:tblCellMar>
          <w:top w:w="28" w:type="dxa"/>
          <w:left w:w="28" w:type="dxa"/>
          <w:bottom w:w="28" w:type="dxa"/>
          <w:right w:w="28" w:type="dxa"/>
        </w:tblCellMar>
      </w:tblPr>
      <w:tblGrid>
        <w:gridCol w:w="1718"/>
        <w:gridCol w:w="1509"/>
        <w:gridCol w:w="1513"/>
        <w:gridCol w:w="196"/>
        <w:gridCol w:w="886"/>
        <w:gridCol w:w="109"/>
        <w:gridCol w:w="109"/>
        <w:gridCol w:w="109"/>
        <w:gridCol w:w="109"/>
        <w:gridCol w:w="260"/>
        <w:gridCol w:w="1156"/>
        <w:gridCol w:w="204"/>
      </w:tblGrid>
      <w:tr>
        <w:trPr/>
        <w:tc>
          <w:tcPr>
            <w:tcW w:w="171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and leasing equipment, net</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384,330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383,378 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904,646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821,840 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America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398,355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424,617 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 America</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1,903,386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1,923,567 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13. EARNINGS PER SHARE AND EQUITY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Basic earnings per ordinary share (“EPS”) is calculated by dividing net income (loss)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 xml:space="preserve">The calculation of basic and diluted EPS is presented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32740"/>
                <wp:effectExtent l="0" t="0" r="0" b="0"/>
                <wp:wrapNone/>
                <wp:docPr id="32" name="Frame3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tbl>
      <w:tblPr>
        <w:tblW w:w="10205" w:type="dxa"/>
        <w:jc w:val="left"/>
        <w:tblInd w:w="0" w:type="dxa"/>
        <w:tblLayout w:type="fixed"/>
        <w:tblCellMar>
          <w:top w:w="28" w:type="dxa"/>
          <w:left w:w="28" w:type="dxa"/>
          <w:bottom w:w="28" w:type="dxa"/>
          <w:right w:w="28" w:type="dxa"/>
        </w:tblCellMar>
      </w:tblPr>
      <w:tblGrid>
        <w:gridCol w:w="1720"/>
        <w:gridCol w:w="1445"/>
        <w:gridCol w:w="1455"/>
        <w:gridCol w:w="243"/>
        <w:gridCol w:w="823"/>
        <w:gridCol w:w="116"/>
        <w:gridCol w:w="116"/>
        <w:gridCol w:w="116"/>
        <w:gridCol w:w="116"/>
        <w:gridCol w:w="223"/>
        <w:gridCol w:w="738"/>
        <w:gridCol w:w="116"/>
        <w:gridCol w:w="109"/>
        <w:gridCol w:w="109"/>
        <w:gridCol w:w="109"/>
        <w:gridCol w:w="243"/>
        <w:gridCol w:w="823"/>
        <w:gridCol w:w="109"/>
        <w:gridCol w:w="109"/>
        <w:gridCol w:w="109"/>
        <w:gridCol w:w="109"/>
        <w:gridCol w:w="196"/>
        <w:gridCol w:w="797"/>
        <w:gridCol w:w="156"/>
      </w:tblGrid>
      <w:tr>
        <w:trPr/>
        <w:tc>
          <w:tcPr>
            <w:tcW w:w="17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 except share and per share data)</w:t>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(133,265)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(35,929)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(loss)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(219,899)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 in consolidated subsidiaries:</w:t>
            </w:r>
          </w:p>
        </w:tc>
        <w:tc>
          <w:tcPr>
            <w:tcW w:w="11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shareholders</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Common Shares Outstanding - Basic </w:t>
            </w:r>
            <w:r>
              <w:rPr>
                <w:rFonts w:ascii="Arial;sans-serif" w:hAnsi="Arial;sans-serif"/>
                <w:b w:val="false"/>
                <w:color w:val="000000"/>
                <w:sz w:val="10"/>
              </w:rPr>
              <w:t>(1)</w:t>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99,732,179</w:t>
            </w: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99,370,301 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99,730,223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99,367,597 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Weighted Average Common Shares Outstanding - Diluted </w:t>
            </w:r>
            <w:r>
              <w:rPr>
                <w:rFonts w:ascii="Arial;sans-serif" w:hAnsi="Arial;sans-serif"/>
                <w:b w:val="false"/>
                <w:color w:val="000000"/>
                <w:sz w:val="10"/>
              </w:rPr>
              <w:t>(1)</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100,462,277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99,805,455 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100,314,508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99,367,597 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(loss) per share:</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Three and six months ended June 30, 2022 include participating securities which can be converted into a fixed amount of our shares.</w:t>
      </w:r>
    </w:p>
    <w:p>
      <w:pPr>
        <w:pStyle w:val="TextBody"/>
        <w:bidi w:val="0"/>
        <w:spacing w:lineRule="auto" w:line="288" w:before="120" w:after="283"/>
        <w:jc w:val="both"/>
        <w:rPr/>
      </w:pPr>
      <w:r>
        <w:rPr>
          <w:rFonts w:ascii="Arial;sans-serif" w:hAnsi="Arial;sans-serif"/>
          <w:b w:val="false"/>
          <w:color w:val="000000"/>
          <w:sz w:val="18"/>
        </w:rPr>
        <w:t>For the three months ended June 30, 2023 and 2022,</w:t>
      </w:r>
      <w:r>
        <w:rPr>
          <w:color w:val="000000"/>
          <w:shd w:fill="FFFFFF" w:val="clear"/>
        </w:rPr>
        <w:t xml:space="preserve"> </w:t>
      </w:r>
      <w:r>
        <w:rPr>
          <w:rFonts w:ascii="Arial;sans-serif" w:hAnsi="Arial;sans-serif"/>
          <w:b w:val="false"/>
          <w:color w:val="000000"/>
          <w:sz w:val="18"/>
          <w:shd w:fill="FFFFFF" w:val="clear"/>
        </w:rPr>
        <w:t>0 a</w:t>
      </w:r>
      <w:r>
        <w:rPr>
          <w:rFonts w:ascii="Arial;sans-serif" w:hAnsi="Arial;sans-serif"/>
          <w:b w:val="false"/>
          <w:color w:val="000000"/>
          <w:sz w:val="18"/>
        </w:rPr>
        <w:t xml:space="preserve">nd 407,124 shares, respectively, and for the six months ended June 30, 2023 and 2022, </w:t>
      </w:r>
      <w:r>
        <w:rPr>
          <w:rFonts w:ascii="Arial;sans-serif" w:hAnsi="Arial;sans-serif"/>
          <w:b w:val="false"/>
          <w:color w:val="000000"/>
          <w:sz w:val="18"/>
          <w:shd w:fill="FFFFFF" w:val="clear"/>
        </w:rPr>
        <w:t>1,245</w:t>
      </w:r>
      <w:r>
        <w:rPr>
          <w:color w:val="000000"/>
        </w:rPr>
        <w:t xml:space="preserve"> </w:t>
      </w:r>
      <w:r>
        <w:rPr>
          <w:rFonts w:ascii="Arial;sans-serif" w:hAnsi="Arial;sans-serif"/>
          <w:b w:val="false"/>
          <w:color w:val="000000"/>
          <w:sz w:val="18"/>
        </w:rPr>
        <w:t>and 595,047 shares, respectively, have been excluded from the calculation of Diluted EPS because the impact would be anti-dilutive.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During the six months ended June 30, 2023 and 2022, we issued 18,457 and 19,811 common shares to certain directors as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14. COMMITMENTS AND CONTINGENCIES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 </w:t>
      </w:r>
    </w:p>
    <w:p>
      <w:pPr>
        <w:pStyle w:val="TextBody"/>
        <w:bidi w:val="0"/>
        <w:spacing w:lineRule="auto" w:line="288" w:before="120" w:after="283"/>
        <w:jc w:val="both"/>
        <w:rPr/>
      </w:pPr>
      <w:r>
        <w:rPr>
          <w:rFonts w:ascii="Arial;sans-serif" w:hAnsi="Arial;sans-serif"/>
          <w:b w:val="false"/>
          <w:color w:val="000000"/>
          <w:sz w:val="18"/>
        </w:rPr>
        <w:t xml:space="preserve">The Company has contingent obligations under ASC 460, </w:t>
      </w:r>
      <w:r>
        <w:rPr>
          <w:rFonts w:ascii="Arial;sans-serif" w:hAnsi="Arial;sans-serif"/>
          <w:b w:val="false"/>
          <w:i/>
          <w:color w:val="000000"/>
          <w:sz w:val="18"/>
        </w:rPr>
        <w:t>Guarantees</w:t>
      </w:r>
      <w:r>
        <w:rPr>
          <w:rFonts w:ascii="Arial;sans-serif" w:hAnsi="Arial;sans-serif"/>
          <w:b w:val="false"/>
          <w:color w:val="000000"/>
          <w:sz w:val="18"/>
        </w:rPr>
        <w:t>, in connection with certain sales of aircraft on lease. Under the agreements, we provide certain guarantees at the end of the lease term for the condition of the aircraft engines that were sold to the buyer.</w:t>
      </w:r>
      <w:r>
        <w:rPr>
          <w:color w:val="000000"/>
        </w:rPr>
        <w:t xml:space="preserve"> </w:t>
      </w:r>
      <w:r>
        <w:rPr>
          <w:rFonts w:ascii="Arial;sans-serif" w:hAnsi="Arial;sans-serif"/>
          <w:b w:val="false"/>
          <w:color w:val="000000"/>
          <w:sz w:val="18"/>
        </w:rPr>
        <w:t>The guarantees are valued at $6.7 million and $3.8 million as of June 30, 2023 and December 31, 2022, respectively, and are reflected as a component of Other liabilities on the Consolidated Balance Sheets.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Given variability in the condition of the engines at the end of the lease terms, which range from 4 to 10 years, the maximum potential amount of undiscounted future payments that could be required under the guarantees at June 30, 2023 was $34.7 million, which is not reasonably expected.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497F"/>
          <w:sz w:val="20"/>
        </w:rPr>
      </w:pPr>
      <w:r>
        <w:rPr>
          <w:rFonts w:ascii="Arial;sans-serif" w:hAnsi="Arial;sans-serif"/>
          <w:b/>
          <w:color w:val="00497F"/>
          <w:sz w:val="20"/>
        </w:rPr>
        <w:t xml:space="preserve">15. SUBSEQUENT EVENTS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Dividends</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On July 25, 2023, our Board of Directors declared a cash dividend on our ordinary shares and eligible participating securities of $0.30 per share for the quarter ended June 30, 2023, payable on August 29, 2023 to the holders of record on August 14,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32740"/>
                <wp:effectExtent l="0" t="0" r="0" b="0"/>
                <wp:wrapNone/>
                <wp:docPr id="33" name="Frame3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497F"/>
          <w:sz w:val="20"/>
        </w:rPr>
      </w:pPr>
      <w:r>
        <w:rPr>
          <w:rFonts w:ascii="Arial;sans-serif" w:hAnsi="Arial;sans-serif"/>
          <w:b/>
          <w:color w:val="00497F"/>
          <w:sz w:val="20"/>
        </w:rPr>
        <w:t>FTAI AVIATION LTD.</w:t>
      </w:r>
    </w:p>
    <w:p>
      <w:pPr>
        <w:pStyle w:val="TextBody"/>
        <w:bidi w:val="0"/>
        <w:spacing w:lineRule="auto" w:line="288" w:before="0" w:after="0"/>
        <w:jc w:val="left"/>
        <w:rPr/>
      </w:pPr>
      <w:r>
        <w:rPr>
          <w:rFonts w:ascii="Arial;sans-serif" w:hAnsi="Arial;sans-serif"/>
          <w:b/>
          <w:color w:val="00497F"/>
          <w:sz w:val="20"/>
        </w:rPr>
        <w:t xml:space="preserve">NOTES TO CONSOLIDATED FINANCIAL STATEMENTS </w:t>
      </w:r>
      <w:r>
        <w:rPr>
          <w:rFonts w:ascii="Arial;sans-serif" w:hAnsi="Arial;sans-serif"/>
          <w:b/>
          <w:i/>
          <w:color w:val="00497F"/>
          <w:sz w:val="20"/>
        </w:rPr>
        <w:t>(unaudited)</w:t>
      </w:r>
    </w:p>
    <w:p>
      <w:pPr>
        <w:pStyle w:val="TextBody"/>
        <w:bidi w:val="0"/>
        <w:spacing w:lineRule="auto" w:line="288" w:before="0" w:after="0"/>
        <w:jc w:val="left"/>
        <w:rPr/>
      </w:pPr>
      <w:r>
        <w:rPr>
          <w:rFonts w:ascii="Arial;sans-serif" w:hAnsi="Arial;sans-serif"/>
          <w:b w:val="false"/>
          <w:i/>
          <w:color w:val="00497F"/>
          <w:sz w:val="20"/>
        </w:rPr>
        <w:t>(Dollars in tables in thousands, unless otherwise noted)</w:t>
      </w:r>
      <w:r>
        <w:rPr>
          <w:color w:val="00497F"/>
        </w:rPr>
        <w:t xml:space="preserve">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on July 25, 2023, our Board of Directors also declared cash dividends on the Series A Preferred Shares, Series B Preferred Shares, Series C Preferred Shares and Series D Preferred Shares of $0.52, $0.50, $0.52 and $0.59 per share, respectively, payable on September 15, 2023 to the holders of record on September 1, 2023.</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32740"/>
                <wp:effectExtent l="0" t="0" r="0" b="0"/>
                <wp:wrapNone/>
                <wp:docPr id="34" name="Frame3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(“MD&amp;A”) is intended to help you understand FTAI Aviation Ltd. (the “Company,” “we,” “our” or “us”). Our MD&amp;A should be read in conjunction with our unaudited consolidated financial statements and the accompanying notes, and with Part II, Item 1A, “Risk Factors” included elsewhere in this Quarterly Report on Form 10-Q.</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Overview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own, lease and sell aviation equipment. We also develop and manufacture through a joint venture, and repair and sell, through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assets since 2002. As of June 30, 2023, we had total consolidated assets of $2.5 billion and total equity of $91.3 million.</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Impact of Russia’s Invasion of Ukraine</w:t>
      </w:r>
    </w:p>
    <w:p>
      <w:pPr>
        <w:pStyle w:val="TextBody"/>
        <w:bidi w:val="0"/>
        <w:spacing w:lineRule="auto" w:line="288" w:before="120" w:after="283"/>
        <w:jc w:val="both"/>
        <w:rPr/>
      </w:pPr>
      <w:r>
        <w:rPr>
          <w:rFonts w:ascii="Arial;sans-serif" w:hAnsi="Arial;sans-serif"/>
          <w:b w:val="false"/>
          <w:color w:val="000000"/>
          <w:sz w:val="18"/>
          <w:shd w:fill="FFFFFF" w:val="clear"/>
        </w:rPr>
        <w:t xml:space="preserve">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t>
      </w:r>
      <w:r>
        <w:rPr>
          <w:rFonts w:ascii="Arial;sans-serif" w:hAnsi="Arial;sans-serif"/>
          <w:b w:val="false"/>
          <w:color w:val="000000"/>
          <w:sz w:val="18"/>
        </w:rPr>
        <w:t xml:space="preserve">We determined that it is unlikely that we will regain possession of the aircraft and engines that had not yet been recovered from Ukraine and Russia. As a result, during the six months ended June 30, 2022, we recognized an impairment charge totaling $120.0 million, net of maintenance deposits, to write-off the entire carrying value of leasing equipment assets that we did not expect to recover from Ukraine and Russia. As of June 30, 2023, four aircraft were still located in Ukraine and eight aircraft and seventeen engines were still located in Russia.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Ukraine and Russia is approximately $243.0 million. We intend to pursue all our claims under these policies. However, the timing and amount of any recoveries under these policies are uncertain.</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Spin-Off of FTAI Infrastructure Inc. (“FTAI Infrastructure”)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August 1, 2022, we effected a spin-off of our infrastructure business held by FTAI Infrastructure (a wholly-owned subsidiary of the Company) as a distribution of all of the shares owned by the Company of common stock of FTAI Infrastructure to the holders of the Company’s ordinary shares as of July 21,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Fortress Transportation and Infrastructure Investors LLC (“FTAI LLC”) retained the aviation business and certain other assets, and FTAI LLC’s remaining outstanding corporate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November 10, 2022, the Company completed the transactions set forth in the Agreement and Plan of Merger (the “Merger”) between FTAI LLC and FTAI Aviation Ltd. and certain other parties, with FTAI LLC becoming a subsidiary of the company. As a result of the merger, FTAI Aviation Ltd. became a Cayman Islands exempted company. Upon merger completion, FTAI LLC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32740"/>
                <wp:effectExtent l="0" t="0" r="0" b="0"/>
                <wp:wrapNone/>
                <wp:docPr id="35" name="Frame3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public common shareholders’ shares of the Company were exchanged automatically for shares of FTAI Aviation Ltd. without any further action from the shareholders.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Operating Segments </w:t>
      </w:r>
    </w:p>
    <w:p>
      <w:pPr>
        <w:pStyle w:val="TextBody"/>
        <w:bidi w:val="0"/>
        <w:spacing w:lineRule="auto" w:line="288" w:before="120" w:after="283"/>
        <w:jc w:val="both"/>
        <w:rPr/>
      </w:pPr>
      <w:r>
        <w:rPr>
          <w:rFonts w:ascii="Arial;sans-serif" w:hAnsi="Arial;sans-serif"/>
          <w:b w:val="false"/>
          <w:color w:val="000000"/>
          <w:sz w:val="18"/>
        </w:rPr>
        <w:t xml:space="preserve">As a result of the spin-off of FTAI Infrastructure effective August 1, 2022, the Company reevaluated its operating segments. 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exclusivity arrangements, aircraft engines and aftermarket components for aircraft engines. The interim period discloses the reportable segments on this basis, and prior periods have been restated to reflect the change in accordance with the requirements of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pStyle w:val="TextBody"/>
        <w:bidi w:val="0"/>
        <w:spacing w:lineRule="auto" w:line="268" w:before="120" w:after="283"/>
        <w:jc w:val="both"/>
        <w:rPr>
          <w:rFonts w:ascii="Arial;sans-serif" w:hAnsi="Arial;sans-serif"/>
          <w:b/>
          <w:color w:val="00497F"/>
          <w:sz w:val="18"/>
        </w:rPr>
      </w:pPr>
      <w:r>
        <w:rPr>
          <w:rFonts w:ascii="Arial;sans-serif" w:hAnsi="Arial;sans-serif"/>
          <w:b/>
          <w:color w:val="00497F"/>
          <w:sz w:val="18"/>
        </w:rPr>
        <w:t>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 May 22, 2023, Fortress and Mubadala Investment Company, through its wholly owned asset management subsidiary Mubadala Capital (“Mubadala”), announced that they have entered into definitive agreements pursuant to which, among other things, certain members of Fortress management and affiliates of Mubadala will acquire 100% of the equity of Fortress that is currently indirectly held by SoftBank Group Corp. (“SoftBank”). After the closing of the transaction, Fortress will continue to operate as an independent investment manager under the Fortress brand, with autonomy over investment processes and decision making, personnel and operations. </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Results of Operations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During the third quarter of 2022, the Company updated its measure of segment profit to include the add back of dividends on preferred shares in Adjusted EBITDA. 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 EBITDA.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32740"/>
                <wp:effectExtent l="0" t="0" r="0" b="0"/>
                <wp:wrapNone/>
                <wp:docPr id="36" name="Frame3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Comparison of the three and six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consolidated results of operations:</w:t>
      </w:r>
    </w:p>
    <w:tbl>
      <w:tblPr>
        <w:tblW w:w="10205" w:type="dxa"/>
        <w:jc w:val="left"/>
        <w:tblInd w:w="0" w:type="dxa"/>
        <w:tblLayout w:type="fixed"/>
        <w:tblCellMar>
          <w:top w:w="28" w:type="dxa"/>
          <w:left w:w="28" w:type="dxa"/>
          <w:bottom w:w="28" w:type="dxa"/>
          <w:right w:w="28" w:type="dxa"/>
        </w:tblCellMar>
      </w:tblPr>
      <w:tblGrid>
        <w:gridCol w:w="992"/>
        <w:gridCol w:w="742"/>
        <w:gridCol w:w="699"/>
        <w:gridCol w:w="200"/>
        <w:gridCol w:w="677"/>
        <w:gridCol w:w="111"/>
        <w:gridCol w:w="111"/>
        <w:gridCol w:w="111"/>
        <w:gridCol w:w="111"/>
        <w:gridCol w:w="200"/>
        <w:gridCol w:w="661"/>
        <w:gridCol w:w="111"/>
        <w:gridCol w:w="109"/>
        <w:gridCol w:w="109"/>
        <w:gridCol w:w="109"/>
        <w:gridCol w:w="196"/>
        <w:gridCol w:w="646"/>
        <w:gridCol w:w="109"/>
        <w:gridCol w:w="109"/>
        <w:gridCol w:w="109"/>
        <w:gridCol w:w="109"/>
        <w:gridCol w:w="196"/>
        <w:gridCol w:w="751"/>
        <w:gridCol w:w="109"/>
        <w:gridCol w:w="109"/>
        <w:gridCol w:w="109"/>
        <w:gridCol w:w="109"/>
        <w:gridCol w:w="196"/>
        <w:gridCol w:w="766"/>
        <w:gridCol w:w="109"/>
        <w:gridCol w:w="109"/>
        <w:gridCol w:w="109"/>
        <w:gridCol w:w="109"/>
        <w:gridCol w:w="196"/>
        <w:gridCol w:w="736"/>
        <w:gridCol w:w="161"/>
      </w:tblGrid>
      <w:tr>
        <w:trPr/>
        <w:tc>
          <w:tcPr>
            <w:tcW w:w="99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59,541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42,065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101,486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products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274,345</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363,308 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104,532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24,797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38,514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38,499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217,765</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other income (expense) </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(82,711)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56,608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88,031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218,128 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continued operations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from discontinued operations, net of income taxes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54,753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84,150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304,049 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Continued operations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46,418</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(217,535)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286,559 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32740"/>
                <wp:effectExtent l="0" t="0" r="0" b="0"/>
                <wp:wrapNone/>
                <wp:docPr id="37" name="Frame3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900"/>
        <w:gridCol w:w="749"/>
        <w:gridCol w:w="742"/>
        <w:gridCol w:w="196"/>
        <w:gridCol w:w="753"/>
        <w:gridCol w:w="109"/>
        <w:gridCol w:w="109"/>
        <w:gridCol w:w="109"/>
        <w:gridCol w:w="109"/>
        <w:gridCol w:w="196"/>
        <w:gridCol w:w="738"/>
        <w:gridCol w:w="109"/>
        <w:gridCol w:w="109"/>
        <w:gridCol w:w="109"/>
        <w:gridCol w:w="109"/>
        <w:gridCol w:w="196"/>
        <w:gridCol w:w="556"/>
        <w:gridCol w:w="109"/>
        <w:gridCol w:w="109"/>
        <w:gridCol w:w="109"/>
        <w:gridCol w:w="109"/>
        <w:gridCol w:w="196"/>
        <w:gridCol w:w="751"/>
        <w:gridCol w:w="109"/>
        <w:gridCol w:w="109"/>
        <w:gridCol w:w="109"/>
        <w:gridCol w:w="109"/>
        <w:gridCol w:w="196"/>
        <w:gridCol w:w="764"/>
        <w:gridCol w:w="109"/>
        <w:gridCol w:w="109"/>
        <w:gridCol w:w="109"/>
        <w:gridCol w:w="109"/>
        <w:gridCol w:w="196"/>
        <w:gridCol w:w="736"/>
        <w:gridCol w:w="160"/>
      </w:tblGrid>
      <w:tr>
        <w:trPr/>
        <w:tc>
          <w:tcPr>
            <w:tcW w:w="90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153,077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280,733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85,034 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rPr>
        <w:t>(</w:t>
      </w:r>
      <w:r>
        <w:rPr>
          <w:rFonts w:ascii="Arial;sans-serif" w:hAnsi="Arial;sans-serif"/>
          <w:b w:val="false"/>
          <w:color w:val="000000"/>
          <w:sz w:val="10"/>
          <w:shd w:fill="FFFFFF" w:val="clear"/>
        </w:rPr>
        <w:t xml:space="preserve">1) </w:t>
      </w:r>
      <w:r>
        <w:rPr>
          <w:rFonts w:ascii="Arial;sans-serif" w:hAnsi="Arial;sans-serif"/>
          <w:b w:val="false"/>
          <w:color w:val="000000"/>
          <w:sz w:val="16"/>
          <w:shd w:fill="FFFFFF" w:val="clear"/>
        </w:rPr>
        <w:t>Includes the following items for the three months ended June 30, 2023 and 2022: (i) depreciation and amortization expense of $38,514 and $39,303, (ii) lease intangible amortization of $3,616 and $3,310 and (iii) amortization for lease incentives of $6,804 and $8,495, respectively. Includes the following items for the six months ended June 30, 2023 and 2022: (i) depreciation and amortization expense of $79,440 and $80,608, (ii) lease intangible amortization of $7,599 and $6,968 and (iii) amortization for lease incentives of $10,665 and $16,849, respectively.</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 xml:space="preserve">(2) </w:t>
      </w:r>
      <w:r>
        <w:rPr>
          <w:rFonts w:ascii="Arial;sans-serif" w:hAnsi="Arial;sans-serif"/>
          <w:b w:val="false"/>
          <w:color w:val="000000"/>
          <w:sz w:val="16"/>
          <w:shd w:fill="FFFFFF" w:val="clear"/>
        </w:rPr>
        <w:t xml:space="preserve">Includes the following items for the three months ended June 30, 2023 and 2022: (i) net (loss) income of $(380) and $35, (ii) depreciation and amortization expense of $435 and $117 and (iii) acquisition and transaction expense of $95 and $0, respectively. Includes the following items for the six months ended June 30, 2023 and 2022: (i) net (loss) income of $(1,715) and $233, (ii) depreciation and amortization expense of $835 and $173 and (iii) acquisition and transaction expense of $334 and $0, respectively. </w:t>
      </w:r>
    </w:p>
    <w:p>
      <w:pPr>
        <w:pStyle w:val="TextBody"/>
        <w:bidi w:val="0"/>
        <w:spacing w:lineRule="auto" w:line="288" w:before="120" w:after="283"/>
        <w:ind w:left="0" w:right="0" w:hanging="180"/>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56" w:before="180" w:after="283"/>
        <w:ind w:left="0" w:right="0" w:hanging="180"/>
        <w:jc w:val="both"/>
        <w:rPr>
          <w:rFonts w:ascii="Arial;sans-serif" w:hAnsi="Arial;sans-serif"/>
          <w:b/>
          <w:color w:val="00497F"/>
          <w:sz w:val="18"/>
          <w:shd w:fill="FFFFFF" w:val="clear"/>
        </w:rPr>
      </w:pPr>
      <w:r>
        <w:rPr>
          <w:rFonts w:ascii="Arial;sans-serif" w:hAnsi="Arial;sans-serif"/>
          <w:b/>
          <w:color w:val="00497F"/>
          <w:sz w:val="18"/>
          <w:shd w:fill="FFFFFF" w:val="clear"/>
        </w:rPr>
        <w:t>Presentation of assets sales</w:t>
      </w:r>
    </w:p>
    <w:p>
      <w:pPr>
        <w:pStyle w:val="TextBody"/>
        <w:bidi w:val="0"/>
        <w:spacing w:lineRule="auto" w:line="288" w:before="120" w:after="283"/>
        <w:jc w:val="both"/>
        <w:rPr/>
      </w:pPr>
      <w:r>
        <w:rPr>
          <w:rFonts w:ascii="Arial;sans-serif" w:hAnsi="Arial;sans-serif"/>
          <w:b w:val="false"/>
          <w:color w:val="000000"/>
          <w:sz w:val="18"/>
        </w:rPr>
        <w:t xml:space="preserve">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 Revenues in the Consolidated Statement of Operations beginning in the third quarter of 2022 and are accounted for in accordance with ASC 606. The corresponding net book values of the assets sold are recorded in Cost of sales in the Consolidated Statement of Operations beginning in the third quarter of 2022. Sales transactions of aircraft and engines prior to the third quarter of 2022 were accounted for in accordance with ASC 610-20, </w:t>
      </w:r>
      <w:r>
        <w:rPr>
          <w:rFonts w:ascii="Arial;sans-serif" w:hAnsi="Arial;sans-serif"/>
          <w:b w:val="false"/>
          <w:i/>
          <w:color w:val="000000"/>
          <w:sz w:val="18"/>
        </w:rPr>
        <w:t>Gains and losses from the derecognition of nonfinancial assets</w:t>
      </w:r>
      <w:r>
        <w:rPr>
          <w:color w:val="000000"/>
        </w:rPr>
        <w:t xml:space="preserve"> </w:t>
      </w:r>
      <w:r>
        <w:rPr>
          <w:rFonts w:ascii="Arial;sans-serif" w:hAnsi="Arial;sans-serif"/>
          <w:b w:val="false"/>
          <w:color w:val="000000"/>
          <w:sz w:val="18"/>
        </w:rPr>
        <w:t>and were included in Gain (loss) on sale of assets, net on the Consolidated Statement of Operations, as we were previously only occasionally selling these assets. Generally, assets sold were included in Leasing equipment, net, on the Consolidated Balance Sheets.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June 30, 2023 and 2022</w:t>
      </w:r>
    </w:p>
    <w:p>
      <w:pPr>
        <w:pStyle w:val="TextBody"/>
        <w:bidi w:val="0"/>
        <w:spacing w:lineRule="auto" w:line="288" w:before="120" w:after="283"/>
        <w:jc w:val="both"/>
        <w:rPr/>
      </w:pPr>
      <w:r>
        <w:rPr>
          <w:rFonts w:ascii="Arial;sans-serif" w:hAnsi="Arial;sans-serif"/>
          <w:b w:val="false"/>
          <w:color w:val="000000"/>
          <w:sz w:val="18"/>
        </w:rPr>
        <w:t xml:space="preserve">Total revenues increased </w:t>
      </w:r>
      <w:r>
        <w:rPr>
          <w:rFonts w:ascii="Arial;sans-serif" w:hAnsi="Arial;sans-serif"/>
          <w:b w:val="false"/>
          <w:color w:val="000000"/>
          <w:sz w:val="18"/>
          <w:shd w:fill="FFFFFF" w:val="clear"/>
        </w:rPr>
        <w:t>$162.3 million</w:t>
      </w:r>
      <w:r>
        <w:rPr>
          <w:color w:val="000000"/>
        </w:rPr>
        <w:t xml:space="preserve"> </w:t>
      </w:r>
      <w:r>
        <w:rPr>
          <w:rFonts w:ascii="Arial;sans-serif" w:hAnsi="Arial;sans-serif"/>
          <w:b w:val="false"/>
          <w:color w:val="000000"/>
          <w:sz w:val="18"/>
        </w:rPr>
        <w:t>primarily due to an increase in Asset sales revenue, Aerospace products revenue and Lease income.</w:t>
      </w:r>
    </w:p>
    <w:p>
      <w:pPr>
        <w:pStyle w:val="TextBody"/>
        <w:bidi w:val="0"/>
        <w:spacing w:lineRule="auto" w:line="288" w:before="120" w:after="283"/>
        <w:jc w:val="both"/>
        <w:rPr/>
      </w:pPr>
      <w:r>
        <w:rPr>
          <w:rFonts w:ascii="Arial;sans-serif" w:hAnsi="Arial;sans-serif"/>
          <w:b w:val="false"/>
          <w:color w:val="000000"/>
          <w:sz w:val="18"/>
        </w:rPr>
        <w:t>Asset sales reven</w:t>
      </w:r>
      <w:r>
        <w:rPr>
          <w:rFonts w:ascii="Arial;sans-serif" w:hAnsi="Arial;sans-serif"/>
          <w:b w:val="false"/>
          <w:color w:val="000000"/>
          <w:sz w:val="18"/>
          <w:shd w:fill="FFFFFF" w:val="clear"/>
        </w:rPr>
        <w:t>ue</w:t>
      </w:r>
      <w:r>
        <w:rPr>
          <w:color w:val="000000"/>
        </w:rPr>
        <w:t xml:space="preserve"> </w:t>
      </w:r>
      <w:r>
        <w:rPr>
          <w:rFonts w:ascii="Arial;sans-serif" w:hAnsi="Arial;sans-serif"/>
          <w:b w:val="false"/>
          <w:color w:val="000000"/>
          <w:sz w:val="18"/>
        </w:rPr>
        <w:t xml:space="preserve">increased </w:t>
      </w:r>
      <w:r>
        <w:rPr>
          <w:rFonts w:ascii="Arial;sans-serif" w:hAnsi="Arial;sans-serif"/>
          <w:b w:val="false"/>
          <w:color w:val="000000"/>
          <w:sz w:val="18"/>
          <w:shd w:fill="FFFFFF" w:val="clear"/>
        </w:rPr>
        <w:t>$101.5 million</w:t>
      </w:r>
      <w:r>
        <w:rPr>
          <w:color w:val="000000"/>
        </w:rPr>
        <w:t xml:space="preserve"> </w:t>
      </w:r>
      <w:r>
        <w:rPr>
          <w:rFonts w:ascii="Arial;sans-serif" w:hAnsi="Arial;sans-serif"/>
          <w:b w:val="false"/>
          <w:color w:val="000000"/>
          <w:sz w:val="18"/>
        </w:rPr>
        <w:t>primarily due to an increase in the sale of commercial aircraft and engines in our Aviation Leasing segment during 2023. See above discussion regarding presentation of asset sales.</w:t>
      </w:r>
    </w:p>
    <w:p>
      <w:pPr>
        <w:pStyle w:val="TextBody"/>
        <w:bidi w:val="0"/>
        <w:spacing w:lineRule="auto" w:line="288" w:before="120" w:after="283"/>
        <w:jc w:val="both"/>
        <w:rPr/>
      </w:pPr>
      <w:r>
        <w:rPr>
          <w:rFonts w:ascii="Arial;sans-serif" w:hAnsi="Arial;sans-serif"/>
          <w:b w:val="false"/>
          <w:color w:val="000000"/>
          <w:sz w:val="18"/>
        </w:rPr>
        <w:t xml:space="preserve">Aerospace products revenue increased </w:t>
      </w:r>
      <w:r>
        <w:rPr>
          <w:rFonts w:ascii="Arial;sans-serif" w:hAnsi="Arial;sans-serif"/>
          <w:b w:val="false"/>
          <w:color w:val="000000"/>
          <w:sz w:val="18"/>
          <w:shd w:fill="FFFFFF" w:val="clear"/>
        </w:rPr>
        <w:t>$41.6 million</w:t>
      </w:r>
      <w:r>
        <w:rPr>
          <w:color w:val="000000"/>
        </w:rPr>
        <w:t xml:space="preserve"> </w:t>
      </w:r>
      <w:r>
        <w:rPr>
          <w:rFonts w:ascii="Arial;sans-serif" w:hAnsi="Arial;sans-serif"/>
          <w:b w:val="false"/>
          <w:color w:val="000000"/>
          <w:sz w:val="18"/>
        </w:rPr>
        <w:t xml:space="preserve">primarily driven by an increase in sales relating to the CFM56-7B and CFM56-5B engines, engine modules, spare parts and used material inventory as operations continued to ramp-up in 2023. </w:t>
      </w:r>
    </w:p>
    <w:p>
      <w:pPr>
        <w:pStyle w:val="TextBody"/>
        <w:bidi w:val="0"/>
        <w:spacing w:lineRule="auto" w:line="288" w:before="120" w:after="283"/>
        <w:jc w:val="both"/>
        <w:rPr/>
      </w:pPr>
      <w:r>
        <w:rPr>
          <w:rFonts w:ascii="Arial;sans-serif" w:hAnsi="Arial;sans-serif"/>
          <w:b w:val="false"/>
          <w:color w:val="000000"/>
          <w:sz w:val="18"/>
        </w:rPr>
        <w:t xml:space="preserve">Lease income increased </w:t>
      </w:r>
      <w:r>
        <w:rPr>
          <w:rFonts w:ascii="Arial;sans-serif" w:hAnsi="Arial;sans-serif"/>
          <w:b w:val="false"/>
          <w:color w:val="000000"/>
          <w:sz w:val="18"/>
          <w:shd w:fill="FFFFFF" w:val="clear"/>
        </w:rPr>
        <w:t>$19.9 million</w:t>
      </w:r>
      <w:r>
        <w:rPr>
          <w:color w:val="000000"/>
        </w:rPr>
        <w:t xml:space="preserve"> </w:t>
      </w:r>
      <w:r>
        <w:rPr>
          <w:rFonts w:ascii="Arial;sans-serif" w:hAnsi="Arial;sans-serif"/>
          <w:b w:val="false"/>
          <w:color w:val="000000"/>
          <w:sz w:val="18"/>
        </w:rPr>
        <w:t>primarily due to an increase in the number of aircraft placed on lease and an increase in the Offshore Energy business driven by increased number of days on-hire for one of our vessels.</w:t>
      </w:r>
    </w:p>
    <w:p>
      <w:pPr>
        <w:pStyle w:val="TextBody"/>
        <w:bidi w:val="0"/>
        <w:spacing w:before="120" w:after="283"/>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32740"/>
                <wp:effectExtent l="0" t="0" r="0" b="0"/>
                <wp:wrapNone/>
                <wp:docPr id="38" name="Frame3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2023 and 2022</w:t>
      </w:r>
    </w:p>
    <w:p>
      <w:pPr>
        <w:pStyle w:val="TextBody"/>
        <w:bidi w:val="0"/>
        <w:spacing w:lineRule="auto" w:line="288" w:before="120" w:after="283"/>
        <w:jc w:val="both"/>
        <w:rPr/>
      </w:pPr>
      <w:r>
        <w:rPr>
          <w:rFonts w:ascii="Arial;sans-serif" w:hAnsi="Arial;sans-serif"/>
          <w:b w:val="false"/>
          <w:color w:val="000000"/>
          <w:sz w:val="18"/>
        </w:rPr>
        <w:t xml:space="preserve">Total revenues increased </w:t>
      </w:r>
      <w:r>
        <w:rPr>
          <w:rFonts w:ascii="Arial;sans-serif" w:hAnsi="Arial;sans-serif"/>
          <w:b w:val="false"/>
          <w:color w:val="000000"/>
          <w:sz w:val="18"/>
          <w:shd w:fill="FFFFFF" w:val="clear"/>
        </w:rPr>
        <w:t>$363.3 million</w:t>
      </w:r>
      <w:r>
        <w:rPr>
          <w:color w:val="000000"/>
        </w:rPr>
        <w:t xml:space="preserve"> </w:t>
      </w:r>
      <w:r>
        <w:rPr>
          <w:rFonts w:ascii="Arial;sans-serif" w:hAnsi="Arial;sans-serif"/>
          <w:b w:val="false"/>
          <w:color w:val="000000"/>
          <w:sz w:val="18"/>
        </w:rPr>
        <w:t>primarily due to an increase in Asset sales revenue, Aerospace products revenue, Lease income and Other revenue.</w:t>
      </w:r>
    </w:p>
    <w:p>
      <w:pPr>
        <w:pStyle w:val="TextBody"/>
        <w:bidi w:val="0"/>
        <w:spacing w:lineRule="auto" w:line="288" w:before="120" w:after="283"/>
        <w:jc w:val="both"/>
        <w:rPr/>
      </w:pPr>
      <w:r>
        <w:rPr>
          <w:rFonts w:ascii="Arial;sans-serif" w:hAnsi="Arial;sans-serif"/>
          <w:b w:val="false"/>
          <w:color w:val="000000"/>
          <w:sz w:val="18"/>
        </w:rPr>
        <w:t>Asset sales reven</w:t>
      </w:r>
      <w:r>
        <w:rPr>
          <w:rFonts w:ascii="Arial;sans-serif" w:hAnsi="Arial;sans-serif"/>
          <w:b w:val="false"/>
          <w:color w:val="000000"/>
          <w:sz w:val="18"/>
          <w:shd w:fill="FFFFFF" w:val="clear"/>
        </w:rPr>
        <w:t>ue</w:t>
      </w:r>
      <w:r>
        <w:rPr>
          <w:color w:val="000000"/>
        </w:rPr>
        <w:t xml:space="preserve"> </w:t>
      </w:r>
      <w:r>
        <w:rPr>
          <w:rFonts w:ascii="Arial;sans-serif" w:hAnsi="Arial;sans-serif"/>
          <w:b w:val="false"/>
          <w:color w:val="000000"/>
          <w:sz w:val="18"/>
        </w:rPr>
        <w:t xml:space="preserve">increased </w:t>
      </w:r>
      <w:r>
        <w:rPr>
          <w:rFonts w:ascii="Arial;sans-serif" w:hAnsi="Arial;sans-serif"/>
          <w:b w:val="false"/>
          <w:color w:val="000000"/>
          <w:sz w:val="18"/>
          <w:shd w:fill="FFFFFF" w:val="clear"/>
        </w:rPr>
        <w:t>$210.2 million</w:t>
      </w:r>
      <w:r>
        <w:rPr>
          <w:color w:val="000000"/>
        </w:rPr>
        <w:t xml:space="preserve"> </w:t>
      </w:r>
      <w:r>
        <w:rPr>
          <w:rFonts w:ascii="Arial;sans-serif" w:hAnsi="Arial;sans-serif"/>
          <w:b w:val="false"/>
          <w:color w:val="000000"/>
          <w:sz w:val="18"/>
        </w:rPr>
        <w:t>primarily due to an increase in the sale of commercial aircraft and engines in our Aviation Leasing segment during 2023. See above discussion regarding presentation of asset sales.</w:t>
      </w:r>
    </w:p>
    <w:p>
      <w:pPr>
        <w:pStyle w:val="TextBody"/>
        <w:bidi w:val="0"/>
        <w:spacing w:lineRule="auto" w:line="288" w:before="120" w:after="283"/>
        <w:jc w:val="both"/>
        <w:rPr/>
      </w:pPr>
      <w:r>
        <w:rPr>
          <w:rFonts w:ascii="Arial;sans-serif" w:hAnsi="Arial;sans-serif"/>
          <w:b w:val="false"/>
          <w:color w:val="000000"/>
          <w:sz w:val="18"/>
        </w:rPr>
        <w:t xml:space="preserve">Aerospace products revenue increased </w:t>
      </w:r>
      <w:r>
        <w:rPr>
          <w:rFonts w:ascii="Arial;sans-serif" w:hAnsi="Arial;sans-serif"/>
          <w:b w:val="false"/>
          <w:color w:val="000000"/>
          <w:sz w:val="18"/>
          <w:shd w:fill="FFFFFF" w:val="clear"/>
        </w:rPr>
        <w:t>$112.4 million</w:t>
      </w:r>
      <w:r>
        <w:rPr>
          <w:color w:val="000000"/>
        </w:rPr>
        <w:t xml:space="preserve"> </w:t>
      </w:r>
      <w:r>
        <w:rPr>
          <w:rFonts w:ascii="Arial;sans-serif" w:hAnsi="Arial;sans-serif"/>
          <w:b w:val="false"/>
          <w:color w:val="000000"/>
          <w:sz w:val="18"/>
        </w:rPr>
        <w:t xml:space="preserve">primarily driven by an increase in sales relating to the CFM56-7B and CFM56-5B engines, engine modules, spare parts and used material inventory as operations continued to ramp-up in 2023. </w:t>
      </w:r>
    </w:p>
    <w:p>
      <w:pPr>
        <w:pStyle w:val="TextBody"/>
        <w:bidi w:val="0"/>
        <w:spacing w:lineRule="auto" w:line="288" w:before="120" w:after="283"/>
        <w:jc w:val="both"/>
        <w:rPr/>
      </w:pPr>
      <w:r>
        <w:rPr>
          <w:rFonts w:ascii="Arial;sans-serif" w:hAnsi="Arial;sans-serif"/>
          <w:b w:val="false"/>
          <w:color w:val="000000"/>
          <w:sz w:val="18"/>
        </w:rPr>
        <w:t xml:space="preserve">Lease income increased </w:t>
      </w:r>
      <w:r>
        <w:rPr>
          <w:rFonts w:ascii="Arial;sans-serif" w:hAnsi="Arial;sans-serif"/>
          <w:b w:val="false"/>
          <w:color w:val="000000"/>
          <w:sz w:val="18"/>
          <w:shd w:fill="FFFFFF" w:val="clear"/>
        </w:rPr>
        <w:t>$36.6 million</w:t>
      </w:r>
      <w:r>
        <w:rPr>
          <w:color w:val="000000"/>
        </w:rPr>
        <w:t xml:space="preserve"> </w:t>
      </w:r>
      <w:r>
        <w:rPr>
          <w:rFonts w:ascii="Arial;sans-serif" w:hAnsi="Arial;sans-serif"/>
          <w:b w:val="false"/>
          <w:color w:val="000000"/>
          <w:sz w:val="18"/>
        </w:rPr>
        <w:t>primarily due to an increase in the number of aircraft placed on lease and an increase in the Offshore Energy business driven by increased number of days on-hire for one of our vessels.</w:t>
      </w:r>
    </w:p>
    <w:p>
      <w:pPr>
        <w:pStyle w:val="TextBody"/>
        <w:bidi w:val="0"/>
        <w:spacing w:lineRule="auto" w:line="288" w:before="120" w:after="283"/>
        <w:jc w:val="both"/>
        <w:rPr/>
      </w:pPr>
      <w:r>
        <w:rPr>
          <w:rFonts w:ascii="Arial;sans-serif" w:hAnsi="Arial;sans-serif"/>
          <w:b w:val="false"/>
          <w:color w:val="000000"/>
          <w:sz w:val="18"/>
        </w:rPr>
        <w:t xml:space="preserve">Other revenue increased </w:t>
      </w:r>
      <w:r>
        <w:rPr>
          <w:rFonts w:ascii="Arial;sans-serif" w:hAnsi="Arial;sans-serif"/>
          <w:b w:val="false"/>
          <w:color w:val="000000"/>
          <w:sz w:val="18"/>
          <w:shd w:fill="FFFFFF" w:val="clear"/>
        </w:rPr>
        <w:t>$3.7 million</w:t>
      </w:r>
      <w:r>
        <w:rPr>
          <w:color w:val="000000"/>
        </w:rPr>
        <w:t xml:space="preserve"> </w:t>
      </w:r>
      <w:r>
        <w:rPr>
          <w:rFonts w:ascii="Arial;sans-serif" w:hAnsi="Arial;sans-serif"/>
          <w:b w:val="false"/>
          <w:color w:val="000000"/>
          <w:sz w:val="18"/>
        </w:rPr>
        <w:t>primarily due to an increase in end-of-lease redelivery compensation in the Aviation Leasing segment and an increase in the Offshore Energy business driven by increased number of days on-hire for one of our vessels.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June 30, 2023 and 2022</w:t>
      </w:r>
    </w:p>
    <w:p>
      <w:pPr>
        <w:pStyle w:val="TextBody"/>
        <w:bidi w:val="0"/>
        <w:spacing w:lineRule="auto" w:line="288" w:before="120" w:after="283"/>
        <w:jc w:val="both"/>
        <w:rPr/>
      </w:pPr>
      <w:r>
        <w:rPr>
          <w:rFonts w:ascii="Arial;sans-serif" w:hAnsi="Arial;sans-serif"/>
          <w:b w:val="false"/>
          <w:color w:val="000000"/>
          <w:sz w:val="18"/>
        </w:rPr>
        <w:t xml:space="preserve">Total expenses increased </w:t>
      </w:r>
      <w:r>
        <w:rPr>
          <w:rFonts w:ascii="Arial;sans-serif" w:hAnsi="Arial;sans-serif"/>
          <w:b w:val="false"/>
          <w:color w:val="000000"/>
          <w:sz w:val="18"/>
          <w:shd w:fill="FFFFFF" w:val="clear"/>
        </w:rPr>
        <w:t>$88.4 million</w:t>
      </w:r>
      <w:r>
        <w:rPr>
          <w:rFonts w:ascii="Arial;sans-serif" w:hAnsi="Arial;sans-serif"/>
          <w:b w:val="false"/>
          <w:color w:val="000000"/>
          <w:sz w:val="18"/>
        </w:rPr>
        <w:t>, primarily due to higher (i) Cost of sales, (ii) Operating expenses and (iii) Management fees and incentive allocation to affiliate, partially offset by lower (iv) Interest expense.</w:t>
      </w:r>
    </w:p>
    <w:p>
      <w:pPr>
        <w:pStyle w:val="TextBody"/>
        <w:bidi w:val="0"/>
        <w:spacing w:lineRule="auto" w:line="288" w:before="120" w:after="283"/>
        <w:jc w:val="both"/>
        <w:rPr/>
      </w:pPr>
      <w:r>
        <w:rPr>
          <w:rFonts w:ascii="Arial;sans-serif" w:hAnsi="Arial;sans-serif"/>
          <w:b w:val="false"/>
          <w:color w:val="000000"/>
          <w:sz w:val="18"/>
        </w:rPr>
        <w:t xml:space="preserve">Cost of </w:t>
      </w:r>
      <w:r>
        <w:rPr>
          <w:rFonts w:ascii="Arial;sans-serif" w:hAnsi="Arial;sans-serif"/>
          <w:b w:val="false"/>
          <w:color w:val="000000"/>
          <w:sz w:val="18"/>
          <w:shd w:fill="FFFFFF" w:val="clear"/>
        </w:rPr>
        <w:t>sales</w:t>
      </w:r>
      <w:r>
        <w:rPr>
          <w:color w:val="000000"/>
        </w:rPr>
        <w:t xml:space="preserve"> </w:t>
      </w:r>
      <w:r>
        <w:rPr>
          <w:rFonts w:ascii="Arial;sans-serif" w:hAnsi="Arial;sans-serif"/>
          <w:b w:val="false"/>
          <w:color w:val="000000"/>
          <w:sz w:val="18"/>
        </w:rPr>
        <w:t xml:space="preserve">increased </w:t>
      </w:r>
      <w:r>
        <w:rPr>
          <w:rFonts w:ascii="Arial;sans-serif" w:hAnsi="Arial;sans-serif"/>
          <w:b w:val="false"/>
          <w:color w:val="000000"/>
          <w:sz w:val="18"/>
          <w:shd w:fill="FFFFFF" w:val="clear"/>
        </w:rPr>
        <w:t>$89.4 million</w:t>
      </w:r>
      <w:r>
        <w:rPr>
          <w:color w:val="000000"/>
        </w:rPr>
        <w:t xml:space="preserve"> </w:t>
      </w:r>
      <w:r>
        <w:rPr>
          <w:rFonts w:ascii="Arial;sans-serif" w:hAnsi="Arial;sans-serif"/>
          <w:b w:val="false"/>
          <w:color w:val="000000"/>
          <w:sz w:val="18"/>
        </w:rPr>
        <w:t>primarily as a result of an increase in asset sales and Aerospace Products sales and the gross presentation of Asset sales revenue and Aerospace products revenue as described above.</w:t>
      </w:r>
    </w:p>
    <w:p>
      <w:pPr>
        <w:pStyle w:val="TextBody"/>
        <w:bidi w:val="0"/>
        <w:spacing w:lineRule="auto" w:line="288" w:before="120" w:after="283"/>
        <w:jc w:val="both"/>
        <w:rPr/>
      </w:pPr>
      <w:r>
        <w:rPr>
          <w:rFonts w:ascii="Arial;sans-serif" w:hAnsi="Arial;sans-serif"/>
          <w:b w:val="false"/>
          <w:color w:val="000000"/>
          <w:sz w:val="18"/>
        </w:rPr>
        <w:t xml:space="preserve">Operating expenses increased </w:t>
      </w:r>
      <w:r>
        <w:rPr>
          <w:rFonts w:ascii="Arial;sans-serif" w:hAnsi="Arial;sans-serif"/>
          <w:b w:val="false"/>
          <w:color w:val="000000"/>
          <w:sz w:val="18"/>
          <w:shd w:fill="FFFFFF" w:val="clear"/>
        </w:rPr>
        <w:t>$5.8 million, primarily due to</w:t>
      </w:r>
      <w:r>
        <w:rPr>
          <w:color w:val="000000"/>
        </w:rPr>
        <w:t xml:space="preserve"> </w:t>
      </w:r>
      <w:r>
        <w:rPr>
          <w:rFonts w:ascii="Arial;sans-serif" w:hAnsi="Arial;sans-serif"/>
          <w:b w:val="false"/>
          <w:color w:val="000000"/>
          <w:sz w:val="18"/>
        </w:rPr>
        <w:t xml:space="preserve">an increase of </w:t>
      </w:r>
      <w:r>
        <w:rPr>
          <w:rFonts w:ascii="Arial;sans-serif" w:hAnsi="Arial;sans-serif"/>
          <w:b w:val="false"/>
          <w:color w:val="000000"/>
          <w:sz w:val="18"/>
          <w:shd w:fill="FFFFFF" w:val="clear"/>
        </w:rPr>
        <w:t>$5.1 million</w:t>
      </w:r>
      <w:r>
        <w:rPr>
          <w:color w:val="000000"/>
        </w:rPr>
        <w:t xml:space="preserve"> </w:t>
      </w:r>
      <w:r>
        <w:rPr>
          <w:rFonts w:ascii="Arial;sans-serif" w:hAnsi="Arial;sans-serif"/>
          <w:b w:val="false"/>
          <w:color w:val="000000"/>
          <w:sz w:val="18"/>
        </w:rPr>
        <w:t>in the Offshore Energy business which reflects increases in crew expenses, project costs and other operating expenses for one of our vessels driven by increased cost of operations based on the operating location of the vessel as well as increased number of days on-hire.</w:t>
      </w:r>
    </w:p>
    <w:p>
      <w:pPr>
        <w:pStyle w:val="TextBody"/>
        <w:bidi w:val="0"/>
        <w:spacing w:lineRule="auto" w:line="288" w:before="120" w:after="283"/>
        <w:jc w:val="both"/>
        <w:rPr/>
      </w:pPr>
      <w:r>
        <w:rPr>
          <w:rFonts w:ascii="Arial;sans-serif" w:hAnsi="Arial;sans-serif"/>
          <w:b w:val="false"/>
          <w:color w:val="000000"/>
          <w:sz w:val="18"/>
        </w:rPr>
        <w:t xml:space="preserve">Management fees and incentive allocation to affiliate increased </w:t>
      </w:r>
      <w:r>
        <w:rPr>
          <w:rFonts w:ascii="Arial;sans-serif" w:hAnsi="Arial;sans-serif"/>
          <w:b w:val="false"/>
          <w:color w:val="000000"/>
          <w:sz w:val="18"/>
          <w:shd w:fill="FFFFFF" w:val="clear"/>
        </w:rPr>
        <w:t>$5.6 million</w:t>
      </w:r>
      <w:r>
        <w:rPr>
          <w:color w:val="000000"/>
        </w:rPr>
        <w:t xml:space="preserve"> </w:t>
      </w:r>
      <w:r>
        <w:rPr>
          <w:rFonts w:ascii="Arial;sans-serif" w:hAnsi="Arial;sans-serif"/>
          <w:b w:val="false"/>
          <w:color w:val="000000"/>
          <w:sz w:val="18"/>
        </w:rPr>
        <w:t>primarily due to an increase in incentive fee due to the Manager.</w:t>
      </w:r>
    </w:p>
    <w:p>
      <w:pPr>
        <w:pStyle w:val="TextBody"/>
        <w:bidi w:val="0"/>
        <w:spacing w:lineRule="auto" w:line="288" w:before="120" w:after="283"/>
        <w:jc w:val="both"/>
        <w:rPr/>
      </w:pPr>
      <w:r>
        <w:rPr>
          <w:rFonts w:ascii="Arial;sans-serif" w:hAnsi="Arial;sans-serif"/>
          <w:b w:val="false"/>
          <w:color w:val="000000"/>
          <w:sz w:val="18"/>
        </w:rPr>
        <w:t xml:space="preserve">Interest expense decreased </w:t>
      </w:r>
      <w:r>
        <w:rPr>
          <w:rFonts w:ascii="Arial;sans-serif" w:hAnsi="Arial;sans-serif"/>
          <w:b w:val="false"/>
          <w:color w:val="000000"/>
          <w:sz w:val="18"/>
          <w:shd w:fill="FFFFFF" w:val="clear"/>
        </w:rPr>
        <w:t xml:space="preserve">$9.4 million </w:t>
      </w:r>
      <w:r>
        <w:rPr>
          <w:rFonts w:ascii="Arial;sans-serif" w:hAnsi="Arial;sans-serif"/>
          <w:b w:val="false"/>
          <w:color w:val="000000"/>
          <w:sz w:val="18"/>
        </w:rPr>
        <w:t>which reflects a decrease in the average outstanding debt of approximately $581.0 million due to decreases in (i) the 2021 Bridge Loans of $339.8 million, (ii) the Senior Notes due 2025 of $199.4 million, which were partially redeemed in August 2022, and (iii) the Revolving Credit Facility of $41.8 million.</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2023 and 2022</w:t>
      </w:r>
    </w:p>
    <w:p>
      <w:pPr>
        <w:pStyle w:val="TextBody"/>
        <w:bidi w:val="0"/>
        <w:spacing w:lineRule="auto" w:line="288" w:before="120" w:after="283"/>
        <w:jc w:val="both"/>
        <w:rPr/>
      </w:pPr>
      <w:r>
        <w:rPr>
          <w:rFonts w:ascii="Arial;sans-serif" w:hAnsi="Arial;sans-serif"/>
          <w:b w:val="false"/>
          <w:color w:val="000000"/>
          <w:sz w:val="18"/>
        </w:rPr>
        <w:t xml:space="preserve">Total expenses increased </w:t>
      </w:r>
      <w:r>
        <w:rPr>
          <w:rFonts w:ascii="Arial;sans-serif" w:hAnsi="Arial;sans-serif"/>
          <w:b w:val="false"/>
          <w:color w:val="000000"/>
          <w:sz w:val="18"/>
          <w:shd w:fill="FFFFFF" w:val="clear"/>
        </w:rPr>
        <w:t>$62.5 million</w:t>
      </w:r>
      <w:r>
        <w:rPr>
          <w:rFonts w:ascii="Arial;sans-serif" w:hAnsi="Arial;sans-serif"/>
          <w:b w:val="false"/>
          <w:color w:val="000000"/>
          <w:sz w:val="18"/>
        </w:rPr>
        <w:t>, primarily due to higher (i) Cost of sales and (ii) Management fees and incentive allocation to affiliate, partially offset by lower (iii) Asset impairment, (iv) Operating expenses and (v) Interest expense.</w:t>
      </w:r>
    </w:p>
    <w:p>
      <w:pPr>
        <w:pStyle w:val="TextBody"/>
        <w:bidi w:val="0"/>
        <w:spacing w:lineRule="auto" w:line="288" w:before="120" w:after="283"/>
        <w:jc w:val="both"/>
        <w:rPr/>
      </w:pPr>
      <w:r>
        <w:rPr>
          <w:rFonts w:ascii="Arial;sans-serif" w:hAnsi="Arial;sans-serif"/>
          <w:b w:val="false"/>
          <w:color w:val="000000"/>
          <w:sz w:val="18"/>
        </w:rPr>
        <w:t xml:space="preserve">Cost of </w:t>
      </w:r>
      <w:r>
        <w:rPr>
          <w:rFonts w:ascii="Arial;sans-serif" w:hAnsi="Arial;sans-serif"/>
          <w:b w:val="false"/>
          <w:color w:val="000000"/>
          <w:sz w:val="18"/>
          <w:shd w:fill="FFFFFF" w:val="clear"/>
        </w:rPr>
        <w:t>sales</w:t>
      </w:r>
      <w:r>
        <w:rPr>
          <w:color w:val="000000"/>
        </w:rPr>
        <w:t xml:space="preserve"> </w:t>
      </w:r>
      <w:r>
        <w:rPr>
          <w:rFonts w:ascii="Arial;sans-serif" w:hAnsi="Arial;sans-serif"/>
          <w:b w:val="false"/>
          <w:color w:val="000000"/>
          <w:sz w:val="18"/>
        </w:rPr>
        <w:t xml:space="preserve">increased </w:t>
      </w:r>
      <w:r>
        <w:rPr>
          <w:rFonts w:ascii="Arial;sans-serif" w:hAnsi="Arial;sans-serif"/>
          <w:b w:val="false"/>
          <w:color w:val="000000"/>
          <w:sz w:val="18"/>
          <w:shd w:fill="FFFFFF" w:val="clear"/>
        </w:rPr>
        <w:t>$226.0 million</w:t>
      </w:r>
      <w:r>
        <w:rPr>
          <w:color w:val="000000"/>
        </w:rPr>
        <w:t xml:space="preserve"> </w:t>
      </w:r>
      <w:r>
        <w:rPr>
          <w:rFonts w:ascii="Arial;sans-serif" w:hAnsi="Arial;sans-serif"/>
          <w:b w:val="false"/>
          <w:color w:val="000000"/>
          <w:sz w:val="18"/>
        </w:rPr>
        <w:t>primarily as a result of an increase in asset sales and Aerospace Products sales and the gross presentation of Asset sales revenue and Aerospace products revenue as described above.</w:t>
      </w:r>
    </w:p>
    <w:p>
      <w:pPr>
        <w:pStyle w:val="TextBody"/>
        <w:bidi w:val="0"/>
        <w:spacing w:lineRule="auto" w:line="288" w:before="120" w:after="283"/>
        <w:jc w:val="both"/>
        <w:rPr/>
      </w:pPr>
      <w:r>
        <w:rPr>
          <w:rFonts w:ascii="Arial;sans-serif" w:hAnsi="Arial;sans-serif"/>
          <w:b w:val="false"/>
          <w:color w:val="000000"/>
          <w:sz w:val="18"/>
        </w:rPr>
        <w:t xml:space="preserve">Management fees and incentive allocation to affiliate increased </w:t>
      </w:r>
      <w:r>
        <w:rPr>
          <w:rFonts w:ascii="Arial;sans-serif" w:hAnsi="Arial;sans-serif"/>
          <w:b w:val="false"/>
          <w:color w:val="000000"/>
          <w:sz w:val="18"/>
          <w:shd w:fill="FFFFFF" w:val="clear"/>
        </w:rPr>
        <w:t>$8.6 million</w:t>
      </w:r>
      <w:r>
        <w:rPr>
          <w:color w:val="000000"/>
        </w:rPr>
        <w:t xml:space="preserve"> </w:t>
      </w:r>
      <w:r>
        <w:rPr>
          <w:rFonts w:ascii="Arial;sans-serif" w:hAnsi="Arial;sans-serif"/>
          <w:b w:val="false"/>
          <w:color w:val="000000"/>
          <w:sz w:val="18"/>
        </w:rPr>
        <w:t>primarily due to an increase in incentive fee due to the Manager.</w:t>
      </w:r>
    </w:p>
    <w:p>
      <w:pPr>
        <w:pStyle w:val="TextBody"/>
        <w:bidi w:val="0"/>
        <w:spacing w:lineRule="auto" w:line="288" w:before="120" w:after="283"/>
        <w:jc w:val="both"/>
        <w:rPr/>
      </w:pPr>
      <w:r>
        <w:rPr>
          <w:rFonts w:ascii="Arial;sans-serif" w:hAnsi="Arial;sans-serif"/>
          <w:b w:val="false"/>
          <w:color w:val="000000"/>
          <w:sz w:val="18"/>
        </w:rPr>
        <w:t xml:space="preserve">Asset impairment decreased </w:t>
      </w:r>
      <w:r>
        <w:rPr>
          <w:rFonts w:ascii="Arial;sans-serif" w:hAnsi="Arial;sans-serif"/>
          <w:b w:val="false"/>
          <w:color w:val="000000"/>
          <w:sz w:val="18"/>
          <w:shd w:fill="FFFFFF" w:val="clear"/>
        </w:rPr>
        <w:t>$122.5 million p</w:t>
      </w:r>
      <w:r>
        <w:rPr>
          <w:rFonts w:ascii="Arial;sans-serif" w:hAnsi="Arial;sans-serif"/>
          <w:b w:val="false"/>
          <w:color w:val="000000"/>
          <w:sz w:val="18"/>
        </w:rPr>
        <w:t>rimarily due to the write down in 2022 of aircraft and engines located in Ukraine and Russia that may not be recoverable. See Note 4 to the consolidated financial statements for additional information.</w:t>
      </w:r>
    </w:p>
    <w:p>
      <w:pPr>
        <w:pStyle w:val="TextBody"/>
        <w:bidi w:val="0"/>
        <w:spacing w:lineRule="auto" w:line="288" w:before="120" w:after="283"/>
        <w:jc w:val="both"/>
        <w:rPr/>
      </w:pPr>
      <w:r>
        <w:rPr>
          <w:rFonts w:ascii="Arial;sans-serif" w:hAnsi="Arial;sans-serif"/>
          <w:b w:val="false"/>
          <w:color w:val="000000"/>
          <w:sz w:val="18"/>
        </w:rPr>
        <w:t xml:space="preserve">Operating expenses decreased </w:t>
      </w:r>
      <w:r>
        <w:rPr>
          <w:rFonts w:ascii="Arial;sans-serif" w:hAnsi="Arial;sans-serif"/>
          <w:b w:val="false"/>
          <w:color w:val="000000"/>
          <w:sz w:val="18"/>
          <w:shd w:fill="FFFFFF" w:val="clear"/>
        </w:rPr>
        <w:t>$33.5 million</w:t>
      </w:r>
      <w:r>
        <w:rPr>
          <w:color w:val="000000"/>
        </w:rPr>
        <w:t xml:space="preserve"> </w:t>
      </w:r>
      <w:r>
        <w:rPr>
          <w:rFonts w:ascii="Arial;sans-serif" w:hAnsi="Arial;sans-serif"/>
          <w:b w:val="false"/>
          <w:color w:val="000000"/>
          <w:sz w:val="18"/>
        </w:rPr>
        <w:t>which primarily reflects: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 decrease of </w:t>
      </w:r>
      <w:r>
        <w:rPr>
          <w:rFonts w:ascii="Arial;sans-serif" w:hAnsi="Arial;sans-serif"/>
          <w:b w:val="false"/>
          <w:color w:val="000000"/>
          <w:sz w:val="18"/>
          <w:shd w:fill="FFFFFF" w:val="clear"/>
        </w:rPr>
        <w:t>$46.9 million</w:t>
      </w:r>
      <w:r>
        <w:rPr>
          <w:color w:val="000000"/>
        </w:rPr>
        <w:t xml:space="preserve"> </w:t>
      </w:r>
      <w:r>
        <w:rPr>
          <w:rFonts w:ascii="Arial;sans-serif" w:hAnsi="Arial;sans-serif"/>
          <w:b w:val="false"/>
          <w:color w:val="000000"/>
          <w:sz w:val="18"/>
        </w:rPr>
        <w:t>in the Aviation Leasing segment primarily as a result of decreases in provision for credit losses and other expenses as a result of the sanctions imposed on Russian airlines in 2022.</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an increase of </w:t>
      </w:r>
      <w:r>
        <w:rPr>
          <w:rFonts w:ascii="Arial;sans-serif" w:hAnsi="Arial;sans-serif"/>
          <w:b w:val="false"/>
          <w:color w:val="000000"/>
          <w:sz w:val="18"/>
          <w:shd w:fill="FFFFFF" w:val="clear"/>
        </w:rPr>
        <w:t>$11.2 million</w:t>
      </w:r>
      <w:r>
        <w:rPr>
          <w:color w:val="000000"/>
        </w:rPr>
        <w:t xml:space="preserve"> </w:t>
      </w:r>
      <w:r>
        <w:rPr>
          <w:rFonts w:ascii="Arial;sans-serif" w:hAnsi="Arial;sans-serif"/>
          <w:b w:val="false"/>
          <w:color w:val="000000"/>
          <w:sz w:val="18"/>
        </w:rPr>
        <w:t>in the Offshore Energy business which reflects increases in offshore crew expenses, project costs and other operating expenses for one of our vessels driven by increased cost of operations based on the operating location of the vessel as well as increased number of days on-hire.</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shd w:fill="FFFFFF" w:val="clear"/>
        </w:rPr>
        <w:t>an incr</w:t>
      </w:r>
      <w:r>
        <w:rPr>
          <w:rFonts w:ascii="Arial;sans-serif" w:hAnsi="Arial;sans-serif"/>
          <w:b w:val="false"/>
          <w:color w:val="000000"/>
          <w:sz w:val="18"/>
        </w:rPr>
        <w:t xml:space="preserve">ease of </w:t>
      </w:r>
      <w:r>
        <w:rPr>
          <w:rFonts w:ascii="Arial;sans-serif" w:hAnsi="Arial;sans-serif"/>
          <w:b w:val="false"/>
          <w:color w:val="000000"/>
          <w:sz w:val="18"/>
          <w:shd w:fill="FFFFFF" w:val="clear"/>
        </w:rPr>
        <w:t>$2.3 million</w:t>
      </w:r>
      <w:r>
        <w:rPr>
          <w:color w:val="000000"/>
        </w:rPr>
        <w:t xml:space="preserve"> </w:t>
      </w:r>
      <w:r>
        <w:rPr>
          <w:rFonts w:ascii="Arial;sans-serif" w:hAnsi="Arial;sans-serif"/>
          <w:b w:val="false"/>
          <w:color w:val="000000"/>
          <w:sz w:val="18"/>
        </w:rPr>
        <w:t xml:space="preserve">in the Aerospace Products segment primarily due to an increase in commission expenses due to the increase in sales from the used material program. </w:t>
      </w:r>
    </w:p>
    <w:p>
      <w:pPr>
        <w:pStyle w:val="TextBody"/>
        <w:bidi w:val="0"/>
        <w:spacing w:lineRule="auto" w:line="288" w:before="120" w:after="283"/>
        <w:jc w:val="both"/>
        <w:rPr/>
      </w:pPr>
      <w:r>
        <w:rPr>
          <w:rFonts w:ascii="Arial;sans-serif" w:hAnsi="Arial;sans-serif"/>
          <w:b w:val="false"/>
          <w:color w:val="000000"/>
          <w:sz w:val="18"/>
        </w:rPr>
        <w:t xml:space="preserve">Interest expense decreased </w:t>
      </w:r>
      <w:r>
        <w:rPr>
          <w:rFonts w:ascii="Arial;sans-serif" w:hAnsi="Arial;sans-serif"/>
          <w:b w:val="false"/>
          <w:color w:val="000000"/>
          <w:sz w:val="18"/>
          <w:shd w:fill="FFFFFF" w:val="clear"/>
        </w:rPr>
        <w:t>$14.2 million,</w:t>
      </w:r>
      <w:r>
        <w:rPr>
          <w:color w:val="000000"/>
        </w:rPr>
        <w:t xml:space="preserve"> </w:t>
      </w:r>
      <w:r>
        <w:rPr>
          <w:rFonts w:ascii="Arial;sans-serif" w:hAnsi="Arial;sans-serif"/>
          <w:b w:val="false"/>
          <w:color w:val="000000"/>
          <w:sz w:val="18"/>
        </w:rPr>
        <w:t>which reflects a decrease in the average outstanding debt of approximately $503.5 million due to decreases in (i) the 2021 Bridge Loans of $299.9 million and (ii) the Senior Notes due 2025 of $199.3 million, which were partially redeemed in August 2022, and (iii) the Revolving Credit Facility of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32740"/>
                <wp:effectExtent l="0" t="0" r="0" b="0"/>
                <wp:wrapNone/>
                <wp:docPr id="39" name="Frame3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pPr>
      <w:r>
        <w:rPr>
          <w:rFonts w:ascii="Arial;sans-serif" w:hAnsi="Arial;sans-serif"/>
          <w:b w:val="false"/>
          <w:color w:val="000000"/>
          <w:sz w:val="18"/>
        </w:rPr>
        <w:t>Total other income decreased $64.8 million during the three months ended June 30, 2023 which primarily reflects</w:t>
      </w:r>
      <w:r>
        <w:rPr>
          <w:color w:val="000000"/>
          <w:shd w:fill="FFFFFF" w:val="clear"/>
        </w:rPr>
        <w:t xml:space="preserve"> </w:t>
      </w:r>
      <w:r>
        <w:rPr>
          <w:rFonts w:ascii="Arial;sans-serif" w:hAnsi="Arial;sans-serif"/>
          <w:b w:val="false"/>
          <w:color w:val="000000"/>
          <w:sz w:val="18"/>
          <w:shd w:fill="FFFFFF" w:val="clear"/>
        </w:rPr>
        <w:t>(i) a decrease of $63.6 million</w:t>
      </w:r>
      <w:r>
        <w:rPr>
          <w:color w:val="000000"/>
        </w:rPr>
        <w:t xml:space="preserve"> </w:t>
      </w:r>
      <w:r>
        <w:rPr>
          <w:rFonts w:ascii="Arial;sans-serif" w:hAnsi="Arial;sans-serif"/>
          <w:b w:val="false"/>
          <w:color w:val="000000"/>
          <w:sz w:val="18"/>
        </w:rPr>
        <w:t xml:space="preserve">in Gain on sale of assets, net in the Aviation Leasing and Aerospace Products segments due to the change in presentation of asset sales as described above and </w:t>
      </w:r>
      <w:r>
        <w:rPr>
          <w:rFonts w:ascii="Arial;sans-serif" w:hAnsi="Arial;sans-serif"/>
          <w:b w:val="false"/>
          <w:color w:val="000000"/>
          <w:sz w:val="18"/>
          <w:shd w:fill="FFFFFF" w:val="clear"/>
        </w:rPr>
        <w:t>(ii) a decrease of $0.4 million</w:t>
      </w:r>
      <w:r>
        <w:rPr>
          <w:color w:val="000000"/>
        </w:rPr>
        <w:t xml:space="preserve"> </w:t>
      </w:r>
      <w:r>
        <w:rPr>
          <w:rFonts w:ascii="Arial;sans-serif" w:hAnsi="Arial;sans-serif"/>
          <w:b w:val="false"/>
          <w:color w:val="000000"/>
          <w:sz w:val="18"/>
        </w:rPr>
        <w:t>in Aviation Leasing’s and Aerospace Products’ proportionate share of unconsolidated entities’ net loss. See above discussion regarding presentation of asset sales and impact on Gain on sales of assets, net.</w:t>
      </w:r>
    </w:p>
    <w:p>
      <w:pPr>
        <w:pStyle w:val="TextBody"/>
        <w:bidi w:val="0"/>
        <w:spacing w:lineRule="auto" w:line="288" w:before="120" w:after="283"/>
        <w:jc w:val="both"/>
        <w:rPr/>
      </w:pPr>
      <w:r>
        <w:rPr>
          <w:rFonts w:ascii="Arial;sans-serif" w:hAnsi="Arial;sans-serif"/>
          <w:b w:val="false"/>
          <w:color w:val="000000"/>
          <w:sz w:val="18"/>
        </w:rPr>
        <w:t>Total other income decreased $82.7 million during six months ended June 30, 2023 which primarily reflects</w:t>
      </w:r>
      <w:r>
        <w:rPr>
          <w:color w:val="000000"/>
          <w:shd w:fill="FFFFFF" w:val="clear"/>
        </w:rPr>
        <w:t xml:space="preserve"> </w:t>
      </w:r>
      <w:r>
        <w:rPr>
          <w:rFonts w:ascii="Arial;sans-serif" w:hAnsi="Arial;sans-serif"/>
          <w:b w:val="false"/>
          <w:color w:val="000000"/>
          <w:sz w:val="18"/>
          <w:shd w:fill="FFFFFF" w:val="clear"/>
        </w:rPr>
        <w:t>(i) a decrease of $79.9 million</w:t>
      </w:r>
      <w:r>
        <w:rPr>
          <w:color w:val="000000"/>
        </w:rPr>
        <w:t xml:space="preserve"> </w:t>
      </w:r>
      <w:r>
        <w:rPr>
          <w:rFonts w:ascii="Arial;sans-serif" w:hAnsi="Arial;sans-serif"/>
          <w:b w:val="false"/>
          <w:color w:val="000000"/>
          <w:sz w:val="18"/>
        </w:rPr>
        <w:t xml:space="preserve">in Gain on sale of assets, net in the Aviation Leasing and Aerospace Products segments due to the change in presentation of asset sales as described above and </w:t>
      </w:r>
      <w:r>
        <w:rPr>
          <w:rFonts w:ascii="Arial;sans-serif" w:hAnsi="Arial;sans-serif"/>
          <w:b w:val="false"/>
          <w:color w:val="000000"/>
          <w:sz w:val="18"/>
          <w:shd w:fill="FFFFFF" w:val="clear"/>
        </w:rPr>
        <w:t>(ii) an increase of $1.9 million</w:t>
      </w:r>
      <w:r>
        <w:rPr>
          <w:color w:val="000000"/>
        </w:rPr>
        <w:t xml:space="preserve"> </w:t>
      </w:r>
      <w:r>
        <w:rPr>
          <w:rFonts w:ascii="Arial;sans-serif" w:hAnsi="Arial;sans-serif"/>
          <w:b w:val="false"/>
          <w:color w:val="000000"/>
          <w:sz w:val="18"/>
        </w:rPr>
        <w:t>in Aviation Leasing’s and Aerospace Products’ proportionate share of unconsolidated entities’ net loss. See above discussion regarding presentation of asset sales and impact on Gain on sales of assets, net.</w:t>
      </w:r>
    </w:p>
    <w:p>
      <w:pPr>
        <w:pStyle w:val="TextBody"/>
        <w:bidi w:val="0"/>
        <w:spacing w:lineRule="auto" w:line="288" w:before="120" w:after="283"/>
        <w:jc w:val="both"/>
        <w:rPr>
          <w:rFonts w:ascii="Arial;sans-serif" w:hAnsi="Arial;sans-serif"/>
          <w:b/>
          <w:i/>
          <w:color w:val="00497F"/>
          <w:sz w:val="18"/>
          <w:shd w:fill="FFFFFF" w:val="clear"/>
        </w:rPr>
      </w:pPr>
      <w:r>
        <w:rPr>
          <w:rFonts w:ascii="Arial;sans-serif" w:hAnsi="Arial;sans-serif"/>
          <w:b/>
          <w:i/>
          <w:color w:val="00497F"/>
          <w:sz w:val="18"/>
          <w:shd w:fill="FFFFFF" w:val="clear"/>
        </w:rPr>
        <w:t xml:space="preserve">Net income from continuing operations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Net income from continuing operations increased $9.1 million for the three months ended June 30, 2023 and increased $217.4 million for the six months ended June 30, 2023 as compared to prior years primarily due to the changes noted above.</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Net loss from discontinued operations</w:t>
      </w:r>
    </w:p>
    <w:p>
      <w:pPr>
        <w:pStyle w:val="TextBody"/>
        <w:bidi w:val="0"/>
        <w:spacing w:lineRule="auto" w:line="288" w:before="120" w:after="283"/>
        <w:jc w:val="both"/>
        <w:rPr/>
      </w:pPr>
      <w:r>
        <w:rPr>
          <w:rFonts w:ascii="Arial;sans-serif" w:hAnsi="Arial;sans-serif"/>
          <w:b w:val="false"/>
          <w:color w:val="000000"/>
          <w:sz w:val="18"/>
          <w:shd w:fill="FFFFFF" w:val="clear"/>
        </w:rPr>
        <w:t xml:space="preserve">Net loss from discontinued operations decreased </w:t>
      </w:r>
      <w:r>
        <w:rPr>
          <w:rFonts w:ascii="Arial;sans-serif" w:hAnsi="Arial;sans-serif"/>
          <w:b w:val="false"/>
          <w:color w:val="000000"/>
          <w:sz w:val="18"/>
        </w:rPr>
        <w:t xml:space="preserve">$35.9 million and $86.6 million </w:t>
      </w:r>
      <w:r>
        <w:rPr>
          <w:rFonts w:ascii="Arial;sans-serif" w:hAnsi="Arial;sans-serif"/>
          <w:b w:val="false"/>
          <w:color w:val="000000"/>
          <w:sz w:val="18"/>
          <w:shd w:fill="FFFFFF" w:val="clear"/>
        </w:rPr>
        <w:t>for the</w:t>
      </w:r>
      <w:r>
        <w:rPr>
          <w:color w:val="000000"/>
        </w:rPr>
        <w:t xml:space="preserve"> </w:t>
      </w:r>
      <w:r>
        <w:rPr>
          <w:rFonts w:ascii="Arial;sans-serif" w:hAnsi="Arial;sans-serif"/>
          <w:b w:val="false"/>
          <w:color w:val="000000"/>
          <w:sz w:val="18"/>
        </w:rPr>
        <w:t xml:space="preserve">three and six months ended June 30, 2023, respectively, compared to the prior year </w:t>
      </w:r>
      <w:r>
        <w:rPr>
          <w:rFonts w:ascii="Arial;sans-serif" w:hAnsi="Arial;sans-serif"/>
          <w:b w:val="false"/>
          <w:color w:val="000000"/>
          <w:sz w:val="18"/>
          <w:shd w:fill="FFFFFF" w:val="clear"/>
        </w:rPr>
        <w:t xml:space="preserve">as these businesses have spun off and there is no corresponding activity in the current period.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increased $2.3 million and $85.0 million during the three and six months ended June 30, 2023,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Aviation Leasing Segment </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rPr>
        <w:t>As of June 30, 2023, in our Aviation Leasing segment, we own and manage 344 aviation assets, consisting of 97 commercial aircraft</w:t>
      </w:r>
      <w:r>
        <w:rPr>
          <w:color w:val="000000"/>
        </w:rPr>
        <w:t xml:space="preserve"> </w:t>
      </w:r>
      <w:r>
        <w:rPr>
          <w:rFonts w:ascii="Arial;sans-serif" w:hAnsi="Arial;sans-serif"/>
          <w:b w:val="false"/>
          <w:color w:val="000000"/>
          <w:sz w:val="18"/>
        </w:rPr>
        <w:t>and 247 engines, including four aircraft that were still located in Ukraine and eight aircraft and seventeen engines that were still located in Russia.</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June 30, 2023, 77 of our commercial aircraft and 148 of our engines were leased to operators or other third parties. Aviation assets currently off lease are either undergoing repair and/or maintenance, being prepared to go on lease or held in short term storage awaiting a future lease. Our aviation equipment was approximately 77% utilized during the three months ended June 30, 2023, based on the percent of days on-lease in the quarter weighted by the monthly average equity value of our aviation leasing equipment, excluding airframes. Our aircraft currently have a weighted average remaining lease term of 43 months, and our engines currently on-lease have an average remaining lease term of 10 months. The table below provides additional information on the assets in our Aviation Leasing segment: </w:t>
      </w:r>
    </w:p>
    <w:tbl>
      <w:tblPr>
        <w:tblW w:w="5418" w:type="dxa"/>
        <w:jc w:val="left"/>
        <w:tblInd w:w="0" w:type="dxa"/>
        <w:tblLayout w:type="fixed"/>
        <w:tblCellMar>
          <w:top w:w="28" w:type="dxa"/>
          <w:left w:w="28" w:type="dxa"/>
          <w:bottom w:w="28" w:type="dxa"/>
          <w:right w:w="28" w:type="dxa"/>
        </w:tblCellMar>
      </w:tblPr>
      <w:tblGrid>
        <w:gridCol w:w="766"/>
        <w:gridCol w:w="671"/>
        <w:gridCol w:w="677"/>
        <w:gridCol w:w="300"/>
        <w:gridCol w:w="300"/>
        <w:gridCol w:w="301"/>
        <w:gridCol w:w="109"/>
        <w:gridCol w:w="109"/>
        <w:gridCol w:w="109"/>
        <w:gridCol w:w="360"/>
        <w:gridCol w:w="360"/>
        <w:gridCol w:w="361"/>
        <w:gridCol w:w="109"/>
        <w:gridCol w:w="109"/>
        <w:gridCol w:w="109"/>
        <w:gridCol w:w="218"/>
        <w:gridCol w:w="218"/>
        <w:gridCol w:w="232"/>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Aviation Assets</w:t>
            </w:r>
          </w:p>
        </w:tc>
        <w:tc>
          <w:tcPr>
            <w:tcW w:w="90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Widebody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Narrowbody</w:t>
            </w:r>
          </w:p>
        </w:tc>
        <w:tc>
          <w:tcPr>
            <w:tcW w:w="327" w:type="dxa"/>
            <w:gridSpan w:val="3"/>
            <w:tcBorders/>
            <w:shd w:fill="00497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Aircraft</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2023</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June 30, 2023</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u w:val="single"/>
              </w:rPr>
            </w:pPr>
            <w:r>
              <w:rPr>
                <w:rFonts w:ascii="Arial;sans-serif" w:hAnsi="Arial;sans-serif"/>
                <w:b/>
                <w:i/>
                <w:color w:val="000000"/>
                <w:sz w:val="16"/>
                <w:u w:val="single"/>
              </w:rPr>
              <w:t>Engines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January 1, 2023</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at June 30, 2023</w:t>
            </w:r>
          </w:p>
        </w:tc>
        <w:tc>
          <w:tcPr>
            <w:tcW w:w="6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w:t>
            </w:r>
            <w:r>
              <w:rPr>
                <w:color w:val="000000"/>
              </w:rPr>
              <w:t> </w:t>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32740"/>
                <wp:effectExtent l="0" t="0" r="0" b="0"/>
                <wp:wrapNone/>
                <wp:docPr id="40" name="Frame3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presents our results of operations for our Aviation Leasing segment: </w:t>
      </w:r>
    </w:p>
    <w:tbl>
      <w:tblPr>
        <w:tblW w:w="10205" w:type="dxa"/>
        <w:jc w:val="left"/>
        <w:tblInd w:w="0" w:type="dxa"/>
        <w:tblLayout w:type="fixed"/>
        <w:tblCellMar>
          <w:top w:w="28" w:type="dxa"/>
          <w:left w:w="28" w:type="dxa"/>
          <w:bottom w:w="28" w:type="dxa"/>
          <w:right w:w="28" w:type="dxa"/>
        </w:tblCellMar>
      </w:tblPr>
      <w:tblGrid>
        <w:gridCol w:w="1011"/>
        <w:gridCol w:w="760"/>
        <w:gridCol w:w="718"/>
        <w:gridCol w:w="200"/>
        <w:gridCol w:w="677"/>
        <w:gridCol w:w="111"/>
        <w:gridCol w:w="111"/>
        <w:gridCol w:w="111"/>
        <w:gridCol w:w="111"/>
        <w:gridCol w:w="200"/>
        <w:gridCol w:w="662"/>
        <w:gridCol w:w="111"/>
        <w:gridCol w:w="109"/>
        <w:gridCol w:w="109"/>
        <w:gridCol w:w="109"/>
        <w:gridCol w:w="196"/>
        <w:gridCol w:w="676"/>
        <w:gridCol w:w="109"/>
        <w:gridCol w:w="109"/>
        <w:gridCol w:w="109"/>
        <w:gridCol w:w="109"/>
        <w:gridCol w:w="196"/>
        <w:gridCol w:w="751"/>
        <w:gridCol w:w="109"/>
        <w:gridCol w:w="109"/>
        <w:gridCol w:w="109"/>
        <w:gridCol w:w="109"/>
        <w:gridCol w:w="196"/>
        <w:gridCol w:w="676"/>
        <w:gridCol w:w="109"/>
        <w:gridCol w:w="109"/>
        <w:gridCol w:w="109"/>
        <w:gridCol w:w="109"/>
        <w:gridCol w:w="196"/>
        <w:gridCol w:w="736"/>
        <w:gridCol w:w="164"/>
      </w:tblGrid>
      <w:tr>
        <w:trPr/>
        <w:tc>
          <w:tcPr>
            <w:tcW w:w="10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48,167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Maintenance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42,065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sales revenue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101,486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210,177 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192,031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391,071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237,925 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69,558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7,578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(46,936)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35,713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114,018</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w:t>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earnings of unconsolidated entities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(62,090)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78,386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183,366 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91,412 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183,366 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32740"/>
                <wp:effectExtent l="0" t="0" r="0" b="0"/>
                <wp:wrapNone/>
                <wp:docPr id="41" name="Frame4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sets forth a reconciliation of net income (loss) attributable to shareholders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869"/>
        <w:gridCol w:w="721"/>
        <w:gridCol w:w="714"/>
        <w:gridCol w:w="196"/>
        <w:gridCol w:w="753"/>
        <w:gridCol w:w="109"/>
        <w:gridCol w:w="109"/>
        <w:gridCol w:w="109"/>
        <w:gridCol w:w="109"/>
        <w:gridCol w:w="196"/>
        <w:gridCol w:w="738"/>
        <w:gridCol w:w="109"/>
        <w:gridCol w:w="109"/>
        <w:gridCol w:w="109"/>
        <w:gridCol w:w="109"/>
        <w:gridCol w:w="196"/>
        <w:gridCol w:w="673"/>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shareholders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Depreciation and amortization expense </w:t>
            </w:r>
            <w:r>
              <w:rPr>
                <w:rFonts w:ascii="Arial;sans-serif" w:hAnsi="Arial;sans-serif"/>
                <w:b w:val="false"/>
                <w:color w:val="000000"/>
                <w:sz w:val="10"/>
              </w:rPr>
              <w:t>(1)</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(2)</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125,856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233,412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55,618 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 xml:space="preserve">(1) </w:t>
      </w:r>
      <w:r>
        <w:rPr>
          <w:rFonts w:ascii="Arial;sans-serif" w:hAnsi="Arial;sans-serif"/>
          <w:b w:val="false"/>
          <w:color w:val="000000"/>
          <w:sz w:val="16"/>
          <w:shd w:fill="FFFFFF" w:val="clear"/>
        </w:rPr>
        <w:t xml:space="preserve">Includes the following items for the three months ended June 30, 2023 and 2022: (i) depreciation expense of $35,713 and $37,191, (ii) lease intangible amortization of $3,616 and $3,310 and (iii) amortization for lease incentives of $6,804 and $8,495, respectively. Includes the following items for the six months ended June 30, 2023 and 2022: (i) depreciation expense of $73,853 and $76,419, (ii) lease intangible amortization of $7,599 and $6,968 and (iii) amortization for lease incentives of $10,665 and $16,849, respectively. </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 xml:space="preserve">(2) </w:t>
      </w:r>
      <w:r>
        <w:rPr>
          <w:rFonts w:ascii="Arial;sans-serif" w:hAnsi="Arial;sans-serif"/>
          <w:b w:val="false"/>
          <w:color w:val="000000"/>
          <w:sz w:val="16"/>
          <w:shd w:fill="FFFFFF" w:val="clear"/>
        </w:rPr>
        <w:t xml:space="preserve">Includes the following items for the three months ended June 30, 2023 and 2022: (i) net (loss) income of $(35) and $246 and (ii) depreciation and amortization of $63 and $61, respectively. Includes the following items for the six months ended June 30, 2023 and 2022: (i) net (loss) income of $(134) and $798 and (ii) depreciation and amortization of $126 and $61, respectively. </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 increased $109.6 million driven by an increase in Asset sales revenue, Lease income and Maintenance revenue, partially offset by a decrease in Other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increased $101.5 million primarily due to an increase in the sale of commercial aircraft and engines. See above discussion regarding presentation of asset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increased $10.9 million primarily due to an increase in the number of aircraft and engines placed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Maintenance revenue increased $2.1 million primarily due an increase in the number of aircraft and engines placed on lease, and higher aircraft and engine utilization, partially offset by lower end-of-lease return compensation.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revenue decreased $4.9 million primarily due to lower end-of-lease redelivery compensation.</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 increased $237.9 million driven by an increase in Asset sales revenue, Lease income and Other revenue.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sales revenue increased $210.2 million primarily due to an increase in the sale of commercial aircraft and engines. See above discussion regarding presentation of asset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Lease income increased $25.7 million primarily due to primarily due to an increase in the number of aircraft and engines placed on lease.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Other revenue increased $1.5 million primarily due to an increase in end-of-lease redelivery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32740"/>
                <wp:effectExtent l="0" t="0" r="0" b="0"/>
                <wp:wrapNone/>
                <wp:docPr id="42" name="Frame4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three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expenses increased $68.6 million primarily driven by an increase in Cost of sales, partially offset by a decrease in Depreciation and amortization expense.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$69.6 million primarily as a result of an increase in asset sales and the gross presentation of Asset sales revenues and related costs of sales as described above.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Depreciation and amortization expense decreased $1.5 million driven by an increase in the number of aircraft redelivered and parted out into our engine leasing pool, partially offset by an increase in the number of assets owned and on lease.</w:t>
      </w:r>
    </w:p>
    <w:p>
      <w:pPr>
        <w:pStyle w:val="TextBody"/>
        <w:bidi w:val="0"/>
        <w:spacing w:lineRule="auto" w:line="288" w:before="120" w:after="283"/>
        <w:ind w:left="0" w:right="0" w:hanging="180"/>
        <w:jc w:val="both"/>
        <w:rPr>
          <w:rFonts w:ascii="Arial;sans-serif" w:hAnsi="Arial;sans-serif"/>
          <w:b/>
          <w:color w:val="00497F"/>
          <w:sz w:val="18"/>
        </w:rPr>
      </w:pPr>
      <w:r>
        <w:rPr>
          <w:rFonts w:ascii="Arial;sans-serif" w:hAnsi="Arial;sans-serif"/>
          <w:b/>
          <w:color w:val="00497F"/>
          <w:sz w:val="18"/>
        </w:rPr>
        <w:t>Comparison of the six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$7.9 million primarily driven by a decrease in Asset impairment and Operating expenses, partially offset by an increase in Cost of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Asset impairment decreased $122.5 million primarily due to the write down in 2022 of aircraft and engines located in Ukraine and Russia that may not be recoverable. See Note 4 to the consolidated financial statements for additional information.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decreased $46.9 million primarily as a result of decreases in provision for credit losses and other expenses as a result of the sanctions imposed on Russian airlines in 2022.</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$161.8 million as a result of an increase in asset sales and the gross presentation of Asset sales revenues and related costs of sales as described above.</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$54.7 million during the three months ended June 30, 2023 primarily due to a decrease of $54.8 million in Gain on sale of assets, net in 2022 due to the change in presentation of asset sales as described above.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$62.1 million during the six months ended June 30, 2023 primarily due to a decrease of $61.4 million in Gain on sale of assets, net in 2022 due to the change in presentation of asset sales as described above and a decrease of $0.9 million in Aviation Leasing’s proportionate share of unconsolidated entities’ net income.</w:t>
      </w:r>
    </w:p>
    <w:p>
      <w:pPr>
        <w:pStyle w:val="TextBody"/>
        <w:bidi w:val="0"/>
        <w:spacing w:lineRule="auto" w:line="288" w:before="120" w:after="283"/>
        <w:ind w:left="0" w:right="0" w:hanging="540"/>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Adjusted EBITDA decreased $16.4 million and increased $55.6 million during the three and six months ended June 30, 2023, respectively, primarily due to lower gain on sales period over period and the changes noted above.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Aerospace Products Segment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Aerospace Products segment develops and manufactures through a joint venture, and repairs and sells, through exclusivity arrangements, aircraft engines and aftermarket components primarily for the CFM56-7B and CFM56-5B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 and a 50% interest in Quick Turn Engine Center LLC or “Quick Turn” (previously iAero Thrust LLC), a hospital maintenance and testing facility dedicated to the CFM56 engine.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32740"/>
                <wp:effectExtent l="0" t="0" r="0" b="0"/>
                <wp:wrapNone/>
                <wp:docPr id="43" name="Frame4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075"/>
        <w:gridCol w:w="735"/>
        <w:gridCol w:w="739"/>
        <w:gridCol w:w="201"/>
        <w:gridCol w:w="678"/>
        <w:gridCol w:w="111"/>
        <w:gridCol w:w="111"/>
        <w:gridCol w:w="111"/>
        <w:gridCol w:w="111"/>
        <w:gridCol w:w="201"/>
        <w:gridCol w:w="663"/>
        <w:gridCol w:w="111"/>
        <w:gridCol w:w="109"/>
        <w:gridCol w:w="109"/>
        <w:gridCol w:w="109"/>
        <w:gridCol w:w="196"/>
        <w:gridCol w:w="646"/>
        <w:gridCol w:w="109"/>
        <w:gridCol w:w="109"/>
        <w:gridCol w:w="109"/>
        <w:gridCol w:w="109"/>
        <w:gridCol w:w="196"/>
        <w:gridCol w:w="751"/>
        <w:gridCol w:w="109"/>
        <w:gridCol w:w="109"/>
        <w:gridCol w:w="109"/>
        <w:gridCol w:w="109"/>
        <w:gridCol w:w="196"/>
        <w:gridCol w:w="646"/>
        <w:gridCol w:w="109"/>
        <w:gridCol w:w="109"/>
        <w:gridCol w:w="109"/>
        <w:gridCol w:w="109"/>
        <w:gridCol w:w="196"/>
        <w:gridCol w:w="736"/>
        <w:gridCol w:w="160"/>
      </w:tblGrid>
      <w:tr>
        <w:trPr/>
        <w:tc>
          <w:tcPr>
            <w:tcW w:w="107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Aerospace products revenue</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68,075</w:t>
            </w:r>
            <w:r>
              <w:rPr>
                <w:color w:val="000000"/>
              </w:rPr>
              <w:t>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26,497 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112,378 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34,974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3,236</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38,579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67,616 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(expense) income</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losses of unconsolidated entities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sale of assets, net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(expense) income</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29,151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28,567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28,567</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32740"/>
                <wp:effectExtent l="0" t="0" r="0" b="0"/>
                <wp:wrapNone/>
                <wp:docPr id="44" name="Frame4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following table sets forth a reconciliation of net income attributable to shareholders from continuing operations to Adjusted EBITDA: </w:t>
      </w:r>
    </w:p>
    <w:tbl>
      <w:tblPr>
        <w:tblW w:w="10205" w:type="dxa"/>
        <w:jc w:val="left"/>
        <w:tblInd w:w="0" w:type="dxa"/>
        <w:tblLayout w:type="fixed"/>
        <w:tblCellMar>
          <w:top w:w="28" w:type="dxa"/>
          <w:left w:w="28" w:type="dxa"/>
          <w:bottom w:w="28" w:type="dxa"/>
          <w:right w:w="28" w:type="dxa"/>
        </w:tblCellMar>
      </w:tblPr>
      <w:tblGrid>
        <w:gridCol w:w="1018"/>
        <w:gridCol w:w="856"/>
        <w:gridCol w:w="851"/>
        <w:gridCol w:w="201"/>
        <w:gridCol w:w="679"/>
        <w:gridCol w:w="111"/>
        <w:gridCol w:w="111"/>
        <w:gridCol w:w="111"/>
        <w:gridCol w:w="111"/>
        <w:gridCol w:w="201"/>
        <w:gridCol w:w="664"/>
        <w:gridCol w:w="111"/>
        <w:gridCol w:w="109"/>
        <w:gridCol w:w="109"/>
        <w:gridCol w:w="109"/>
        <w:gridCol w:w="196"/>
        <w:gridCol w:w="646"/>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62"/>
      </w:tblGrid>
      <w:tr>
        <w:trPr/>
        <w:tc>
          <w:tcPr>
            <w:tcW w:w="10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attributable to shareholders from continuing operations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28,567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53,596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income taxes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Add: Pro-rata share of Adjusted EBITDA from unconsolidated entities </w:t>
            </w:r>
            <w:r>
              <w:rPr>
                <w:rFonts w:ascii="Arial;sans-serif" w:hAnsi="Arial;sans-serif"/>
                <w:b w:val="false"/>
                <w:color w:val="000000"/>
                <w:sz w:val="10"/>
              </w:rPr>
              <w:t>(1)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of unconsolidated entities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30,057</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57,434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________________________________________________________</w:t>
      </w:r>
    </w:p>
    <w:p>
      <w:pPr>
        <w:pStyle w:val="TextBody"/>
        <w:bidi w:val="0"/>
        <w:spacing w:lineRule="auto" w:line="288" w:before="120" w:after="283"/>
        <w:ind w:left="0" w:right="0" w:hanging="180"/>
        <w:jc w:val="both"/>
        <w:rPr/>
      </w:pPr>
      <w:r>
        <w:rPr>
          <w:rFonts w:ascii="Arial;sans-serif" w:hAnsi="Arial;sans-serif"/>
          <w:b w:val="false"/>
          <w:color w:val="000000"/>
          <w:sz w:val="10"/>
          <w:shd w:fill="FFFFFF" w:val="clear"/>
        </w:rPr>
        <w:t>(1)</w:t>
      </w:r>
      <w:r>
        <w:rPr>
          <w:color w:val="000000"/>
          <w:shd w:fill="FFFFFF" w:val="clear"/>
        </w:rPr>
        <w:t xml:space="preserve"> </w:t>
      </w:r>
      <w:r>
        <w:rPr>
          <w:rFonts w:ascii="Arial;sans-serif" w:hAnsi="Arial;sans-serif"/>
          <w:b w:val="false"/>
          <w:color w:val="000000"/>
          <w:sz w:val="16"/>
          <w:shd w:fill="FFFFFF" w:val="clear"/>
        </w:rPr>
        <w:t>Includes the following items for the three months ended June 30, 2023 and 2022: (i) net loss of $345 and $211, (ii) depreciation and amortization expense of $372 and $56 and (iii) acquisition and transaction expense of $95 and $0, respectively. Includes the following items for the six months ended June 30, 2023 and 2022: (i) net loss of $1,581 and $565, (ii) depreciation and amortization expense of $709 and $112 and (iii) acquisition and transaction expense of $334 and $0, respectively</w:t>
      </w:r>
      <w:r>
        <w:rPr>
          <w:rFonts w:ascii="Arial;sans-serif" w:hAnsi="Arial;sans-serif"/>
          <w:b w:val="false"/>
          <w:color w:val="000000"/>
          <w:sz w:val="16"/>
        </w:rPr>
        <w: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Aerospace products revenue increased $41.6 million and $112.4 million during the three and six months ended June 30, 2023 primarily driven by an increase in sales relating to the CFM56-7B and CFM56-5B engines, engine modules, spare parts and used material inventory as operations continued to ramp-up in 2023.</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$20.4 million during the three months ended June 30, 2023 primarily due to an increase in Cost of sales of $19.8 million as a result of an increase in Aerospace product sales and the gross presentation described above.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Total expenses increased $67.6 million primarily due to an increase in Cost of sales and Operating expenses during the six months ended June 30, 2023.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Cost of sales increased $64.2 million primarily as a result of an increase in Aerospace products sales and the gross presentation described above.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Operating expenses increased $2.3 million primarily due to an increase in commission expenses due to the increase in sales from the used material program.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Other income (expense)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$9.0 million primarily due to a decrease of $8.9 million in Gain on sale of assets, net during the three months ended June 30, 2023. See above discussion regarding presentation of asset sales.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other income decreased $19.6 million primarily due to a decrease of $18.6 million in Gain on sale of assets, net and an increase of $1.0 million in our proportionate share of unconsolidated entities’ net loss during the six months ended June 30, 2023. See above discussion regarding presentation of asset sales.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EBITDA increased $13.0 million and $27.3 million during the three and six months ended</w:t>
      </w:r>
      <w:r>
        <w:rPr>
          <w:color w:val="000000"/>
        </w:rPr>
        <w:t xml:space="preserve"> </w:t>
      </w:r>
      <w:r>
        <w:rPr>
          <w:rFonts w:ascii="Arial;sans-serif" w:hAnsi="Arial;sans-serif"/>
          <w:b w:val="false"/>
          <w:color w:val="000000"/>
          <w:sz w:val="18"/>
        </w:rPr>
        <w:t>June 30, 2023,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32740"/>
                <wp:effectExtent l="0" t="0" r="0" b="0"/>
                <wp:wrapNone/>
                <wp:docPr id="45" name="Frame4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Corporate and Other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presents our results of operations:</w:t>
      </w:r>
    </w:p>
    <w:tbl>
      <w:tblPr>
        <w:tblW w:w="10205" w:type="dxa"/>
        <w:jc w:val="left"/>
        <w:tblInd w:w="0" w:type="dxa"/>
        <w:tblLayout w:type="fixed"/>
        <w:tblCellMar>
          <w:top w:w="28" w:type="dxa"/>
          <w:left w:w="28" w:type="dxa"/>
          <w:bottom w:w="28" w:type="dxa"/>
          <w:right w:w="28" w:type="dxa"/>
        </w:tblCellMar>
      </w:tblPr>
      <w:tblGrid>
        <w:gridCol w:w="1068"/>
        <w:gridCol w:w="751"/>
        <w:gridCol w:w="755"/>
        <w:gridCol w:w="197"/>
        <w:gridCol w:w="685"/>
        <w:gridCol w:w="109"/>
        <w:gridCol w:w="109"/>
        <w:gridCol w:w="109"/>
        <w:gridCol w:w="109"/>
        <w:gridCol w:w="197"/>
        <w:gridCol w:w="685"/>
        <w:gridCol w:w="109"/>
        <w:gridCol w:w="109"/>
        <w:gridCol w:w="109"/>
        <w:gridCol w:w="109"/>
        <w:gridCol w:w="196"/>
        <w:gridCol w:w="556"/>
        <w:gridCol w:w="109"/>
        <w:gridCol w:w="109"/>
        <w:gridCol w:w="109"/>
        <w:gridCol w:w="109"/>
        <w:gridCol w:w="196"/>
        <w:gridCol w:w="768"/>
        <w:gridCol w:w="109"/>
        <w:gridCol w:w="109"/>
        <w:gridCol w:w="109"/>
        <w:gridCol w:w="109"/>
        <w:gridCol w:w="196"/>
        <w:gridCol w:w="768"/>
        <w:gridCol w:w="109"/>
        <w:gridCol w:w="109"/>
        <w:gridCol w:w="109"/>
        <w:gridCol w:w="109"/>
        <w:gridCol w:w="196"/>
        <w:gridCol w:w="646"/>
        <w:gridCol w:w="165"/>
      </w:tblGrid>
      <w:tr>
        <w:trPr/>
        <w:tc>
          <w:tcPr>
            <w:tcW w:w="106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income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Expenses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and transaction expenses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fees and incentive allocation to affiliate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expenses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income</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Loss before income taxes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(50,929)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(51,113)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(104,555)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 in consolidated subsidiaries</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on preferred shares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 from continuing operations</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(59,448)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(119,681)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6,863 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32740"/>
                <wp:effectExtent l="0" t="0" r="0" b="0"/>
                <wp:wrapNone/>
                <wp:docPr id="46" name="Frame4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following table sets forth a reconciliation of net loss attributable to shareholders from continuing operations to Adjusted EBITDA:</w:t>
      </w:r>
    </w:p>
    <w:tbl>
      <w:tblPr>
        <w:tblW w:w="10205" w:type="dxa"/>
        <w:jc w:val="left"/>
        <w:tblInd w:w="0" w:type="dxa"/>
        <w:tblLayout w:type="fixed"/>
        <w:tblCellMar>
          <w:top w:w="28" w:type="dxa"/>
          <w:left w:w="28" w:type="dxa"/>
          <w:bottom w:w="28" w:type="dxa"/>
          <w:right w:w="28" w:type="dxa"/>
        </w:tblCellMar>
      </w:tblPr>
      <w:tblGrid>
        <w:gridCol w:w="998"/>
        <w:gridCol w:w="838"/>
        <w:gridCol w:w="832"/>
        <w:gridCol w:w="197"/>
        <w:gridCol w:w="684"/>
        <w:gridCol w:w="109"/>
        <w:gridCol w:w="109"/>
        <w:gridCol w:w="109"/>
        <w:gridCol w:w="109"/>
        <w:gridCol w:w="197"/>
        <w:gridCol w:w="684"/>
        <w:gridCol w:w="109"/>
        <w:gridCol w:w="109"/>
        <w:gridCol w:w="109"/>
        <w:gridCol w:w="109"/>
        <w:gridCol w:w="196"/>
        <w:gridCol w:w="556"/>
        <w:gridCol w:w="109"/>
        <w:gridCol w:w="109"/>
        <w:gridCol w:w="109"/>
        <w:gridCol w:w="109"/>
        <w:gridCol w:w="196"/>
        <w:gridCol w:w="767"/>
        <w:gridCol w:w="109"/>
        <w:gridCol w:w="109"/>
        <w:gridCol w:w="109"/>
        <w:gridCol w:w="109"/>
        <w:gridCol w:w="196"/>
        <w:gridCol w:w="767"/>
        <w:gridCol w:w="109"/>
        <w:gridCol w:w="109"/>
        <w:gridCol w:w="109"/>
        <w:gridCol w:w="109"/>
        <w:gridCol w:w="196"/>
        <w:gridCol w:w="556"/>
        <w:gridCol w:w="165"/>
      </w:tblGrid>
      <w:tr>
        <w:trPr/>
        <w:tc>
          <w:tcPr>
            <w:tcW w:w="99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attributable to shareholders from continuing operations</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(benefit from) income taxes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Equity-based compensation expense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Acquisition and transaction expenses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Losses on the modification or extinguishment of debt and capital lease obligations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Changes in fair value of non-hedge derivative instruments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Asset impairment charges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Incentive allocations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Depreciation and amortization expense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Interest expense and dividends on preferred shares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(12,695)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Pro-rata share of Adjusted EBITDA from unconsolidated entities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Equity in losses (earnings) of unconsolidated entities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Non-controlling share of Adjusted EBITDA</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(non-GAAP)</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i/>
          <w:color w:val="00497F"/>
          <w:sz w:val="18"/>
        </w:rPr>
      </w:pPr>
      <w:r>
        <w:rPr>
          <w:rFonts w:ascii="Arial;sans-serif" w:hAnsi="Arial;sans-serif"/>
          <w:b/>
          <w:i/>
          <w:color w:val="00497F"/>
          <w:sz w:val="18"/>
        </w:rPr>
        <w:t>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revenues increased $11.1 million and $13.0 million during the three and six months ended June 30, 2023 primarily due to an increase in the Offshore Energy business driven by increased number of days on-hire for one of our vessels.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Expenses</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three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decreased $0.6 million primarily due to lower Interest expense and Acquisition and transaction expenses, partially offset by higher Management fees and incentive allocation to affiliate and Operating expenses.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expense decreased $9.4 million, which reflects a decrease in the average outstanding debt of approximately $581.0 million due to decreases in (i) the 2021 Bridge Loans of $339.8 million, (ii) the Senior Notes due 2025 of $199.4 million, which were partially redeemed in August 2022, and (iii) the Revolving Credit Facility of $41.8 million.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decreased $1.8 million primarily due to lower professional fees related to strategic transactions.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increased $5.6 million primarily due to an increase in incentive fee due to the Manager.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$5.1 million which reflects increases in offshore crew expenses, project costs and other operating expenses for one of our vessels driven by increased cost of operations based on the operating location of the vessel as well as increased number of days on-hire.</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Comparison of the six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Total expenses increased $2.8 million primarily due to higher Operating expenses and Management fees and incentive allocation to affiliate, partially offset by lower Interest expense and Acquisition and transaction expenses.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Operating expenses increased $11.2 million which reflects increases in offshore crew expenses, project costs and other operating expenses for one of our vessels driven by increased cost of operations based on the operating location of the vessel as well as increased number of days on-hire.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Management fees and incentive allocation to affiliate increased $8.6 million primarily due to an increase in incentive fee due to the Manager.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Interest expense decreased $14.2 million, which reflects a decrease in the average outstanding debt of approximately $503.5 million due to decreases in (i) the 2021 Bridge Loans of $299.9 million and (ii) the Senior Notes due 2025 of $199.3 million, which were partially redeemed in August 2022, and (iii) the Revolving Credit Facility of $4.3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32740"/>
                <wp:effectExtent l="0" t="0" r="0" b="0"/>
                <wp:wrapNone/>
                <wp:docPr id="47" name="Frame4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Acquisition and transaction expense decreased $2.8 million primarily due to lower professional fees related to strategic transactions.</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Adjusted EBITDA (Non-GAAP)</w:t>
      </w:r>
    </w:p>
    <w:p>
      <w:pPr>
        <w:pStyle w:val="TextBody"/>
        <w:bidi w:val="0"/>
        <w:spacing w:lineRule="auto" w:line="288" w:before="120" w:after="283"/>
        <w:jc w:val="both"/>
        <w:rPr/>
      </w:pPr>
      <w:r>
        <w:rPr>
          <w:rFonts w:ascii="Arial;sans-serif" w:hAnsi="Arial;sans-serif"/>
          <w:b w:val="false"/>
          <w:color w:val="000000"/>
          <w:sz w:val="18"/>
        </w:rPr>
        <w:t>Adjusted EBITDA increased $5.7 million and $2.1 million during the three and six months ended</w:t>
      </w:r>
      <w:r>
        <w:rPr>
          <w:color w:val="000000"/>
        </w:rPr>
        <w:t xml:space="preserve"> </w:t>
      </w:r>
      <w:r>
        <w:rPr>
          <w:rFonts w:ascii="Arial;sans-serif" w:hAnsi="Arial;sans-serif"/>
          <w:b w:val="false"/>
          <w:color w:val="000000"/>
          <w:sz w:val="18"/>
        </w:rPr>
        <w:t>June 30, 2023, respectively, primarily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Liquidity and Capital Resources </w:t>
      </w:r>
    </w:p>
    <w:p>
      <w:pPr>
        <w:pStyle w:val="TextBody"/>
        <w:bidi w:val="0"/>
        <w:spacing w:lineRule="auto" w:line="288" w:before="120" w:after="283"/>
        <w:jc w:val="both"/>
        <w:rPr/>
      </w:pPr>
      <w:r>
        <w:rPr>
          <w:rFonts w:ascii="Arial;sans-serif" w:hAnsi="Arial;sans-serif"/>
          <w:b w:val="false"/>
          <w:color w:val="000000"/>
          <w:sz w:val="18"/>
        </w:rPr>
        <w:t xml:space="preserve">We believe we have sufficient liquidity to satisfy our cash needs, however, we continue to evaluate and take action, as necessary, to preserve adequate liquidity and ensure that our business can continue to operate during these uncertain times. </w:t>
      </w:r>
      <w:r>
        <w:rPr>
          <w:rFonts w:ascii="Arial;sans-serif" w:hAnsi="Arial;sans-serif"/>
          <w:b w:val="false"/>
          <w:color w:val="000000"/>
          <w:sz w:val="18"/>
          <w:shd w:fill="FFFFFF" w:val="clear"/>
        </w:rPr>
        <w:t>This includes limiting discretionary spending across the organization and re-prioritizing our investments amid market volatility.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uses of liquidity have been and continue to be (i) acquisitions of aircraft and engines, (ii) dividends to our ordinary and preferred shareholders, (iii) expenses associated with our operating activities, and (iv) debt service obligations associated with our investments.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Cash used for the purpose of making investments was $380.8 million</w:t>
      </w:r>
      <w:r>
        <w:rPr>
          <w:color w:val="000000"/>
          <w:shd w:fill="FFFFFF" w:val="clear"/>
        </w:rPr>
        <w:t xml:space="preserve"> </w:t>
      </w:r>
      <w:r>
        <w:rPr>
          <w:rFonts w:ascii="Arial;sans-serif" w:hAnsi="Arial;sans-serif"/>
          <w:b w:val="false"/>
          <w:color w:val="000000"/>
          <w:sz w:val="18"/>
          <w:shd w:fill="FFFFFF" w:val="clear"/>
        </w:rPr>
        <w:t xml:space="preserve">and $457.9 million during the six months ended June 30, 2023 and 2022,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Dividends to shareholders and holders of eligible participating securities were $75.0 million</w:t>
      </w:r>
      <w:r>
        <w:rPr>
          <w:color w:val="000000"/>
          <w:shd w:fill="FFFFFF" w:val="clear"/>
        </w:rPr>
        <w:t xml:space="preserve"> </w:t>
      </w:r>
      <w:r>
        <w:rPr>
          <w:rFonts w:ascii="Arial;sans-serif" w:hAnsi="Arial;sans-serif"/>
          <w:b w:val="false"/>
          <w:color w:val="000000"/>
          <w:sz w:val="18"/>
          <w:shd w:fill="FFFFFF" w:val="clear"/>
        </w:rPr>
        <w:t xml:space="preserve">and $79.4 million during the six months ended June 30, 2023 and 2022, respectively.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Uses of liquidity associated with our operating expenses are captured on a net basis in our cash flows from operating activities. Uses of liquidity associated with our debt obligations are captured in our cash flows from financing activities.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Cash flows provided by operating activities, plus the principal collections on finance leases and maintenance reserve collectio</w:t>
      </w:r>
      <w:r>
        <w:rPr>
          <w:rFonts w:ascii="Arial;sans-serif" w:hAnsi="Arial;sans-serif"/>
          <w:b w:val="false"/>
          <w:color w:val="000000"/>
          <w:sz w:val="18"/>
          <w:shd w:fill="FFFFFF" w:val="clear"/>
        </w:rPr>
        <w:t xml:space="preserve">ns were </w:t>
      </w:r>
      <w:r>
        <w:rPr>
          <w:rFonts w:ascii="Arial;sans-serif" w:hAnsi="Arial;sans-serif"/>
          <w:b w:val="false"/>
          <w:color w:val="000000"/>
          <w:sz w:val="18"/>
        </w:rPr>
        <w:t>$87.3 million</w:t>
      </w:r>
      <w:r>
        <w:rPr>
          <w:color w:val="000000"/>
          <w:shd w:fill="FFFFFF" w:val="clear"/>
        </w:rPr>
        <w:t xml:space="preserve"> </w:t>
      </w:r>
      <w:r>
        <w:rPr>
          <w:rFonts w:ascii="Arial;sans-serif" w:hAnsi="Arial;sans-serif"/>
          <w:b w:val="false"/>
          <w:color w:val="000000"/>
          <w:sz w:val="18"/>
          <w:shd w:fill="FFFFFF" w:val="clear"/>
        </w:rPr>
        <w:t xml:space="preserve">during the six months ended June 30, 2023. Cash flows used in operating activities, </w:t>
      </w:r>
      <w:r>
        <w:rPr>
          <w:rFonts w:ascii="Arial;sans-serif" w:hAnsi="Arial;sans-serif"/>
          <w:b w:val="false"/>
          <w:color w:val="000000"/>
          <w:sz w:val="18"/>
        </w:rPr>
        <w:t>plus the principal collections on finance leases and maintenance reserve collectio</w:t>
      </w:r>
      <w:r>
        <w:rPr>
          <w:rFonts w:ascii="Arial;sans-serif" w:hAnsi="Arial;sans-serif"/>
          <w:b w:val="false"/>
          <w:color w:val="000000"/>
          <w:sz w:val="18"/>
          <w:shd w:fill="FFFFFF" w:val="clear"/>
        </w:rPr>
        <w:t>ns were $23.6 million during the six months ended June 30, 2022</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During the six months ended June 30, 2023, additional borrowings and total principal repayments in connection with the Revolving Credit Facility were $325.0 million and $330.0 million, respectively. During the six months ended June 30, 2022, additional borrowings were obtained in connection with the (i) 2021 Bridge Loa</w:t>
      </w:r>
      <w:r>
        <w:rPr>
          <w:rFonts w:ascii="Arial;sans-serif" w:hAnsi="Arial;sans-serif"/>
          <w:b w:val="false"/>
          <w:color w:val="000000"/>
          <w:sz w:val="18"/>
          <w:shd w:fill="FFFFFF" w:val="clear"/>
        </w:rPr>
        <w:t>ns of $239.5 million, (ii) Revolving Credit Facility of $255.0 million and (iii) EB-5 Loan Agreement of $9.5 million.</w:t>
      </w:r>
      <w:r>
        <w:rPr>
          <w:color w:val="000000"/>
        </w:rPr>
        <w:t xml:space="preserve"> </w:t>
      </w:r>
      <w:r>
        <w:rPr>
          <w:rFonts w:ascii="Arial;sans-serif" w:hAnsi="Arial;sans-serif"/>
          <w:b w:val="false"/>
          <w:color w:val="000000"/>
          <w:sz w:val="18"/>
        </w:rPr>
        <w:t>We made total principal repaymen</w:t>
      </w:r>
      <w:r>
        <w:rPr>
          <w:rFonts w:ascii="Arial;sans-serif" w:hAnsi="Arial;sans-serif"/>
          <w:b w:val="false"/>
          <w:color w:val="000000"/>
          <w:sz w:val="18"/>
          <w:shd w:fill="FFFFFF" w:val="clear"/>
        </w:rPr>
        <w:t>ts of $224.5 million relating t</w:t>
      </w:r>
      <w:r>
        <w:rPr>
          <w:rFonts w:ascii="Arial;sans-serif" w:hAnsi="Arial;sans-serif"/>
          <w:b w:val="false"/>
          <w:color w:val="000000"/>
          <w:sz w:val="18"/>
        </w:rPr>
        <w:t>o the Revolving Credit Facility.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 xml:space="preserve">Proceeds from the sale of assets were $273.2 million and </w:t>
      </w:r>
      <w:r>
        <w:rPr>
          <w:rFonts w:ascii="Arial;sans-serif" w:hAnsi="Arial;sans-serif"/>
          <w:b w:val="false"/>
          <w:color w:val="000000"/>
          <w:sz w:val="18"/>
          <w:shd w:fill="FFFFFF" w:val="clear"/>
        </w:rPr>
        <w:t>$142.3 million d</w:t>
      </w:r>
      <w:r>
        <w:rPr>
          <w:rFonts w:ascii="Arial;sans-serif" w:hAnsi="Arial;sans-serif"/>
          <w:b w:val="false"/>
          <w:color w:val="000000"/>
          <w:sz w:val="18"/>
        </w:rPr>
        <w:t xml:space="preserve">uring the six months ended June 30, 2023 and 2022, respectively. </w:t>
      </w:r>
    </w:p>
    <w:p>
      <w:pPr>
        <w:pStyle w:val="TextBody"/>
        <w:bidi w:val="0"/>
        <w:spacing w:lineRule="auto" w:line="288" w:before="120" w:after="283"/>
        <w:ind w:left="0" w:right="0" w:hanging="360"/>
        <w:jc w:val="both"/>
        <w:rPr/>
      </w:pPr>
      <w:r>
        <w:rPr>
          <w:color w:val="000000"/>
          <w:shd w:fill="FFFFFF" w:val="clear"/>
        </w:rPr>
        <w:t>•</w:t>
      </w:r>
      <w:r>
        <w:rPr>
          <w:rFonts w:ascii="Arial;sans-serif" w:hAnsi="Arial;sans-serif"/>
          <w:b w:val="false"/>
          <w:color w:val="000000"/>
          <w:sz w:val="18"/>
        </w:rPr>
        <w:t xml:space="preserve">Proceeds from the issuance of preferred shares, net of underwriter’s discount and issuance costs were </w:t>
      </w:r>
      <w:r>
        <w:rPr>
          <w:rFonts w:ascii="Arial;sans-serif" w:hAnsi="Arial;sans-serif"/>
          <w:b w:val="false"/>
          <w:color w:val="000000"/>
          <w:sz w:val="18"/>
          <w:shd w:fill="FFFFFF" w:val="clear"/>
        </w:rPr>
        <w:t>$61.7 million</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shd w:fill="FFFFFF" w:val="clear"/>
        </w:rPr>
        <w:t xml:space="preserve">$0.0 million </w:t>
      </w:r>
      <w:r>
        <w:rPr>
          <w:rFonts w:ascii="Arial;sans-serif" w:hAnsi="Arial;sans-serif"/>
          <w:b w:val="false"/>
          <w:color w:val="000000"/>
          <w:sz w:val="18"/>
        </w:rPr>
        <w:t>during the six months ended June 30, 2023 and 2022,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currently evaluating several potential transactions and related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32740"/>
                <wp:effectExtent l="0" t="0" r="0" b="0"/>
                <wp:wrapNone/>
                <wp:docPr id="48" name="Frame4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 xml:space="preserve">Historical Cash Flow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Comparison of the six months ended June 30, 2023 and 2022</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table compares the historical cash flow from continuing and discontinued operations for the six months ended June 30, 2023 and 2022:</w:t>
      </w:r>
    </w:p>
    <w:tbl>
      <w:tblPr>
        <w:tblW w:w="6129" w:type="dxa"/>
        <w:jc w:val="left"/>
        <w:tblInd w:w="0" w:type="dxa"/>
        <w:tblLayout w:type="fixed"/>
        <w:tblCellMar>
          <w:top w:w="28" w:type="dxa"/>
          <w:left w:w="28" w:type="dxa"/>
          <w:bottom w:w="28" w:type="dxa"/>
          <w:right w:w="28" w:type="dxa"/>
        </w:tblCellMar>
      </w:tblPr>
      <w:tblGrid>
        <w:gridCol w:w="1364"/>
        <w:gridCol w:w="1198"/>
        <w:gridCol w:w="1203"/>
        <w:gridCol w:w="196"/>
        <w:gridCol w:w="661"/>
        <w:gridCol w:w="109"/>
        <w:gridCol w:w="109"/>
        <w:gridCol w:w="109"/>
        <w:gridCol w:w="109"/>
        <w:gridCol w:w="196"/>
        <w:gridCol w:w="721"/>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18"/>
        </w:rPr>
        <w:t xml:space="preserve">Net cash provided by operating activities increased $115.8 million, which primarily reflects (i) an increase in Net income of $304.0 million and (ii) Changes in working capital of $50.9 million, partially offset by certain adjustments to reconcile net income to Cash used in operating activities including, (iii) Asset impairment of </w:t>
      </w:r>
      <w:r>
        <w:rPr>
          <w:rFonts w:ascii="Arial;sans-serif" w:hAnsi="Arial;sans-serif"/>
          <w:b w:val="false"/>
          <w:color w:val="000000"/>
          <w:sz w:val="18"/>
          <w:shd w:fill="FFFFFF" w:val="clear"/>
        </w:rPr>
        <w:t>$122.5 million</w:t>
      </w:r>
      <w:r>
        <w:rPr>
          <w:rFonts w:ascii="Arial;sans-serif" w:hAnsi="Arial;sans-serif"/>
          <w:b w:val="false"/>
          <w:color w:val="000000"/>
          <w:sz w:val="18"/>
        </w:rPr>
        <w:t xml:space="preserve">, (iv) Provision for credit losses of $46.2 million, (v) Equity in losses of unconsolidated entities of </w:t>
      </w:r>
      <w:r>
        <w:rPr>
          <w:rFonts w:ascii="Arial;sans-serif" w:hAnsi="Arial;sans-serif"/>
          <w:b w:val="false"/>
          <w:color w:val="000000"/>
          <w:sz w:val="18"/>
          <w:shd w:fill="FFFFFF" w:val="clear"/>
        </w:rPr>
        <w:t>$36.1 million</w:t>
      </w:r>
      <w:r>
        <w:rPr>
          <w:color w:val="000000"/>
        </w:rPr>
        <w:t xml:space="preserve"> </w:t>
      </w:r>
      <w:r>
        <w:rPr>
          <w:rFonts w:ascii="Arial;sans-serif" w:hAnsi="Arial;sans-serif"/>
          <w:b w:val="false"/>
          <w:color w:val="000000"/>
          <w:sz w:val="18"/>
        </w:rPr>
        <w:t>and (vi) Depreciation and amortization of $35.5 million.</w:t>
      </w:r>
    </w:p>
    <w:p>
      <w:pPr>
        <w:pStyle w:val="TextBody"/>
        <w:bidi w:val="0"/>
        <w:spacing w:lineRule="auto" w:line="288" w:before="120" w:after="283"/>
        <w:jc w:val="both"/>
        <w:rPr/>
      </w:pPr>
      <w:r>
        <w:rPr>
          <w:rFonts w:ascii="Arial;sans-serif" w:hAnsi="Arial;sans-serif"/>
          <w:b w:val="false"/>
          <w:color w:val="000000"/>
          <w:sz w:val="18"/>
        </w:rPr>
        <w:t>Net cash used in investing activities decreased $204.9 million, primarily due to (i) higher Proceeds from the sale of leasing equipment of $135.2 million and (ii) a decrease in Acquisitions of property, plant and equipment of $116.4 million partially offset by (iii) an increase in Investment in unconsolidated entities of $17.3 million</w:t>
      </w:r>
      <w:r>
        <w:rPr>
          <w:rFonts w:ascii="Arial;sans-serif" w:hAnsi="Arial;sans-serif"/>
          <w:b w:val="false"/>
          <w:color w:val="000000"/>
          <w:sz w:val="18"/>
          <w:shd w:fill="FFFFFF" w:val="clear"/>
        </w:rPr>
        <w:t xml:space="preserve">, (iv) a decrease in Proceeds for deposit on sale of aircraft and engine of </w:t>
      </w:r>
      <w:r>
        <w:rPr>
          <w:rFonts w:ascii="Arial;sans-serif" w:hAnsi="Arial;sans-serif"/>
          <w:b w:val="false"/>
          <w:color w:val="000000"/>
          <w:sz w:val="18"/>
        </w:rPr>
        <w:t>$6.4 million, (v) an increase in Acquisition of lease intangibles of $5.5 million and (vi) an increase in Acquisitions of leasing equipment of $4.7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Net cash provided by financing activities decreased $209.4 million, primarily due to (i) a decrease in Proceeds from debt of $179.0 million, and (ii) an increase in Repayments of debt of $105.3 million partially offset by (iii) an increase in Proceeds from the issuance of preferred shares of $61.7 million, and (iv) a decrease in Payments of deferred financing costs of $13.0 million.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also have current availability for borrowing of up to $155.0 million. </w:t>
      </w: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Cash Flow of Discontinued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cash flows related to discontinued operations have not been segregated and are included in the Consolidated Statements of Cash Flows for all periods presented.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The absence of cash flows from discontinued operations is not expected to adversely affect our liquidity or our ability to fund capital expenditures or working capital needs. The discontinued operations historically generate negative operating and investing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497F"/>
          <w:sz w:val="18"/>
        </w:rPr>
      </w:pPr>
      <w:r>
        <w:rPr>
          <w:rFonts w:ascii="Arial;sans-serif" w:hAnsi="Arial;sans-serif"/>
          <w:b/>
          <w:color w:val="00497F"/>
          <w:sz w:val="18"/>
        </w:rPr>
        <w:t xml:space="preserve">Contractual Obligations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material cash requirements include the following contractual and other obligations:</w:t>
      </w:r>
    </w:p>
    <w:p>
      <w:pPr>
        <w:pStyle w:val="TextBody"/>
        <w:bidi w:val="0"/>
        <w:spacing w:lineRule="auto" w:line="288" w:before="120" w:after="283"/>
        <w:jc w:val="both"/>
        <w:rPr/>
      </w:pPr>
      <w:r>
        <w:rPr>
          <w:rFonts w:ascii="Arial;sans-serif" w:hAnsi="Arial;sans-serif"/>
          <w:b/>
          <w:i/>
          <w:color w:val="00497F"/>
          <w:sz w:val="18"/>
        </w:rPr>
        <w:t>Debt Obligations</w:t>
      </w:r>
      <w:r>
        <w:rPr>
          <w:color w:val="00497F"/>
        </w:rPr>
        <w:t>—</w:t>
      </w:r>
      <w:r>
        <w:rPr>
          <w:rFonts w:ascii="Arial;sans-serif" w:hAnsi="Arial;sans-serif"/>
          <w:b w:val="false"/>
          <w:color w:val="000000"/>
          <w:sz w:val="18"/>
        </w:rPr>
        <w:t>As of June 30, 2023, we had outstanding principal and interest payment obligations of $2.2 billion</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$0.6 billion, respectively, of which only interest payments of $152.2 million are due in the next twelve months. See Note 7 to the consolidated financial statements for additional information about our debt obligations.</w:t>
      </w:r>
    </w:p>
    <w:p>
      <w:pPr>
        <w:pStyle w:val="TextBody"/>
        <w:bidi w:val="0"/>
        <w:spacing w:lineRule="auto" w:line="288" w:before="120" w:after="283"/>
        <w:jc w:val="both"/>
        <w:rPr/>
      </w:pPr>
      <w:r>
        <w:rPr>
          <w:rFonts w:ascii="Arial;sans-serif" w:hAnsi="Arial;sans-serif"/>
          <w:b/>
          <w:i/>
          <w:color w:val="00497F"/>
          <w:sz w:val="18"/>
        </w:rPr>
        <w:t>Lease Obligations</w:t>
      </w:r>
      <w:r>
        <w:rPr>
          <w:color w:val="000000"/>
        </w:rPr>
        <w:t>—</w:t>
      </w:r>
      <w:r>
        <w:rPr>
          <w:rFonts w:ascii="Arial;sans-serif" w:hAnsi="Arial;sans-serif"/>
          <w:b w:val="false"/>
          <w:color w:val="000000"/>
          <w:sz w:val="18"/>
        </w:rPr>
        <w:t>As of June 30, 2023, we had outstanding operating and finance lease obligations of $2.5 million, of which $0.8 million is due in the next twelve months.</w:t>
      </w:r>
    </w:p>
    <w:p>
      <w:pPr>
        <w:pStyle w:val="TextBody"/>
        <w:bidi w:val="0"/>
        <w:spacing w:lineRule="auto" w:line="288" w:before="120" w:after="283"/>
        <w:jc w:val="both"/>
        <w:rPr/>
      </w:pPr>
      <w:r>
        <w:rPr>
          <w:rFonts w:ascii="Arial;sans-serif" w:hAnsi="Arial;sans-serif"/>
          <w:b/>
          <w:i/>
          <w:color w:val="00497F"/>
          <w:sz w:val="18"/>
        </w:rPr>
        <w:t>Other Cash Requirements</w:t>
      </w:r>
      <w:r>
        <w:rPr>
          <w:color w:val="000000"/>
        </w:rPr>
        <w:t>—</w:t>
      </w:r>
      <w:r>
        <w:rPr>
          <w:rFonts w:ascii="Arial;sans-serif" w:hAnsi="Arial;sans-serif"/>
          <w:b w:val="false"/>
          <w:color w:val="000000"/>
          <w:sz w:val="18"/>
        </w:rPr>
        <w:t>In addition to our contractual obligations, we pay quarterly cash dividends on our ordinary shares and preferred shares, which are subject to change at the discretion of our Board of Directors. During the last twelve months, we declared cash dividends of $122.5 million and $28.7 million on our ordinary shares and preferred shares, respectively.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Critical Accounting Estimates and Policies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were no material changes to our critical accounting estimates described in our Annual Report on Form 10-K for the year ended December 31, 2022.</w:t>
      </w:r>
    </w:p>
    <w:p>
      <w:pPr>
        <w:pStyle w:val="TextBody"/>
        <w:bidi w:val="0"/>
        <w:spacing w:lineRule="auto" w:line="288" w:before="120" w:after="283"/>
        <w:jc w:val="both"/>
        <w:rPr>
          <w:rFonts w:ascii="Arial;sans-serif" w:hAnsi="Arial;sans-serif"/>
          <w:b/>
          <w:color w:val="00497F"/>
          <w:sz w:val="18"/>
        </w:rPr>
      </w:pPr>
      <w:r>
        <w:rPr>
          <w:rFonts w:ascii="Arial;sans-serif" w:hAnsi="Arial;sans-serif"/>
          <w:b/>
          <w:color w:val="00497F"/>
          <w:sz w:val="18"/>
        </w:rPr>
        <w:t>Recent Accounting Pronouncements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See Note 2 to our Consolidated Financial Statements for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32740"/>
                <wp:effectExtent l="0" t="0" r="0" b="0"/>
                <wp:wrapNone/>
                <wp:docPr id="49" name="Frame4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 xml:space="preserve">Item 3. Quantitative and Qualitative Disclosures About Market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 </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 xml:space="preserve">Interest Rate Risk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the remaining USD LIBOR settings after June 30, 2023, other than certain USD LIBOR settings that are expected to continue to be published under a synthetic methodology until September 2024. In anticipation of LIBOR’s phase out, we amended our revolving credit facility to incorporate SOFR as the successor rate to LIBOR. We continue to monitor related reform proposals and evaluate the related risks;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of June 30, 2023, assuming we do not hedge our exposure to interest rate fluctuations related to our outstanding floating rate debt, a hypothetical 100-basis point increase/decrease in our variable interest rate on our borrowings would result in an increase of approximately $1.5 million or a decrease of approximately $1.5 million in interest expense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4. Controls and Procedures</w:t>
      </w:r>
    </w:p>
    <w:p>
      <w:pPr>
        <w:pStyle w:val="TextBody"/>
        <w:bidi w:val="0"/>
        <w:spacing w:lineRule="auto" w:line="288" w:before="120" w:after="283"/>
        <w:jc w:val="left"/>
        <w:rPr>
          <w:rFonts w:ascii="Arial;sans-serif" w:hAnsi="Arial;sans-serif"/>
          <w:b/>
          <w:i/>
          <w:color w:val="00497F"/>
          <w:sz w:val="18"/>
        </w:rPr>
      </w:pPr>
      <w:r>
        <w:rPr>
          <w:rFonts w:ascii="Arial;sans-serif" w:hAnsi="Arial;sans-serif"/>
          <w:b/>
          <w:i/>
          <w:color w:val="00497F"/>
          <w:sz w:val="18"/>
        </w:rPr>
        <w:t>Disclosure Controls and Procedures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upon that evaluation, our Chief Executive Officer and Chief Financial Officer have concluded that our disclosure controls and procedures were effective as of and for the period covered by this report.</w:t>
      </w:r>
    </w:p>
    <w:p>
      <w:pPr>
        <w:pStyle w:val="TextBody"/>
        <w:bidi w:val="0"/>
        <w:spacing w:lineRule="auto" w:line="288" w:before="120" w:after="283"/>
        <w:jc w:val="both"/>
        <w:rPr>
          <w:rFonts w:ascii="Arial;sans-serif" w:hAnsi="Arial;sans-serif"/>
          <w:b/>
          <w:i/>
          <w:color w:val="00497F"/>
          <w:sz w:val="18"/>
        </w:rPr>
      </w:pPr>
      <w:r>
        <w:rPr>
          <w:rFonts w:ascii="Arial;sans-serif" w:hAnsi="Arial;sans-serif"/>
          <w:b/>
          <w:i/>
          <w:color w:val="00497F"/>
          <w:sz w:val="18"/>
        </w:rPr>
        <w:t>Internal Control over Financial Reporting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have been no changes in our internal control over financial reporting (as such term is defined in Rules 13a-15(f) and 15d-15(f) under the Exchange Act) during the fiscal quarter to which this report relates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32740"/>
                <wp:effectExtent l="0" t="0" r="0" b="0"/>
                <wp:wrapNone/>
                <wp:docPr id="50" name="Frame4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Arial;sans-serif" w:hAnsi="Arial;sans-serif"/>
          <w:b/>
          <w:color w:val="006EBF"/>
          <w:sz w:val="20"/>
        </w:rPr>
      </w:pPr>
      <w:r>
        <w:rPr>
          <w:rFonts w:ascii="Arial;sans-serif" w:hAnsi="Arial;sans-serif"/>
          <w:b/>
          <w:color w:val="006EBF"/>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 xml:space="preserve">Item 1. Legal Proceedings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6EBF"/>
          <w:sz w:val="20"/>
        </w:rPr>
        <w:t>Item 1A. Risk Factors</w:t>
      </w:r>
      <w:r>
        <w:rPr>
          <w:color w:val="000000"/>
        </w:rPr>
        <w:t xml:space="preserve"> </w:t>
      </w:r>
    </w:p>
    <w:p>
      <w:pPr>
        <w:pStyle w:val="TextBody"/>
        <w:bidi w:val="0"/>
        <w:spacing w:lineRule="auto" w:line="288" w:before="120" w:after="283"/>
        <w:jc w:val="both"/>
        <w:rPr>
          <w:rFonts w:ascii="Arial;sans-serif" w:hAnsi="Arial;sans-serif"/>
          <w:b w:val="false"/>
          <w:i/>
          <w:color w:val="000000"/>
          <w:sz w:val="18"/>
        </w:rPr>
      </w:pPr>
      <w:r>
        <w:rPr>
          <w:rFonts w:ascii="Arial;sans-serif" w:hAnsi="Arial;sans-serif"/>
          <w:b w:val="false"/>
          <w:i/>
          <w:color w:val="000000"/>
          <w:sz w:val="18"/>
        </w:rPr>
        <w:t>You should carefully consider the following risks and other information in this Form 10-Q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the Company’s shares. However, these categories do overlap and should not be considered exclusive.</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Business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Instability in geographies where we have assets or where we derive revenue could have a material adverse effect on our business, customers, operations and financial results.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and Ukraine. In late February 2022, Russian military forces launched significant military action against Ukraine.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general demand for the type of assets that we purchase;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macroeconomic conditions, including market prices for commodities that our assets may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32740"/>
                <wp:effectExtent l="0" t="0" r="0" b="0"/>
                <wp:wrapNone/>
                <wp:docPr id="51" name="Frame5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geopolitical events, including war, prolonged armed conflict and acts of terrorism;</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outbreaks of communicable diseases and natural disasters;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regulation;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interest rates;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availability of credit;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reduced cash flows and financial condition, including potential liquidity restraints;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restructurings and bankruptcies of companies in the industries in which we operate, including our customers;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manufacturer production levels and technological innovation;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manufacturers merging or exiting the industry or ceasing to produce certain asset types;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retirement and obsolescence of the assets that we own;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increases in supply levels of assets in the market due to the sale or merging of operating lessors;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reintroduction of previously unused or dormant assets into the industries in which we operate.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airline industry is heavily regulated, and if we fail to comply with applicable requirements, our results of operations could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retirement or prolonged grounding of commercial aircraft could reduce our revenues and the value of any related inventory.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Contractual defaults may adversely affect our business, prospects, financial condition, results of operations and cash flows by decreasing revenues and increasing storage, positioning, collection, recovery and lost equipment expenses.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32740"/>
                <wp:effectExtent l="0" t="0" r="0" b="0"/>
                <wp:wrapNone/>
                <wp:docPr id="52" name="Frame5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operate in highly competitive markets.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liens may arise on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values of our assets may fluctuate due to various factors.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32740"/>
                <wp:effectExtent l="0" t="0" r="0" b="0"/>
                <wp:wrapNone/>
                <wp:docPr id="53" name="Frame5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generate a sufficient amount of cash or generate sufficient free cash flow to fund our operations or repay our indebtedness.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use of joint ventures or partnerships, and our Manager’s outsourcing of certain functions, may present unforeseen obstacles or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subject to the risks and costs of obsolescence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inability to obtain certain components from suppliers could harm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could be negatively impacted by environmental, social, and governance (ESG) and sustainability-related matters.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32740"/>
                <wp:effectExtent l="0" t="0" r="0" b="0"/>
                <wp:wrapNone/>
                <wp:docPr id="54" name="Frame5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be affected by fluctuating prices for fuel and energy.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Volatility in energy prices could have a significant effect on a variety of items including, but not limited to, the economy and demand for transportation services.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assets generally require routine maintenance, and we may be exposed to unforeseen maintenance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Some of our customers operate in highly regulated industries and changes in laws or regulations, including laws with respect to international trade, may adversely affect our ability to lease, charter or sell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Certain of our assets are subject to purchase options held by the charterer or lessee of the asset which, if exercised, could reduce the size of our asset base and our future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32740"/>
                <wp:effectExtent l="0" t="0" r="0" b="0"/>
                <wp:wrapNone/>
                <wp:docPr id="55" name="Frame5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profitability of our offshore energy assets may be impacted by the profitability of the offshore oil and gas industry generally, which is significantly affected by, among other things, volatile oil and gas prices.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not be able to renew or obtain new or favorable charters or leases,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Litigation to enforce our contracts and recover our assets has inherent uncertainties that are increased by the location of our assets in jurisdictions that have less developed legal systems.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international operations involve additional risks, which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and our customers operate in various regions throughout the world. As a result, we may, directly or indirectly, be exposed to political and other uncertainties, including risks of:</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terrorist acts, armed hostilities, war and civil disturbances;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acts of piracy;</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potential cybersecurity attacks;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significant governmental influence over many aspects of local economies;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seizure, nationalization or expropriation of property or equipment;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repudiation, nullification, modification or renegotiation of contracts;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limitations on insurance coverage, such as war risk coverage, in certain areas;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political unrest;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2740"/>
                <wp:effectExtent l="0" t="0" r="0" b="0"/>
                <wp:wrapNone/>
                <wp:docPr id="56" name="Frame5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foreign and U.S. monetary policy and foreign currency fluctuations and devaluations;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inability to repatriate income or capital;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complications associated with repairing and replacing equipment in remote locations;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import-export quotas, wage and price controls, imposition of trade barriers;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U.S. and foreign sanctions or trade embargoes;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restrictions on the transfer of funds into or out of countries in which we operate;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U.S. Treasury sanctions regulations restricting doing business with certain nations or specially designated nationals;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regulatory or financial requirements to comply with foreign bureaucratic actions;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compliance with applicable anti-corruption laws and regulations;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changing taxation policies, including confiscatory taxation;</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other forms of government regulation and economic conditions that are beyond our control;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governmental corruption.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Any of these or other risks could adversely impact our customers’ international operations which could materially adversely impact our operating results and growth opportunities.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we have and may continue to acquire assets located in emerging markets throughout the world, we may be exposed to any one or a combination of these risks, which could adversely affect our operating results.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actively evaluating potential acquisitions of assets and operating companies in other aviation sectors which could result in additional risks and uncertainties for our business and unexpected regulatory compliance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32740"/>
                <wp:effectExtent l="0" t="0" r="0" b="0"/>
                <wp:wrapNone/>
                <wp:docPr id="57" name="Frame5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agreements governing our indebtedness place restrictions on us and our subsidiaries, reducing operational flexibility and creating default risks.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agreements governing our indebtedness, including, but not limited to, the indentures governing our Senior Notes and the second amended and restated revolving credit facility entered into on September 20, 2022, as amended by Amendment No. 1, dated as of November 22, 2022 (the “Revolving Credit Facility”), contain covenants that place restrictions on us and our subsidiaries. The indentures governing our Senior Notes and the Revolving Credit Facility restrict among other things, our and certain of our subsidiaries’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merge, consolidate or transfer all, or substantially all, of our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incur additional debt or issue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certain investments or acquisitions;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liens on our or our subsidiaries’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sell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make distributions on or repurchase our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enter into transactions with affiliates;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create dividend restrictions and other payment restrictions that affect our subsidiaries.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Terrorist attacks or other hostilities could negatively impact our operations and our profitability and may expose us to liability and reputational damage.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inability to obtain sufficient capital would constrain our ability to grow our portfolio and to increase our revenues.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meet the terms and maturities of our existing and future debt facilities;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purchase new assets or refinance existing assets;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fund our working capital needs and maintain adequate liquidity;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finance other growth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32740"/>
                <wp:effectExtent l="0" t="0" r="0" b="0"/>
                <wp:wrapNone/>
                <wp:docPr id="58" name="Frame5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effects of various environmental regulations may negatively affect the industries in which we operate which could have a material adverse effect on our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discontinuation of the LIBOR benchmark interest rate may have an impact on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the remaining USD LIBOR settings after June 30, 2023, other than certain USD LIBOR settings that are expected to continue to be published under a synthetic methodology until September 2024.</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2740"/>
                <wp:effectExtent l="0" t="0" r="0" b="0"/>
                <wp:wrapNone/>
                <wp:docPr id="59" name="Frame5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we are deemed an “investment company” under the Investment Company Act, it could have a material adverse effect on our business, prospects, financial condition, results of operations and cash flows.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Because we are incorporated under the laws of the Cayman Islands, you may face difficulties in protecting your interests, and your ability to protect your rights through the U.S. federal courts may be limited.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32740"/>
                <wp:effectExtent l="0" t="0" r="0" b="0"/>
                <wp:wrapNone/>
                <wp:docPr id="60" name="Frame5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 a result of all of the above, public shareholders may have more difficulty in protecting their interests in the face of actions taken by management, members of the board of directors or controlling shareholders than they would as public shareholders of a United States company. </w:t>
      </w:r>
    </w:p>
    <w:p>
      <w:pPr>
        <w:pStyle w:val="TextBody"/>
        <w:bidi w:val="0"/>
        <w:spacing w:lineRule="auto" w:line="288" w:before="120" w:after="283"/>
        <w:jc w:val="both"/>
        <w:rPr>
          <w:rFonts w:ascii="Arial;sans-serif" w:hAnsi="Arial;sans-serif"/>
          <w:b/>
          <w:i/>
          <w:color w:val="000000"/>
          <w:sz w:val="18"/>
          <w:shd w:fill="FFFFFF" w:val="clear"/>
        </w:rPr>
      </w:pPr>
      <w:r>
        <w:rPr>
          <w:rFonts w:ascii="Arial;sans-serif" w:hAnsi="Arial;sans-serif"/>
          <w:b/>
          <w:i/>
          <w:color w:val="000000"/>
          <w:sz w:val="18"/>
          <w:shd w:fill="FFFFFF" w:val="clear"/>
        </w:rPr>
        <w:t xml:space="preserve">The Financial Action Task Force has increased monitoring of the Cayman Islands. </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February 2021, the Cayman Islands was added to the Financial Action Task Force (‘‘FATF’’) list of jurisdictions whose anti-money laundering/counter-terrorist and proliferation financing practices are under increased monitoring, commonly referred to as the ‘‘FATF grey list.’’ The FATF was established in July 1989 by a Group of Seven (G-7) Summit and is a task force composed of member governments who agree to fund the FATF on temporary basis with specific goals and projects– it is an international policy-making body that sets international anti-money laundering standards and counter-terrorist financing measures. The FATF monitors countries to ensure they implement the FATF Standards fully and effectively and holds countries to account that do not comply. When the FATF places a jurisdiction under increased monitoring, it means the country has committed to resolve swiftly the identified strategic deficiencies within agreed timeframes and is subject to increased monitoring during that timeframe. In June 2023, the FATF confirmed that the Cayman Islands had satisfied all FATF recommended actions, recognizing that the jurisdiction has a robust and effective anti-money laundering / counter-terrorist financing regime. Following successful completion of an on-site inspection by the FATF, the Cayman Islands will be eligible to be removed from the FATF grey list at the FATF's October 2023 plenary.</w:t>
      </w:r>
    </w:p>
    <w:p>
      <w:pPr>
        <w:pStyle w:val="TextBody"/>
        <w:bidi w:val="0"/>
        <w:spacing w:lineRule="auto" w:line="288" w:before="120" w:after="283"/>
        <w:jc w:val="both"/>
        <w:rPr>
          <w:rFonts w:ascii="Arial;sans-serif" w:hAnsi="Arial;sans-serif"/>
          <w:b/>
          <w:i/>
          <w:color w:val="000000"/>
          <w:sz w:val="18"/>
          <w:shd w:fill="FFFFFF" w:val="clear"/>
        </w:rPr>
      </w:pPr>
      <w:r>
        <w:rPr>
          <w:rFonts w:ascii="Arial;sans-serif" w:hAnsi="Arial;sans-serif"/>
          <w:b/>
          <w:i/>
          <w:color w:val="000000"/>
          <w:sz w:val="18"/>
          <w:shd w:fill="FFFFFF" w:val="clear"/>
        </w:rPr>
        <w:t>The Cayman Islands are included in the EU AML High-Risk Third Countries List.</w:t>
      </w:r>
    </w:p>
    <w:p>
      <w:pPr>
        <w:pStyle w:val="TextBody"/>
        <w:bidi w:val="0"/>
        <w:spacing w:lineRule="auto" w:line="288" w:before="120" w:after="283"/>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March 13, 2022, the European Commission (‘‘EC’’) updated its list of ’high-risk third countries’ (‘‘EU AML List’’) identified as having strategic deficiencies in their anti-money laundering/counter-terrorist financing regimes to add nine countries, including the Cayman Islands. The EC has noted it is committed to there being a greater alignment between the EU AML List and the FATF listing process. The addition of the Cayman Islands to the EU AML List is a direct result of the inclusion of the Cayman Islands on the FATF grey list in February 2021. It is unclear how long this designation will remain in place and what ramifications, if any, the designation will have for the Company. Our assets are exposed to unplanned interruptions caused by events outside of our control which may disrupt our business and cause damage or losses that may not be adequately covered by insurance.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Projects in the aerospace products and services sector are exposed to a variety of unplanned interruptions which could cause our results of operations to suffer.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Manager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dependent on our Manager and other key personnel at Fortress and may not find suitable replacements if our Manager terminates the Management Agreement or if other key personnel depart.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our Manager may assign our Management Agreement to an entity whose business and operations are managed or supervised by Mr. Wesley R. Edens, who is a principal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32740"/>
                <wp:effectExtent l="0" t="0" r="0" b="0"/>
                <wp:wrapNone/>
                <wp:docPr id="61" name="Frame6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On May 22, 2023, Fortress and Mubadala announced that they have entered into definitive agreements pursuant to which, among other things, certain members of Fortress management and affiliates of Mubadala will acquire 100% of the equity of Fortress that is currently indirectly held by SoftBank. While Fortress’s senior investment professionals are expected to remain at Fortress, including those individuals who perform services for us, there can be no assurance that the transaction will not have an impact on us or our relationship with our Manager.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There are conflicts of interest in our relationship with our Manager.</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and the Services and Profit Sharing Agreement and our Articles were negotiated among affiliated parties, and their terms, including fees and other amounts payable, may not be as favorable to us as if they had been negotiated with an unaffiliated third-party.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There are conflicts of interest inherent in our relationship with our Manager insofar as our Manager and its affiliates invest in aviation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Inc.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assets. Fortress funds generally have a fee structure similar to ours, but the fees actually paid will vary depending on the size, terms and performance of each fund.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Articles provide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Aviation Ltd.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32740"/>
                <wp:effectExtent l="0" t="0" r="0" b="0"/>
                <wp:wrapNone/>
                <wp:docPr id="62" name="Frame6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ordinary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Manager will not be liable to us for any acts or omissions performed in accordance with the Management Agreement, including with respect to the performance of our assets.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Manager’s due diligence of potential asset acquisitions or other transactions may not identify all pertinent risks, which could materially affect our business, financial condition, liquidity and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32740"/>
                <wp:effectExtent l="0" t="0" r="0" b="0"/>
                <wp:wrapNone/>
                <wp:docPr id="63" name="Frame6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Taxation</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expect the Company to be a passive foreign investment company (“PFIC”) and it could be a controlled foreign corporation (“CFC”) for U.S. federal income tax purposes, which may result in adverse tax considerations for U.S. shareholders.</w:t>
      </w:r>
    </w:p>
    <w:p>
      <w:pPr>
        <w:pStyle w:val="TextBody"/>
        <w:bidi w:val="0"/>
        <w:spacing w:lineRule="auto" w:line="288" w:before="120" w:after="283"/>
        <w:jc w:val="both"/>
        <w:rPr/>
      </w:pPr>
      <w:r>
        <w:rPr>
          <w:rFonts w:ascii="Arial;sans-serif" w:hAnsi="Arial;sans-serif"/>
          <w:b w:val="false"/>
          <w:color w:val="000000"/>
          <w:sz w:val="18"/>
        </w:rPr>
        <w:t>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w:t>
      </w:r>
      <w:r>
        <w:rPr>
          <w:color w:val="000000"/>
        </w:rPr>
        <w:t xml:space="preserve"> “</w:t>
      </w:r>
      <w:r>
        <w:rPr>
          <w:rFonts w:ascii="Arial;sans-serif" w:hAnsi="Arial;sans-serif"/>
          <w:b w:val="false"/>
          <w:i/>
          <w:color w:val="000000"/>
          <w:sz w:val="18"/>
        </w:rPr>
        <w:t>U.S. Federal Income Tax Considerations —Considerations for U.S. Holders—PFIC Status and Related Tax Considerations.”</w:t>
      </w:r>
      <w:r>
        <w:rPr>
          <w:color w:val="000000"/>
        </w:rPr>
        <w:t xml:space="preserve">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Investors should consult their tax advisors regarding the potential impact of these rules on their investment in us.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 </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32740"/>
                <wp:effectExtent l="0" t="0" r="0" b="0"/>
                <wp:wrapNone/>
                <wp:docPr id="64" name="Frame6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connected earnings and profits at a rate of 30%. The imposition of such taxes could adversely affect our business and would result in decreased cash available for distribution to our shareholders.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or our subsidiaries may become subject to unanticipated tax liabilities that may have a material adverse effect on our results of operations.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Legislatures in multiple countries outside of the EU have also drafted legislation consistent with the OECD’s minimum tax proposal. As a result of these developments, the tax laws of certain countries in which we and our affiliates do business could change on a prospective or retroactive basis, and any such changes could increase our liabilities for taxes,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pStyle w:val="TextBody"/>
        <w:bidi w:val="0"/>
        <w:spacing w:lineRule="auto" w:line="288" w:before="120" w:after="283"/>
        <w:jc w:val="both"/>
        <w:rPr>
          <w:rFonts w:ascii="Arial;sans-serif" w:hAnsi="Arial;sans-serif"/>
          <w:b/>
          <w:color w:val="006EBF"/>
          <w:sz w:val="18"/>
        </w:rPr>
      </w:pPr>
      <w:r>
        <w:rPr>
          <w:rFonts w:ascii="Arial;sans-serif" w:hAnsi="Arial;sans-serif"/>
          <w:b/>
          <w:color w:val="006EBF"/>
          <w:sz w:val="18"/>
        </w:rPr>
        <w:t>Risks Related to Our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market price and trading volume of our ordinary and preferred shares may be volatile, which could result in rapid and substantial losses for our shareholders.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a shift in our investor base;</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our quarterly or annual earnings, or those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accounting standards, policies, guidance, interpretations or principles;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announcements by us or our competitors of significant investments, acquisitions or dispositions;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failure of securities analysts to cover our ordinary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changes in earnings estimates by securities analysts or our ability to meet those estimates;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the operating and share price performance of other comparable companies;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prevailing interest rates or rates of return being paid by other comparable companies and the market for securities similar to our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additional issuances of preferred shares;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 xml:space="preserve">whether we declare distributions on our preferred shares;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overall market fluctuations;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18"/>
        </w:rPr>
        <w:t>general economic conditions;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18"/>
        </w:rPr>
        <w:t>developments in the markets and market sectors in which we participate.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 increase in market interest rates may have an adverse effect on the market price of our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32740"/>
                <wp:effectExtent l="0" t="0" r="0" b="0"/>
                <wp:wrapNone/>
                <wp:docPr id="65" name="Frame6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We are required by Section 404 of the Sarbanes-Oxley Act to evaluate the effectiveness of our internal controls, and the outcome of that effort may adversely affect our results of operations, financial condition and liquidity.</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Your percentage ownership in us may be diluted in the future.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Your percentage ownership in FTAI Aviation Ltd. may be diluted in the future because of equity awards granted and may be granted to our Manager pursuant to the Management Agreement and the Incentive Plan. Since 2015, we granted our Manager an option to acquire 3,903,010 ordinary shares in connection with equity offerings. In the future, upon the successful completion of additional offerings of our ordinary shares or other equity securities (including securities issued as consideration in an acquisition), we will grant to our Manager options to purchase ordinary shares in an amount equal to 10% of the number of ordinary shares being sold in such offerings (or if the issuance relates to equity securities other than our ordinary shares, options to purchase a number of ordinary shares equal to 10% of the gross capital raised in the equity issuance divided by the fair market value of an ordinary share as of the date of the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and any such offering or the exercise of the option in connection with such offering would cause dilution.</w:t>
      </w:r>
    </w:p>
    <w:p>
      <w:pPr>
        <w:pStyle w:val="TextBody"/>
        <w:bidi w:val="0"/>
        <w:spacing w:lineRule="auto" w:line="288" w:before="120" w:after="283"/>
        <w:jc w:val="both"/>
        <w:rPr/>
      </w:pPr>
      <w:r>
        <w:rPr>
          <w:rFonts w:ascii="Arial;sans-serif" w:hAnsi="Arial;sans-serif"/>
          <w:b w:val="false"/>
          <w:color w:val="000000"/>
          <w:sz w:val="18"/>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ordinary shares for issuance under the Incentive Plan.</w:t>
      </w:r>
      <w:r>
        <w:rPr>
          <w:color w:val="000000"/>
          <w:shd w:fill="FFFFFF" w:val="clear"/>
        </w:rPr>
        <w:t xml:space="preserve"> </w:t>
      </w:r>
      <w:r>
        <w:rPr>
          <w:rFonts w:ascii="Arial;sans-serif" w:hAnsi="Arial;sans-serif"/>
          <w:b w:val="false"/>
          <w:color w:val="000000"/>
          <w:sz w:val="18"/>
          <w:shd w:fill="FFFFFF" w:val="clear"/>
        </w:rPr>
        <w:t>As of June 30, 2023, rights relating to 1,964,263 of our ordinary shares were outstanding under the Incentive Plan. In</w:t>
      </w:r>
      <w:r>
        <w:rPr>
          <w:color w:val="000000"/>
        </w:rPr>
        <w:t xml:space="preserve"> </w:t>
      </w:r>
      <w:r>
        <w:rPr>
          <w:rFonts w:ascii="Arial;sans-serif" w:hAnsi="Arial;sans-serif"/>
          <w:b w:val="false"/>
          <w:color w:val="000000"/>
          <w:sz w:val="18"/>
        </w:rPr>
        <w:t>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Sales or issuances of our ordinary shares could adversely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32740"/>
                <wp:effectExtent l="0" t="0" r="0" b="0"/>
                <wp:wrapNone/>
                <wp:docPr id="66" name="Frame6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Our determination of how much leverage to use to finance our acquisitions may adversely affect our return on our assets and may reduce funds available for distribution.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While we currently intend to pay regular quarterly dividends to our shareholders, we may change our dividend policy at any time.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our existing indebtedness does, and our future indebtedness may, limit our ability to pay dividends on our ordinary and preferred shares. Moreover, pursuant to the Services and Profit Sharing Agreement, Master GP is entitled to receive incentive payments before any amounts are distributed by us based both on our consolidated net income and capital gains income in each fiscal quarter and for each fiscal year, respectively. Furthermore, the terms of our preferred shares generally prevent us from declaring or paying dividends on or repurchasing our ordinary shares or other junior capital unless all accrued distributions on such preferred shares have been paid in full.</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Anti-takeover provisions in our Articles could delay or prevent a change in control.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If securities or industry analysts do not publish research or reports about our business, or if they downgrade their recommendations regarding our ordinary shares, our share price and trading volume could decline.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2. Unregistered Sales of Equity Securities and Use of Proceeds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32740"/>
                <wp:effectExtent l="0" t="0" r="0" b="0"/>
                <wp:wrapNone/>
                <wp:docPr id="67" name="Frame6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3. Defaults Upon Senior Securities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4. Mine Safety Disclosures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6EBF"/>
          <w:sz w:val="20"/>
        </w:rPr>
      </w:pPr>
      <w:r>
        <w:rPr>
          <w:rFonts w:ascii="Arial;sans-serif" w:hAnsi="Arial;sans-serif"/>
          <w:b/>
          <w:color w:val="006EBF"/>
          <w:sz w:val="20"/>
        </w:rPr>
        <w:t>Item 5. Other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32740"/>
                <wp:effectExtent l="0" t="0" r="0" b="0"/>
                <wp:wrapNone/>
                <wp:docPr id="68" name="Frame6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6EBF"/>
          <w:sz w:val="20"/>
        </w:rPr>
      </w:pPr>
      <w:r>
        <w:rPr>
          <w:rFonts w:ascii="Arial;sans-serif" w:hAnsi="Arial;sans-serif"/>
          <w:b/>
          <w:color w:val="006EBF"/>
          <w:sz w:val="20"/>
        </w:rPr>
        <w:t>Item 6. 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44"/>
        <w:gridCol w:w="2482"/>
        <w:gridCol w:w="35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r>
              <w:fldChar w:fldCharType="begin"/>
            </w:r>
            <w:r>
              <w:rPr>
                <w:rStyle w:val="InternetLink"/>
                <w:sz w:val="16"/>
                <w:u w:val="single"/>
                <w:b w:val="false"/>
                <w:rFonts w:ascii="Arial;sans-serif" w:hAnsi="Arial;sans-serif"/>
                <w:color w:val="0000FF"/>
              </w:rPr>
              <w:instrText xml:space="preserve"> HYPERLINK "https://www.sec.gov/Archives/edgar/data/1590364/000114036122036824/ny20005522x1_defm14a.htm" \l "tANNEXA"</w:instrText>
            </w:r>
            <w:r>
              <w:rPr>
                <w:rStyle w:val="InternetLink"/>
                <w:sz w:val="16"/>
                <w:u w:val="single"/>
                <w:b w:val="false"/>
                <w:rFonts w:ascii="Arial;sans-serif" w:hAnsi="Arial;sans-serif"/>
                <w:color w:val="0000FF"/>
              </w:rPr>
              <w:fldChar w:fldCharType="separate"/>
            </w:r>
            <w:r>
              <w:rPr>
                <w:rStyle w:val="InternetLink"/>
                <w:rFonts w:ascii="Arial;sans-serif" w:hAnsi="Arial;sans-serif"/>
                <w:b w:val="false"/>
                <w:color w:val="0000FF"/>
                <w:sz w:val="16"/>
                <w:u w:val="single"/>
              </w:rPr>
              <w:t>2.1</w:t>
            </w:r>
            <w:r>
              <w:rPr>
                <w:rStyle w:val="InternetLink"/>
                <w:sz w:val="16"/>
                <w:u w:val="single"/>
                <w:b w:val="false"/>
                <w:rFonts w:ascii="Arial;sans-serif" w:hAnsi="Arial;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Agreement and Plan of Merger, dated as of August 12, 2022, by and among, FTAI, the Company and FTAI Aviation Merger Sub LLC (incorporated by reference to Annex A to FTAI’s Registration Statement on Form S-4, filed on October 11,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Arial;sans-serif" w:hAnsi="Arial;sans-serif"/>
                  <w:b w:val="false"/>
                  <w:color w:val="0000FF"/>
                  <w:sz w:val="16"/>
                  <w:u w:val="single"/>
                </w:rPr>
                <w:t>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Separation and Distribution Agreement, dated as of August 1, 2022, between FTAI Infrastructure Inc. and the Company (incorporated by reference to Exhibit 2.1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Arial;sans-serif" w:hAnsi="Arial;sans-serif"/>
                  <w:b w:val="false"/>
                  <w:color w:val="0000FF"/>
                  <w:sz w:val="16"/>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Memorandum and Articles of Association of the Company (incorporated by reference to Exhibit 3.1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Arial;sans-serif" w:hAnsi="Arial;sans-serif"/>
                  <w:b w:val="false"/>
                  <w:color w:val="0000FF"/>
                  <w:sz w:val="16"/>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Fixed-to-Floating Series A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Arial;sans-serif" w:hAnsi="Arial;sans-serif"/>
                  <w:b w:val="false"/>
                  <w:color w:val="0000FF"/>
                  <w:sz w:val="16"/>
                  <w:u w:val="single"/>
                </w:rPr>
                <w:t>3.3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8.00% Fixed-to-Floating Series B Cumulative Perpetual Redeemable Preferred Shares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Arial;sans-serif" w:hAnsi="Arial;sans-serif"/>
                  <w:b w:val="false"/>
                  <w:color w:val="0000FF"/>
                  <w:sz w:val="16"/>
                  <w:u w:val="single"/>
                </w:rPr>
                <w:t>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8.25% Fixed-Rate Reset Series C Cumulative Perpetual Redeemable Preferred Shares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Arial;sans-serif" w:hAnsi="Arial;sans-serif"/>
                  <w:b w:val="false"/>
                  <w:color w:val="0000FF"/>
                  <w:sz w:val="16"/>
                  <w:u w:val="single"/>
                </w:rPr>
                <w:t>3.5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Share Designation with respect to the 9.500% Fixed-Rate Reset Series D Cumulative Perpetual Redeemable Preferred Shares of FTAI Aviation Ltd. (incorporated by reference to Exhibit 4.1 of the Company’s Registration Statement on Form 8-A, filed on March 15,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9">
              <w:r>
                <w:rPr>
                  <w:rStyle w:val="InternetLink"/>
                  <w:rFonts w:ascii="Arial;sans-serif" w:hAnsi="Arial;sans-serif"/>
                  <w:b w:val="false"/>
                  <w:color w:val="0000FF"/>
                  <w:sz w:val="16"/>
                  <w:u w:val="single"/>
                </w:rPr>
                <w:t>3.6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Fixed-to-Floating Rate Series A Cumulative Perpetual Redeemable Preferred Shares of FTAI Aviation Ltd.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0">
              <w:r>
                <w:rPr>
                  <w:rStyle w:val="InternetLink"/>
                  <w:rFonts w:ascii="Arial;sans-serif" w:hAnsi="Arial;sans-serif"/>
                  <w:b w:val="false"/>
                  <w:color w:val="0000FF"/>
                  <w:sz w:val="16"/>
                  <w:u w:val="single"/>
                </w:rPr>
                <w:t>3.7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8.00% Fixed-to-Floating Rate Series B Cumulative Perpetual Redeemable Preferred Shares of FTAI Aviation Ltd. (included as part of Exhibit 3.1 hereto).</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1">
              <w:r>
                <w:rPr>
                  <w:rStyle w:val="InternetLink"/>
                  <w:rFonts w:ascii="Arial;sans-serif" w:hAnsi="Arial;sans-serif"/>
                  <w:b w:val="false"/>
                  <w:color w:val="0000FF"/>
                  <w:sz w:val="16"/>
                  <w:u w:val="single"/>
                </w:rPr>
                <w:t>3.8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8.25% Fixed-Rate Reset Series C Cumulative Perpetual Redeemable Preferred Shares of FTAI Aviation Ltd. (included as part of Exhibit 3.1 hereto).</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2">
              <w:r>
                <w:rPr>
                  <w:rStyle w:val="InternetLink"/>
                  <w:rFonts w:ascii="Arial;sans-serif" w:hAnsi="Arial;sans-serif"/>
                  <w:b w:val="false"/>
                  <w:color w:val="0000FF"/>
                  <w:sz w:val="16"/>
                  <w:u w:val="single"/>
                </w:rPr>
                <w:t>3.9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certificate representing the 9.500% Fixed-Rate Reset Series D Cumulative Perpetual Redeemable Preferred Shares of FTAI Aviation Ltd. (incorporated by reference to Exhibit 4.2 of the Company’s Registration Statement on Form 8-A, filed on March 15,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3">
              <w:r>
                <w:rPr>
                  <w:rStyle w:val="InternetLink"/>
                  <w:rFonts w:ascii="Arial;sans-serif" w:hAnsi="Arial;sans-serif"/>
                  <w:b w:val="false"/>
                  <w:color w:val="0000FF"/>
                  <w:sz w:val="16"/>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September 18, 2018, between the Company and U.S. Bank National Association, as trustee, relating to the Company’s 6.50% senior unsecured notes due 2025 (incorporated by reference to Exhibit 4.1 of the Company’s Current Report on Form 8-K, filed on September 18, 2018).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4">
              <w:r>
                <w:rPr>
                  <w:rStyle w:val="InternetLink"/>
                  <w:rFonts w:ascii="Arial;sans-serif" w:hAnsi="Arial;sans-serif"/>
                  <w:b w:val="false"/>
                  <w:color w:val="0000FF"/>
                  <w:sz w:val="16"/>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6.50% senior unsecured notes due 2025 (included in Exhibit 4.1).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5">
              <w:r>
                <w:rPr>
                  <w:rStyle w:val="InternetLink"/>
                  <w:rFonts w:ascii="Arial;sans-serif" w:hAnsi="Arial;sans-serif"/>
                  <w:b w:val="false"/>
                  <w:color w:val="0000FF"/>
                  <w:sz w:val="16"/>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May 21, 2019, between the Company and U.S. Bank National Association, as trustee, relating to the Company’s 6.50% senior unsecured notes due 2025 (incorporated by reference to Exhibit 4.1 of the Company’s Current Report on Form 8-K, filed on May 21, 2019).</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6">
              <w:r>
                <w:rPr>
                  <w:rStyle w:val="InternetLink"/>
                  <w:rFonts w:ascii="Arial;sans-serif" w:hAnsi="Arial;sans-serif"/>
                  <w:b w:val="false"/>
                  <w:color w:val="0000FF"/>
                  <w:sz w:val="16"/>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Supplemental Indenture, dated December 23, 2020, between the Company and U.S. Bank National Association, as trustee, relating to the Company’s 6.50% senior unsecured notes due 2025 (incorporated by reference to Exhibit 4.1 of the Company’s Current Report on Form 8-K, filed on December 23, 2020).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7">
              <w:r>
                <w:rPr>
                  <w:rStyle w:val="InternetLink"/>
                  <w:rFonts w:ascii="Arial;sans-serif" w:hAnsi="Arial;sans-serif"/>
                  <w:b w:val="false"/>
                  <w:color w:val="0000FF"/>
                  <w:sz w:val="16"/>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2025 Notes Guarantee, dated November 10, 2022 (incorporated by reference to Exhibit 4.1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18">
              <w:r>
                <w:rPr>
                  <w:rStyle w:val="InternetLink"/>
                  <w:rFonts w:ascii="Arial;sans-serif" w:hAnsi="Arial;sans-serif"/>
                  <w:b w:val="false"/>
                  <w:color w:val="0000FF"/>
                  <w:sz w:val="16"/>
                  <w:u w:val="single"/>
                </w:rPr>
                <w:t>4.6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April 12, 2021, between the Company and U.S. Bank National Association, as trustee, relating to the Company’s 5.50% senior unsecured notes due 2028 (incorporated by reference to Exhibit 4.1 to the Company’s Form 8-K, filed April 12,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19">
              <w:r>
                <w:rPr>
                  <w:rStyle w:val="InternetLink"/>
                  <w:rFonts w:ascii="Arial;sans-serif" w:hAnsi="Arial;sans-serif"/>
                  <w:b w:val="false"/>
                  <w:color w:val="0000FF"/>
                  <w:sz w:val="16"/>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5.50% senior unsecured notes due 2028 (included in Exhibit 4.6).</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0">
              <w:r>
                <w:rPr>
                  <w:rStyle w:val="InternetLink"/>
                  <w:rFonts w:ascii="Arial;sans-serif" w:hAnsi="Arial;sans-serif"/>
                  <w:b w:val="false"/>
                  <w:color w:val="0000FF"/>
                  <w:sz w:val="16"/>
                  <w:u w:val="single"/>
                </w:rPr>
                <w:t>4.8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First Supplemental Indenture, dated as of September 24, 2021, between the Company and U.S. Bank National Association, as trustee, relating to the Company’s 5.50% senior unsecured notes due 2028 (incorporated by reference to Exhibit 4.1 of the Company’s Current Report on Form 8-K, filed on September 24, 2021).</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1">
              <w:r>
                <w:rPr>
                  <w:rStyle w:val="InternetLink"/>
                  <w:rFonts w:ascii="Arial;sans-serif" w:hAnsi="Arial;sans-serif"/>
                  <w:b w:val="false"/>
                  <w:color w:val="0000FF"/>
                  <w:sz w:val="16"/>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2028 Notes Guarantee, dated November 10, 2022 (incorporated by reference to Exhibit 4.3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2">
              <w:r>
                <w:rPr>
                  <w:rStyle w:val="InternetLink"/>
                  <w:rFonts w:ascii="Arial;sans-serif" w:hAnsi="Arial;sans-serif"/>
                  <w:b w:val="false"/>
                  <w:color w:val="0000FF"/>
                  <w:sz w:val="16"/>
                  <w:u w:val="single"/>
                </w:rPr>
                <w:t>4.10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Indenture, dated July 28, 2020, between the Company and U.S. Bank National Association, as trustee, relating to the Company’s 9.75% senior unsecured notes due 2027 (incorporated by reference to Exhibit 4.1 of the Company’s Current Report on Form 8-K, filed on July 28, 2020).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3">
              <w:r>
                <w:rPr>
                  <w:rStyle w:val="InternetLink"/>
                  <w:rFonts w:ascii="Arial;sans-serif" w:hAnsi="Arial;sans-serif"/>
                  <w:b w:val="false"/>
                  <w:color w:val="0000FF"/>
                  <w:sz w:val="16"/>
                  <w:u w:val="single"/>
                </w:rPr>
                <w:t>4.11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global note representing the Company’s 9.75% senior unsecured notes due 2027 (included in Exhibit 4.10).</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4">
              <w:r>
                <w:rPr>
                  <w:rStyle w:val="InternetLink"/>
                  <w:rFonts w:ascii="Arial;sans-serif" w:hAnsi="Arial;sans-serif"/>
                  <w:b w:val="false"/>
                  <w:color w:val="0000FF"/>
                  <w:sz w:val="16"/>
                  <w:u w:val="single"/>
                </w:rPr>
                <w:t>4.12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 Notes Guarantee, dated November 10, 2022 (incorporated by reference to Exhibit 4.2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5">
              <w:r>
                <w:rPr>
                  <w:rStyle w:val="InternetLink"/>
                  <w:rFonts w:ascii="Arial;sans-serif" w:hAnsi="Arial;sans-serif"/>
                  <w:b w:val="false"/>
                  <w:color w:val="0000FF"/>
                  <w:sz w:val="16"/>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Revolver Guarantee, dated November 10, 2022 (incorporated by reference to Exhibit 4.4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6">
              <w:r>
                <w:rPr>
                  <w:rStyle w:val="InternetLink"/>
                  <w:rFonts w:ascii="Arial;sans-serif" w:hAnsi="Arial;sans-serif"/>
                  <w:b w:val="false"/>
                  <w:color w:val="0000FF"/>
                  <w:sz w:val="16"/>
                  <w:u w:val="single"/>
                </w:rPr>
                <w:t>4.14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Description of Securities Registered under Section 12 of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7">
              <w:r>
                <w:rPr>
                  <w:rStyle w:val="InternetLink"/>
                  <w:rFonts w:ascii="Arial;sans-serif" w:hAnsi="Arial;sans-serif"/>
                  <w:b w:val="false"/>
                  <w:color w:val="0000FF"/>
                  <w:sz w:val="16"/>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and Advisory Agreement, dated as of July 31, 2022, between the Company, FTAI Aviation Ltd., the Subsidiaries that are party thereto and FIG LLC (incorporated by reference to Exhibit 10.1 of the Company’s Current Report on Form 8-K, filed on August 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8">
              <w:r>
                <w:rPr>
                  <w:rStyle w:val="InternetLink"/>
                  <w:rFonts w:ascii="Arial;sans-serif" w:hAnsi="Arial;sans-serif"/>
                  <w:b w:val="false"/>
                  <w:color w:val="0000FF"/>
                  <w:sz w:val="16"/>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Profit Sharing Agreement, dated November 10, 2022, by and among FTAI Aviation Holdco Ltd., the Company and Fortress Worldwide Transportation and Infrastructure Master GP LLC (incorporated by reference to Exhibit 10.1 of the Company’s Current Report on Form 8-K, filed on November 14,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29">
              <w:r>
                <w:rPr>
                  <w:rStyle w:val="InternetLink"/>
                  <w:rFonts w:ascii="Arial;sans-serif" w:hAnsi="Arial;sans-serif"/>
                  <w:b w:val="false"/>
                  <w:color w:val="0000FF"/>
                  <w:sz w:val="16"/>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and Restated Registration Rights Agreement, dated November 10, 2022, by and among FTAI Aviation Ltd., the Company, Fortress Worldwide Transportation and Infrastructure Master GP LLC and FIG LLC (incorporated by reference to Exhibit 10.2 of the Company’s Current Report on Form 8-K, filed on November 14,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0">
              <w:r>
                <w:rPr>
                  <w:rStyle w:val="InternetLink"/>
                  <w:rFonts w:ascii="Arial;sans-serif" w:hAnsi="Arial;sans-serif"/>
                  <w:b w:val="false"/>
                  <w:color w:val="0000FF"/>
                  <w:sz w:val="16"/>
                  <w:u w:val="single"/>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FTAI Aviation Ltd. Nonqualified Stock Option and Incentive Award Plan, dated as of February 23,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32740"/>
                <wp:effectExtent l="0" t="0" r="0" b="0"/>
                <wp:wrapNone/>
                <wp:docPr id="69" name="Frame6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25"/>
        <w:gridCol w:w="325"/>
        <w:gridCol w:w="326"/>
        <w:gridCol w:w="109"/>
        <w:gridCol w:w="109"/>
        <w:gridCol w:w="109"/>
        <w:gridCol w:w="2569"/>
        <w:gridCol w:w="2475"/>
        <w:gridCol w:w="3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1">
              <w:r>
                <w:rPr>
                  <w:rStyle w:val="InternetLink"/>
                  <w:rFonts w:ascii="Arial;sans-serif" w:hAnsi="Arial;sans-serif"/>
                  <w:b w:val="false"/>
                  <w:color w:val="0000FF"/>
                  <w:sz w:val="16"/>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Form of FTAI Aviation Ltd. Director and Officer Indemnification Agreement (incorporated by reference to Exhibit 10.6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2">
              <w:r>
                <w:rPr>
                  <w:rStyle w:val="InternetLink"/>
                  <w:rFonts w:ascii="Arial;sans-serif" w:hAnsi="Arial;sans-serif"/>
                  <w:b w:val="false"/>
                  <w:color w:val="0000FF"/>
                  <w:sz w:val="16"/>
                  <w:u w:val="single"/>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Director Award Agreement pursuant to the FTAI Aviation Ltd. Nonqualified Stock Option and Incentive Plan (incorporated by reference to Exhibit 10.7 to the Company’s Registration Statement on Form S-4, filed on October 4,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3">
              <w:r>
                <w:rPr>
                  <w:rStyle w:val="InternetLink"/>
                  <w:rFonts w:ascii="Arial;sans-serif" w:hAnsi="Arial;sans-serif"/>
                  <w:b w:val="false"/>
                  <w:color w:val="0000FF"/>
                  <w:sz w:val="16"/>
                  <w:u w:val="single"/>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Form of Award Agreement under the FTAI Aviation Ltd. Nonqualified Stock Option and Incentive Award Plan (incorporated by reference to Exhibit 10.8 to the Company’s Registration Statement on Form S-4, filed on October 4,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4">
              <w:r>
                <w:rPr>
                  <w:rStyle w:val="InternetLink"/>
                  <w:rFonts w:ascii="Arial;sans-serif" w:hAnsi="Arial;sans-serif"/>
                  <w:b w:val="false"/>
                  <w:color w:val="0000FF"/>
                  <w:sz w:val="16"/>
                  <w:u w:val="single"/>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Trademark License Agreement, dated as of August 1, 2022, between Fortress Transportation and Infrastructure Investors LLC and FTAI Infrastructure Inc. (incorporated by reference to Exhibit 10.3 of the Company’s Current Report on Form 8-K, filed August 1, 2022).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5">
              <w:r>
                <w:rPr>
                  <w:rStyle w:val="InternetLink"/>
                  <w:rFonts w:ascii="Arial;sans-serif" w:hAnsi="Arial;sans-serif"/>
                  <w:b w:val="false"/>
                  <w:color w:val="0000FF"/>
                  <w:sz w:val="16"/>
                  <w:u w:val="single"/>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Second Amended and Restated Credit Agreement, dated as of September 20, 2022, between the Company, the lenders and issuing banks from time to time party thereto and JPMorgan Chase Bank, N.A., as administrative agent (incorporated by reference to Exhibit 10.1 of the Company's Current Report on Form 8-K, filed September 21, 2022).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36">
              <w:r>
                <w:rPr>
                  <w:rStyle w:val="InternetLink"/>
                  <w:rFonts w:ascii="Arial;sans-serif" w:hAnsi="Arial;sans-serif"/>
                  <w:b w:val="false"/>
                  <w:color w:val="0000FF"/>
                  <w:sz w:val="16"/>
                  <w:u w:val="single"/>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Amendment No. 1 to the Second Amended and Restated Credit Agreement, dated as of November 22, 2022, between the Company, the lenders and issuing banks from time to time party thereto and JPMorgan Chase Bank, N.A., as administrative agent (incorporated by reference to Exhibit 10.10 of the Company’s Annual Report on Form 10-K, filed February 27, 2023).</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r:id="rId37">
              <w:r>
                <w:rPr>
                  <w:rStyle w:val="InternetLink"/>
                  <w:rFonts w:ascii="Arial;sans-serif" w:hAnsi="Arial;sans-serif"/>
                  <w:b w:val="false"/>
                  <w:color w:val="0000FF"/>
                  <w:sz w:val="16"/>
                  <w:u w:val="single"/>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Amendment No. 2 to the Second Amended and Restated Credit Agreement, dated as of April 10, 2023, between the Company, the lenders and issuing banks from time to time party thereto and JPMorgan Chase Bank, N.A., as administrative agent.</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3exhibit311.htm">
              <w:r>
                <w:rPr>
                  <w:rStyle w:val="InternetLink"/>
                  <w:rFonts w:ascii="Arial;sans-serif" w:hAnsi="Arial;sans-serif"/>
                  <w:b w:val="false"/>
                  <w:color w:val="0000FF"/>
                  <w:sz w:val="16"/>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Rule 13a-14(a)/15d-14(a), as adopted pursuant to Section 302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6302023exhibit312.htm">
              <w:r>
                <w:rPr>
                  <w:rStyle w:val="InternetLink"/>
                  <w:rFonts w:ascii="Arial;sans-serif" w:hAnsi="Arial;sans-serif"/>
                  <w:b w:val="false"/>
                  <w:color w:val="0000FF"/>
                  <w:sz w:val="16"/>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Rule 13a-14(a)/15d-14(a), as adopted pursuant to Section 302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ftai6302023exhibit321.htm">
              <w:r>
                <w:rPr>
                  <w:rStyle w:val="InternetLink"/>
                  <w:rFonts w:ascii="Arial;sans-serif" w:hAnsi="Arial;sans-serif"/>
                  <w:b w:val="false"/>
                  <w:color w:val="0000FF"/>
                  <w:sz w:val="16"/>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Executive Officer pursuant to 18 U.S.C. Section 1350, as adopted pursuant to Section 906 of the Sarbanes-Oxley Act of 2002.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ftai6302023exhibit322.htm">
              <w:r>
                <w:rPr>
                  <w:rStyle w:val="InternetLink"/>
                  <w:rFonts w:ascii="Arial;sans-serif" w:hAnsi="Arial;sans-serif"/>
                  <w:b w:val="false"/>
                  <w:color w:val="0000FF"/>
                  <w:sz w:val="16"/>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Certification of Chief Financial Officer pursuant to 18 U.S.C. Section 1350, as adopted pursuant to Section 906 of the Sarbanes-Oxley Act of 2002.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financial information from the Company’s Quarterly Report on Form 10-Q for the quarter ended June 30, 2022, formatted in iXBRL (Inline Extensible Business Reporting Language): (i) Consolidated Balance Sheets; (ii) Consolidated Statements of Operations; (iii) Consolidated Statements of Comprehensive Income (Loss); (iv) Consolidated Statements of Changes in Equity; (v) Consolidated Statements of Cash Flows; and (vi) Notes to Consolidated Financial Statements.</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Management contracts and compensatory plans or arrangements.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32740"/>
                <wp:effectExtent l="0" t="0" r="0" b="0"/>
                <wp:wrapNone/>
                <wp:docPr id="70" name="Frame6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120" w:after="283"/>
        <w:jc w:val="center"/>
        <w:rPr>
          <w:color w:val="000000"/>
        </w:rPr>
      </w:pPr>
      <w:r>
        <w:rPr>
          <w:color w:val="000000"/>
        </w:rPr>
        <w:t>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FTAI Aviation Ltd.</w:t>
      </w:r>
    </w:p>
    <w:tbl>
      <w:tblPr>
        <w:tblW w:w="5648" w:type="dxa"/>
        <w:jc w:val="left"/>
        <w:tblInd w:w="0" w:type="dxa"/>
        <w:tblLayout w:type="fixed"/>
        <w:tblCellMar>
          <w:top w:w="28" w:type="dxa"/>
          <w:left w:w="28" w:type="dxa"/>
          <w:bottom w:w="28" w:type="dxa"/>
          <w:right w:w="28" w:type="dxa"/>
        </w:tblCellMar>
      </w:tblPr>
      <w:tblGrid>
        <w:gridCol w:w="136"/>
        <w:gridCol w:w="119"/>
        <w:gridCol w:w="119"/>
        <w:gridCol w:w="1053"/>
        <w:gridCol w:w="1053"/>
        <w:gridCol w:w="1058"/>
        <w:gridCol w:w="109"/>
        <w:gridCol w:w="109"/>
        <w:gridCol w:w="109"/>
        <w:gridCol w:w="179"/>
        <w:gridCol w:w="179"/>
        <w:gridCol w:w="181"/>
        <w:gridCol w:w="362"/>
        <w:gridCol w:w="362"/>
        <w:gridCol w:w="52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27, 2023</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58" w:type="dxa"/>
        <w:jc w:val="center"/>
        <w:tblInd w:w="0" w:type="dxa"/>
        <w:tblLayout w:type="fixed"/>
        <w:tblCellMar>
          <w:top w:w="28" w:type="dxa"/>
          <w:left w:w="28" w:type="dxa"/>
          <w:bottom w:w="28" w:type="dxa"/>
          <w:right w:w="28" w:type="dxa"/>
        </w:tblCellMar>
      </w:tblPr>
      <w:tblGrid>
        <w:gridCol w:w="136"/>
        <w:gridCol w:w="119"/>
        <w:gridCol w:w="119"/>
        <w:gridCol w:w="1423"/>
        <w:gridCol w:w="1423"/>
        <w:gridCol w:w="1428"/>
        <w:gridCol w:w="109"/>
        <w:gridCol w:w="109"/>
        <w:gridCol w:w="109"/>
        <w:gridCol w:w="179"/>
        <w:gridCol w:w="179"/>
        <w:gridCol w:w="181"/>
        <w:gridCol w:w="362"/>
        <w:gridCol w:w="362"/>
        <w:gridCol w:w="52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27, 2023</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32740"/>
                <wp:effectExtent l="0" t="0" r="0" b="0"/>
                <wp:wrapNone/>
                <wp:docPr id="71" name="Frame7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 Joseph P. Adams. Jr.,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0"/>
        <w:jc w:val="center"/>
        <w:rPr/>
      </w:pPr>
      <w:r>
        <w:rPr/>
      </w:r>
    </w:p>
    <w:tbl>
      <w:tblPr>
        <w:tblW w:w="3626" w:type="dxa"/>
        <w:jc w:val="center"/>
        <w:tblInd w:w="0" w:type="dxa"/>
        <w:tblLayout w:type="fixed"/>
        <w:tblCellMar>
          <w:top w:w="28" w:type="dxa"/>
          <w:left w:w="28" w:type="dxa"/>
          <w:bottom w:w="28" w:type="dxa"/>
          <w:right w:w="28" w:type="dxa"/>
        </w:tblCellMar>
      </w:tblPr>
      <w:tblGrid>
        <w:gridCol w:w="439"/>
        <w:gridCol w:w="385"/>
        <w:gridCol w:w="390"/>
        <w:gridCol w:w="109"/>
        <w:gridCol w:w="109"/>
        <w:gridCol w:w="109"/>
        <w:gridCol w:w="610"/>
        <w:gridCol w:w="610"/>
        <w:gridCol w:w="865"/>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r>
      <w:tr>
        <w:trPr/>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0" w:after="0"/>
        <w:jc w:val="center"/>
        <w:rPr>
          <w:color w:val="000000"/>
        </w:rPr>
      </w:pPr>
      <w:r>
        <w:rPr>
          <w:color w:val="000000"/>
        </w:rPr>
        <w:t> </w:t>
      </w:r>
    </w:p>
    <w:p>
      <w:pPr>
        <w:pStyle w:val="TextBody"/>
        <w:bidi w:val="0"/>
        <w:spacing w:lineRule="auto" w:line="417" w:before="0" w:after="0"/>
        <w:jc w:val="center"/>
        <w:rPr>
          <w:rFonts w:ascii="Arial;sans-serif" w:hAnsi="Arial;sans-serif"/>
          <w:b/>
          <w:color w:val="000000"/>
          <w:sz w:val="18"/>
        </w:rPr>
      </w:pPr>
      <w:r>
        <w:rPr>
          <w:rFonts w:ascii="Arial;sans-serif" w:hAnsi="Arial;sans-serif"/>
          <w:b/>
          <w:color w:val="000000"/>
          <w:sz w:val="18"/>
        </w:rPr>
        <w:t>SECTION 302 CERTIFICATION OF CHIEF FINANCIAL OFFICER</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Eun (Angela) Nam,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FTAI Aviation Ltd. (the “registrant”);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630"/>
        <w:jc w:val="both"/>
        <w:rPr>
          <w:rFonts w:ascii="Arial;sans-serif" w:hAnsi="Arial;sans-serif"/>
          <w:b w:val="false"/>
          <w:color w:val="000000"/>
          <w:sz w:val="18"/>
        </w:rPr>
      </w:pPr>
      <w:r>
        <w:rPr>
          <w:rFonts w:ascii="Arial;sans-serif" w:hAnsi="Arial;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80"/>
        <w:ind w:left="0" w:right="0" w:firstLine="720"/>
        <w:jc w:val="left"/>
        <w:rPr/>
      </w:pPr>
      <w:r>
        <w:rPr/>
      </w:r>
    </w:p>
    <w:p>
      <w:pPr>
        <w:pStyle w:val="TextBody"/>
        <w:bidi w:val="0"/>
        <w:spacing w:before="0" w:after="180"/>
        <w:jc w:val="left"/>
        <w:rPr/>
      </w:pPr>
      <w:r>
        <w:rPr/>
      </w:r>
    </w:p>
    <w:p>
      <w:pPr>
        <w:pStyle w:val="TextBody"/>
        <w:bidi w:val="0"/>
        <w:spacing w:lineRule="auto" w:line="288" w:before="0" w:after="0"/>
        <w:jc w:val="left"/>
        <w:rPr>
          <w:color w:val="000000"/>
        </w:rPr>
      </w:pPr>
      <w:r>
        <w:rPr>
          <w:color w:val="000000"/>
        </w:rPr>
        <w:t> </w:t>
      </w:r>
    </w:p>
    <w:tbl>
      <w:tblPr>
        <w:tblW w:w="5861" w:type="dxa"/>
        <w:jc w:val="center"/>
        <w:tblInd w:w="0" w:type="dxa"/>
        <w:tblLayout w:type="fixed"/>
        <w:tblCellMar>
          <w:top w:w="28" w:type="dxa"/>
          <w:left w:w="28" w:type="dxa"/>
          <w:bottom w:w="28" w:type="dxa"/>
          <w:right w:w="28" w:type="dxa"/>
        </w:tblCellMar>
      </w:tblPr>
      <w:tblGrid>
        <w:gridCol w:w="439"/>
        <w:gridCol w:w="385"/>
        <w:gridCol w:w="390"/>
        <w:gridCol w:w="109"/>
        <w:gridCol w:w="109"/>
        <w:gridCol w:w="109"/>
        <w:gridCol w:w="1262"/>
        <w:gridCol w:w="1262"/>
        <w:gridCol w:w="1796"/>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r>
      <w:tr>
        <w:trPr/>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June 30, 2023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2427" w:type="dxa"/>
        <w:jc w:val="left"/>
        <w:tblInd w:w="0" w:type="dxa"/>
        <w:tblLayout w:type="fixed"/>
        <w:tblCellMar>
          <w:top w:w="28" w:type="dxa"/>
          <w:left w:w="28" w:type="dxa"/>
          <w:bottom w:w="28" w:type="dxa"/>
          <w:right w:w="28" w:type="dxa"/>
        </w:tblCellMar>
      </w:tblPr>
      <w:tblGrid>
        <w:gridCol w:w="743"/>
        <w:gridCol w:w="653"/>
        <w:gridCol w:w="659"/>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P. Adams, Jr.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27,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18 U.S.C. SECTION 1350,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ADOPTED PURSUANT TO</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on Form 10-Q of FTAI Aviation Ltd. (the “Company”) for the quarterly period ended June 30, 2023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and</w:t>
      </w:r>
    </w:p>
    <w:p>
      <w:pPr>
        <w:pStyle w:val="TextBody"/>
        <w:bidi w:val="0"/>
        <w:spacing w:lineRule="auto" w:line="288" w:before="180" w:after="283"/>
        <w:ind w:left="0" w:right="0" w:hanging="720"/>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tbl>
      <w:tblPr>
        <w:tblW w:w="4662" w:type="dxa"/>
        <w:jc w:val="left"/>
        <w:tblInd w:w="0" w:type="dxa"/>
        <w:tblLayout w:type="fixed"/>
        <w:tblCellMar>
          <w:top w:w="28" w:type="dxa"/>
          <w:left w:w="28" w:type="dxa"/>
          <w:bottom w:w="28" w:type="dxa"/>
          <w:right w:w="28" w:type="dxa"/>
        </w:tblCellMar>
      </w:tblPr>
      <w:tblGrid>
        <w:gridCol w:w="1553"/>
        <w:gridCol w:w="1366"/>
        <w:gridCol w:w="1371"/>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Eun (Angela) Nam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Eun (Angela) Nam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27,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0364/000114036122027698/brhc10040167_ex2-1.htm" TargetMode="External"/><Relationship Id="rId4" Type="http://schemas.openxmlformats.org/officeDocument/2006/relationships/hyperlink" Target="https://www.sec.gov/Archives/edgar/data/1590364/000114036122041421/brhc10044020_ex3-1.htm" TargetMode="External"/><Relationship Id="rId5" Type="http://schemas.openxmlformats.org/officeDocument/2006/relationships/hyperlink" Target="https://www.sec.gov/Archives/edgar/data/1590364/000114036122041421/brhc10044020_ex3-1.htm" TargetMode="External"/><Relationship Id="rId6" Type="http://schemas.openxmlformats.org/officeDocument/2006/relationships/hyperlink" Target="https://www.sec.gov/Archives/edgar/data/1590364/000114036122041421/brhc10044020_ex3-1.htm" TargetMode="External"/><Relationship Id="rId7" Type="http://schemas.openxmlformats.org/officeDocument/2006/relationships/hyperlink" Target="https://www.sec.gov/Archives/edgar/data/1590364/000114036122041421/brhc10044020_ex3-1.htm" TargetMode="External"/><Relationship Id="rId8" Type="http://schemas.openxmlformats.org/officeDocument/2006/relationships/hyperlink" Target="https://www.sec.gov/Archives/edgar/data/1590364/000114036123011743/brhc10049807_ex4-1.htm" TargetMode="External"/><Relationship Id="rId9" Type="http://schemas.openxmlformats.org/officeDocument/2006/relationships/hyperlink" Target="https://www.sec.gov/Archives/edgar/data/1590364/000114036122041421/brhc10044020_ex3-1.htm" TargetMode="External"/><Relationship Id="rId10" Type="http://schemas.openxmlformats.org/officeDocument/2006/relationships/hyperlink" Target="https://www.sec.gov/Archives/edgar/data/1590364/000114036122041421/brhc10044020_ex3-1.htm" TargetMode="External"/><Relationship Id="rId11" Type="http://schemas.openxmlformats.org/officeDocument/2006/relationships/hyperlink" Target="https://www.sec.gov/Archives/edgar/data/1590364/000114036122041421/brhc10044020_ex3-1.htm" TargetMode="External"/><Relationship Id="rId12" Type="http://schemas.openxmlformats.org/officeDocument/2006/relationships/hyperlink" Target="https://www.sec.gov/Archives/edgar/data/1590364/000114036123011743/brhc10049807_ex4-2.htm" TargetMode="External"/><Relationship Id="rId13" Type="http://schemas.openxmlformats.org/officeDocument/2006/relationships/hyperlink" Target="https://www.sec.gov/Archives/edgar/data/1590364/000114036118038650/ex4_1.htm" TargetMode="External"/><Relationship Id="rId14" Type="http://schemas.openxmlformats.org/officeDocument/2006/relationships/hyperlink" Target="https://www.sec.gov/Archives/edgar/data/1590364/000114036118038650/ex4_1.htm" TargetMode="External"/><Relationship Id="rId15" Type="http://schemas.openxmlformats.org/officeDocument/2006/relationships/hyperlink" Target="https://www.sec.gov/Archives/edgar/data/1590364/000114036119009546/nc10001919x3_ex4-1.htm" TargetMode="External"/><Relationship Id="rId16" Type="http://schemas.openxmlformats.org/officeDocument/2006/relationships/hyperlink" Target="https://www.sec.gov/Archives/edgar/data/1590364/000114036120029408/brhc10018302_ex4-1.htm" TargetMode="External"/><Relationship Id="rId17" Type="http://schemas.openxmlformats.org/officeDocument/2006/relationships/hyperlink" Target="https://www.sec.gov/Archives/edgar/data/0001590364/000114036122041407/brhc10044100_ex4-1.htm" TargetMode="External"/><Relationship Id="rId18" Type="http://schemas.openxmlformats.org/officeDocument/2006/relationships/hyperlink" Target="http://www.sec.gov/Archives/edgar/data/1590364/000114036121012434/nt10022837x5_ex4-1.htm" TargetMode="External"/><Relationship Id="rId19" Type="http://schemas.openxmlformats.org/officeDocument/2006/relationships/hyperlink" Target="http://www.sec.gov/Archives/edgar/data/1590364/000114036121012434/nt10022837x5_ex4-1.htm" TargetMode="External"/><Relationship Id="rId20" Type="http://schemas.openxmlformats.org/officeDocument/2006/relationships/hyperlink" Target="http://www.sec.gov/Archives/edgar/data/1590364/000114036121032467/ny20000775x4_ex4-1.htm" TargetMode="External"/><Relationship Id="rId21" Type="http://schemas.openxmlformats.org/officeDocument/2006/relationships/hyperlink" Target="https://www.sec.gov/Archives/edgar/data/0001590364/000114036122041407/brhc10044100_ex4-3.htm" TargetMode="External"/><Relationship Id="rId22" Type="http://schemas.openxmlformats.org/officeDocument/2006/relationships/hyperlink" Target="https://www.sec.gov/Archives/edgar/data/1590364/000114036120016865/nt1003669x5_ex4-1.htm" TargetMode="External"/><Relationship Id="rId23" Type="http://schemas.openxmlformats.org/officeDocument/2006/relationships/hyperlink" Target="https://www.sec.gov/Archives/edgar/data/1590364/000114036120016865/nt1003669x5_ex4-1.htm" TargetMode="External"/><Relationship Id="rId24" Type="http://schemas.openxmlformats.org/officeDocument/2006/relationships/hyperlink" Target="https://www.sec.gov/Archives/edgar/data/0001590364/000114036122041407/brhc10044100_ex4-2.htm" TargetMode="External"/><Relationship Id="rId25" Type="http://schemas.openxmlformats.org/officeDocument/2006/relationships/hyperlink" Target="https://www.sec.gov/Archives/edgar/data/0001590364/000114036122041407/brhc10044100_ex4-4.htm" TargetMode="External"/><Relationship Id="rId26" Type="http://schemas.openxmlformats.org/officeDocument/2006/relationships/hyperlink" Target="https://www.sec.gov/Archives/edgar/data/1590364/000159036423000007/ftaiaviation12312022ex414.htm" TargetMode="External"/><Relationship Id="rId27" Type="http://schemas.openxmlformats.org/officeDocument/2006/relationships/hyperlink" Target="https://www.sec.gov/Archives/edgar/data/1590364/000114036122027698/brhc10040167_ex10-1.htm" TargetMode="External"/><Relationship Id="rId28" Type="http://schemas.openxmlformats.org/officeDocument/2006/relationships/hyperlink" Target="https://www.sec.gov/Archives/edgar/data/1590364/000114036122041421/brhc10044020_ex10-1.htm" TargetMode="External"/><Relationship Id="rId29" Type="http://schemas.openxmlformats.org/officeDocument/2006/relationships/hyperlink" Target="https://www.sec.gov/Archives/edgar/data/1590364/000114036122041421/brhc10044020_ex10-2.htm" TargetMode="External"/><Relationship Id="rId30" Type="http://schemas.openxmlformats.org/officeDocument/2006/relationships/hyperlink" Target="https://www.sec.gov/Archives/edgar/data/1590364/000159036423000007/ftaiaviation12312022ex104.htm" TargetMode="External"/><Relationship Id="rId31" Type="http://schemas.openxmlformats.org/officeDocument/2006/relationships/hyperlink" Target="https://www.sec.gov/Archives/edgar/data/1942420/000114036122029494/ny20005018x1_ex10-5.htm" TargetMode="External"/><Relationship Id="rId32" Type="http://schemas.openxmlformats.org/officeDocument/2006/relationships/hyperlink" Target="https://www.sec.gov/Archives/edgar/data/1942420/000114036122029494/ny20005018x1_ex10-6.htm" TargetMode="External"/><Relationship Id="rId33" Type="http://schemas.openxmlformats.org/officeDocument/2006/relationships/hyperlink" Target="https://www.sec.gov/Archives/edgar/data/1942420/000114036122029494/ny20005018x1_ex10-7.htm" TargetMode="External"/><Relationship Id="rId34" Type="http://schemas.openxmlformats.org/officeDocument/2006/relationships/hyperlink" Target="https://www.sec.gov/ix?doc=/Archives/edgar/data/0001590364/000114036122027698/brhc10040167_8k.htm" TargetMode="External"/><Relationship Id="rId35" Type="http://schemas.openxmlformats.org/officeDocument/2006/relationships/hyperlink" Target="https://www.sec.gov/Archives/edgar/data/1590364/000114036122034108/brhc10042070_ex10-1.htm" TargetMode="External"/><Relationship Id="rId36" Type="http://schemas.openxmlformats.org/officeDocument/2006/relationships/hyperlink" Target="https://www.sec.gov/Archives/edgar/data/1590364/000159036423000007/ftaiaviation12312022ex1010.htm" TargetMode="External"/><Relationship Id="rId37" Type="http://schemas.openxmlformats.org/officeDocument/2006/relationships/hyperlink" Target="https://www.sec.gov/Archives/edgar/data/1590364/000159036423000013/ftai3312023exhibit101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42066</Words>
  <Characters>233750</Characters>
  <CharactersWithSpaces>273697</CharactersWithSpaces>
  <Paragraphs>4602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