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FTAI Aviation Ltd.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Capital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766,221.00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5,361,523.00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5,361,523.00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5.22 %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In accordance with SEC Release No. 34-39538 (January 12, 1998), this Schedule 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 This submission is being filed solely to correct the issuer CIK reported in a previously filed Schedule 13G. No change in beneficial ownership is being reported.</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FTAI Aviation Ltd.</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1345 Avenue of the Americas, New York, NY, 10105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Capital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5361523</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5.22  %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766221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5361523</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520" w:type="dxa"/>
        <w:jc w:val="left"/>
        <w:tblInd w:w="0" w:type="dxa"/>
        <w:tblLayout w:type="fixed"/>
        <w:tblCellMar>
          <w:top w:w="28" w:type="dxa"/>
          <w:left w:w="28" w:type="dxa"/>
          <w:bottom w:w="28" w:type="dxa"/>
          <w:right w:w="28" w:type="dxa"/>
        </w:tblCellMar>
      </w:tblPr>
      <w:tblGrid>
        <w:gridCol w:w="3260"/>
        <w:gridCol w:w="3260"/>
      </w:tblGrid>
      <w:tr>
        <w:trPr/>
        <w:tc>
          <w:tcPr>
            <w:tcW w:w="3260" w:type="dxa"/>
            <w:tcBorders/>
            <w:vAlign w:val="center"/>
          </w:tcPr>
          <w:p>
            <w:pPr>
              <w:pStyle w:val="TableContents"/>
              <w:bidi w:val="0"/>
              <w:spacing w:before="0" w:after="0"/>
              <w:jc w:val="left"/>
              <w:rPr/>
            </w:pPr>
            <w:r>
              <w:rPr/>
              <w:t> </w:t>
            </w:r>
          </w:p>
          <w:tbl>
            <w:tblPr>
              <w:tblW w:w="3136" w:type="dxa"/>
              <w:jc w:val="left"/>
              <w:tblInd w:w="0" w:type="dxa"/>
              <w:tblLayout w:type="fixed"/>
              <w:tblCellMar>
                <w:top w:w="28" w:type="dxa"/>
                <w:left w:w="28" w:type="dxa"/>
                <w:bottom w:w="28" w:type="dxa"/>
                <w:right w:w="28" w:type="dxa"/>
              </w:tblCellMar>
            </w:tblPr>
            <w:tblGrid>
              <w:gridCol w:w="3136"/>
            </w:tblGrid>
            <w:tr>
              <w:trPr/>
              <w:tc>
                <w:tcPr>
                  <w:tcW w:w="3136" w:type="dxa"/>
                  <w:tcBorders/>
                  <w:vAlign w:val="center"/>
                </w:tcPr>
                <w:p>
                  <w:pPr>
                    <w:pStyle w:val="TableContents"/>
                    <w:bidi w:val="0"/>
                    <w:spacing w:before="0" w:after="0"/>
                    <w:jc w:val="left"/>
                    <w:rPr/>
                  </w:pPr>
                  <w:r>
                    <w:rPr/>
                    <w:t>Vanguard Capital Management</w:t>
                  </w:r>
                </w:p>
              </w:tc>
            </w:tr>
          </w:tbl>
          <w:p>
            <w:pPr>
              <w:pStyle w:val="TableContents"/>
              <w:bidi w:val="0"/>
              <w:spacing w:before="0" w:after="283"/>
              <w:jc w:val="left"/>
              <w:rPr/>
            </w:pPr>
            <w:r>
              <w:rPr/>
            </w:r>
          </w:p>
        </w:tc>
        <w:tc>
          <w:tcPr>
            <w:tcW w:w="326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5"/>
        <w:gridCol w:w="4160"/>
      </w:tblGrid>
      <w:tr>
        <w:trPr/>
        <w:tc>
          <w:tcPr>
            <w:tcW w:w="604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My Trieu-Gatt</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Authorized Signatory, Head of Global Fund Administration</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09/03/2026</w:t>
                  </w:r>
                </w:p>
              </w:tc>
            </w:tr>
          </w:tbl>
          <w:p>
            <w:pPr>
              <w:pStyle w:val="TableContents"/>
              <w:bidi w:val="0"/>
              <w:spacing w:before="0" w:after="283"/>
              <w:jc w:val="left"/>
              <w:rPr/>
            </w:pPr>
            <w:r>
              <w:rPr/>
            </w:r>
          </w:p>
        </w:tc>
        <w:tc>
          <w:tcPr>
            <w:tcW w:w="416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1050</Words>
  <Characters>5549</Characters>
  <CharactersWithSpaces>6590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