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UNITED STATES SECURITIES AND EXCHANGE COMMISSION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316"/>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58"/>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473"/>
        </w:trPr>
        <w:tc>
          <w:tcPr>
            <w:tcW w:w="1000" w:type="dxa"/>
            <w:vAlign w:val="bottom"/>
          </w:tcPr>
          <w:p>
            <w:pPr>
              <w:spacing w:after="0"/>
              <w:rPr>
                <w:sz w:val="24"/>
                <w:szCs w:val="24"/>
                <w:color w:val="auto"/>
              </w:rPr>
            </w:pPr>
          </w:p>
        </w:tc>
        <w:tc>
          <w:tcPr>
            <w:tcW w:w="9080" w:type="dxa"/>
            <w:vAlign w:val="bottom"/>
          </w:tcPr>
          <w:p>
            <w:pPr>
              <w:jc w:val="center"/>
              <w:ind w:left="58"/>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43"/>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jc w:val="center"/>
              <w:ind w:left="38"/>
              <w:spacing w:after="0"/>
              <w:rPr>
                <w:sz w:val="20"/>
                <w:szCs w:val="20"/>
                <w:color w:val="auto"/>
              </w:rPr>
            </w:pPr>
            <w:r>
              <w:rPr>
                <w:rFonts w:ascii="Arial" w:cs="Arial" w:eastAsia="Arial" w:hAnsi="Arial"/>
                <w:sz w:val="16"/>
                <w:szCs w:val="16"/>
                <w:color w:val="auto"/>
                <w:w w:val="99"/>
              </w:rPr>
              <w:t>OR</w:t>
            </w:r>
          </w:p>
        </w:tc>
        <w:tc>
          <w:tcPr>
            <w:tcW w:w="0" w:type="dxa"/>
            <w:vAlign w:val="bottom"/>
          </w:tcPr>
          <w:p>
            <w:pPr>
              <w:spacing w:after="0"/>
              <w:rPr>
                <w:sz w:val="1"/>
                <w:szCs w:val="1"/>
                <w:color w:val="auto"/>
              </w:rPr>
            </w:pPr>
          </w:p>
        </w:tc>
      </w:tr>
      <w:tr>
        <w:trPr>
          <w:trHeight w:val="269"/>
        </w:trPr>
        <w:tc>
          <w:tcPr>
            <w:tcW w:w="1000" w:type="dxa"/>
            <w:vAlign w:val="bottom"/>
            <w:vMerge w:val="continue"/>
          </w:tcPr>
          <w:p>
            <w:pPr>
              <w:spacing w:after="0"/>
              <w:rPr>
                <w:sz w:val="23"/>
                <w:szCs w:val="23"/>
                <w:color w:val="auto"/>
              </w:rPr>
            </w:pPr>
          </w:p>
        </w:tc>
        <w:tc>
          <w:tcPr>
            <w:tcW w:w="9080" w:type="dxa"/>
            <w:vAlign w:val="bottom"/>
          </w:tcPr>
          <w:p>
            <w:pPr>
              <w:ind w:left="82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528"/>
        </w:trPr>
        <w:tc>
          <w:tcPr>
            <w:tcW w:w="1000" w:type="dxa"/>
            <w:vAlign w:val="bottom"/>
          </w:tcPr>
          <w:p>
            <w:pPr>
              <w:spacing w:after="0"/>
              <w:rPr>
                <w:sz w:val="24"/>
                <w:szCs w:val="24"/>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For the transition period from ____ to ____</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9080" w:type="dxa"/>
            <w:vAlign w:val="bottom"/>
          </w:tcPr>
          <w:p>
            <w:pPr>
              <w:jc w:val="center"/>
              <w:ind w:left="38"/>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149225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7"/>
          <w:szCs w:val="17"/>
          <w:color w:val="auto"/>
        </w:rPr>
        <w:t>)</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jc w:val="center"/>
              <w:ind w:left="1779"/>
              <w:spacing w:after="0"/>
              <w:rPr>
                <w:sz w:val="20"/>
                <w:szCs w:val="20"/>
                <w:color w:val="auto"/>
              </w:rPr>
            </w:pPr>
            <w:r>
              <w:rPr>
                <w:rFonts w:ascii="Arial" w:cs="Arial" w:eastAsia="Arial" w:hAnsi="Arial"/>
                <w:sz w:val="16"/>
                <w:szCs w:val="16"/>
                <w:b w:val="1"/>
                <w:bCs w:val="1"/>
                <w:color w:val="auto"/>
                <w:w w:val="99"/>
              </w:rPr>
              <w:t>Delaware</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right"/>
              <w:ind w:right="1959"/>
              <w:spacing w:after="0"/>
              <w:rPr>
                <w:sz w:val="20"/>
                <w:szCs w:val="20"/>
                <w:color w:val="auto"/>
              </w:rPr>
            </w:pPr>
            <w:r>
              <w:rPr>
                <w:rFonts w:ascii="Arial" w:cs="Arial" w:eastAsia="Arial" w:hAnsi="Arial"/>
                <w:sz w:val="16"/>
                <w:szCs w:val="16"/>
                <w:b w:val="1"/>
                <w:bCs w:val="1"/>
                <w:color w:val="auto"/>
              </w:rPr>
              <w:t>32-0434238</w:t>
            </w:r>
          </w:p>
        </w:tc>
      </w:tr>
      <w:tr>
        <w:trPr>
          <w:trHeight w:val="207"/>
        </w:trPr>
        <w:tc>
          <w:tcPr>
            <w:tcW w:w="628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 of incorporation or organization)</w:t>
            </w:r>
          </w:p>
        </w:tc>
        <w:tc>
          <w:tcPr>
            <w:tcW w:w="1100" w:type="dxa"/>
            <w:vAlign w:val="bottom"/>
          </w:tcPr>
          <w:p>
            <w:pPr>
              <w:spacing w:after="0"/>
              <w:rPr>
                <w:sz w:val="17"/>
                <w:szCs w:val="17"/>
                <w:color w:val="auto"/>
              </w:rPr>
            </w:pPr>
          </w:p>
        </w:tc>
        <w:tc>
          <w:tcPr>
            <w:tcW w:w="3840" w:type="dxa"/>
            <w:vAlign w:val="bottom"/>
            <w:gridSpan w:val="3"/>
          </w:tcPr>
          <w:p>
            <w:pPr>
              <w:jc w:val="center"/>
              <w:ind w:right="1039"/>
              <w:spacing w:after="0"/>
              <w:rPr>
                <w:sz w:val="20"/>
                <w:szCs w:val="20"/>
                <w:color w:val="auto"/>
              </w:rPr>
            </w:pPr>
            <w:r>
              <w:rPr>
                <w:rFonts w:ascii="Arial" w:cs="Arial" w:eastAsia="Arial" w:hAnsi="Arial"/>
                <w:sz w:val="16"/>
                <w:szCs w:val="16"/>
                <w:color w:val="auto"/>
              </w:rPr>
              <w:t>(I.R.S. Employer Identification No.)</w:t>
            </w:r>
          </w:p>
        </w:tc>
      </w:tr>
      <w:tr>
        <w:trPr>
          <w:trHeight w:val="435"/>
        </w:trPr>
        <w:tc>
          <w:tcPr>
            <w:tcW w:w="4320" w:type="dxa"/>
            <w:vAlign w:val="bottom"/>
          </w:tcPr>
          <w:p>
            <w:pPr>
              <w:ind w:left="580"/>
              <w:spacing w:after="0"/>
              <w:rPr>
                <w:sz w:val="20"/>
                <w:szCs w:val="20"/>
                <w:color w:val="auto"/>
              </w:rPr>
            </w:pPr>
            <w:r>
              <w:rPr>
                <w:rFonts w:ascii="Arial" w:cs="Arial" w:eastAsia="Arial" w:hAnsi="Arial"/>
                <w:sz w:val="16"/>
                <w:szCs w:val="16"/>
                <w:b w:val="1"/>
                <w:bCs w:val="1"/>
                <w:color w:val="auto"/>
              </w:rPr>
              <w:t>1345 Avenue of the Americas, 45th Floor</w:t>
            </w:r>
          </w:p>
        </w:tc>
        <w:tc>
          <w:tcPr>
            <w:tcW w:w="1960" w:type="dxa"/>
            <w:vAlign w:val="bottom"/>
            <w:gridSpan w:val="2"/>
          </w:tcPr>
          <w:p>
            <w:pPr>
              <w:ind w:left="600"/>
              <w:spacing w:after="0"/>
              <w:rPr>
                <w:sz w:val="20"/>
                <w:szCs w:val="20"/>
                <w:color w:val="auto"/>
              </w:rPr>
            </w:pPr>
            <w:r>
              <w:rPr>
                <w:rFonts w:ascii="Arial" w:cs="Arial" w:eastAsia="Arial" w:hAnsi="Arial"/>
                <w:sz w:val="16"/>
                <w:szCs w:val="16"/>
                <w:b w:val="1"/>
                <w:bCs w:val="1"/>
                <w:color w:val="auto"/>
              </w:rPr>
              <w:t>New York</w:t>
            </w:r>
          </w:p>
        </w:tc>
        <w:tc>
          <w:tcPr>
            <w:tcW w:w="1100" w:type="dxa"/>
            <w:vAlign w:val="bottom"/>
          </w:tcPr>
          <w:p>
            <w:pPr>
              <w:ind w:left="760"/>
              <w:spacing w:after="0"/>
              <w:rPr>
                <w:sz w:val="20"/>
                <w:szCs w:val="20"/>
                <w:color w:val="auto"/>
              </w:rPr>
            </w:pPr>
            <w:r>
              <w:rPr>
                <w:rFonts w:ascii="Arial" w:cs="Arial" w:eastAsia="Arial" w:hAnsi="Arial"/>
                <w:sz w:val="16"/>
                <w:szCs w:val="16"/>
                <w:b w:val="1"/>
                <w:bCs w:val="1"/>
                <w:color w:val="auto"/>
              </w:rPr>
              <w:t>NY</w:t>
            </w:r>
          </w:p>
        </w:tc>
        <w:tc>
          <w:tcPr>
            <w:tcW w:w="384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10105</w:t>
            </w:r>
          </w:p>
        </w:tc>
      </w:tr>
      <w:tr>
        <w:trPr>
          <w:trHeight w:val="206"/>
        </w:trPr>
        <w:tc>
          <w:tcPr>
            <w:tcW w:w="6280" w:type="dxa"/>
            <w:vAlign w:val="bottom"/>
            <w:tcBorders>
              <w:top w:val="single" w:sz="8" w:color="auto"/>
            </w:tcBorders>
            <w:gridSpan w:val="3"/>
          </w:tcPr>
          <w:p>
            <w:pPr>
              <w:ind w:left="2640"/>
              <w:spacing w:after="0"/>
              <w:rPr>
                <w:sz w:val="20"/>
                <w:szCs w:val="20"/>
                <w:color w:val="auto"/>
              </w:rPr>
            </w:pPr>
            <w:r>
              <w:rPr>
                <w:rFonts w:ascii="Arial" w:cs="Arial" w:eastAsia="Arial" w:hAnsi="Arial"/>
                <w:sz w:val="16"/>
                <w:szCs w:val="16"/>
                <w:color w:val="auto"/>
              </w:rPr>
              <w:t>(Address of principal executive offices)</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7"/>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shares, $0.01 par value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FTAI</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Fixed-to-Floating Rate Series A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A</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8.00% Fixed-to-Floating Rate Series B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FTAI PR B</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3"/>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8.25% Fixed-Rate Reset Series C Cumulative Perpetual Redeemable</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95"/>
        </w:trPr>
        <w:tc>
          <w:tcPr>
            <w:tcW w:w="5760" w:type="dxa"/>
            <w:vAlign w:val="bottom"/>
            <w:gridSpan w:val="2"/>
          </w:tcPr>
          <w:p>
            <w:pPr>
              <w:jc w:val="center"/>
              <w:ind w:right="100"/>
              <w:spacing w:after="0"/>
              <w:rPr>
                <w:sz w:val="20"/>
                <w:szCs w:val="20"/>
                <w:color w:val="auto"/>
              </w:rPr>
            </w:pPr>
            <w:r>
              <w:rPr>
                <w:rFonts w:ascii="Arial" w:cs="Arial" w:eastAsia="Arial" w:hAnsi="Arial"/>
                <w:sz w:val="16"/>
                <w:szCs w:val="16"/>
                <w:color w:val="auto"/>
              </w:rPr>
              <w:t>Preferred Shares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FTAI PR C</w:t>
            </w:r>
          </w:p>
        </w:tc>
        <w:tc>
          <w:tcPr>
            <w:tcW w:w="3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780" w:type="dxa"/>
        <w:tblCellMar>
          <w:top w:w="0" w:type="dxa"/>
          <w:left w:w="0" w:type="dxa"/>
          <w:bottom w:w="0" w:type="dxa"/>
          <w:right w:w="0" w:type="dxa"/>
        </w:tblCellMar>
      </w:tblPr>
      <w:tr>
        <w:trPr>
          <w:trHeight w:val="209"/>
        </w:trPr>
        <w:tc>
          <w:tcPr>
            <w:tcW w:w="2020" w:type="dxa"/>
            <w:vAlign w:val="bottom"/>
          </w:tcPr>
          <w:p>
            <w:pPr>
              <w:jc w:val="center"/>
              <w:ind w:right="339"/>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20" w:type="dxa"/>
            <w:vAlign w:val="bottom"/>
          </w:tcPr>
          <w:p>
            <w:pPr>
              <w:jc w:val="center"/>
              <w:ind w:right="319"/>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0"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right="220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85,630,753 common shares representing limited liability company interests outstanding at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00497F"/>
        </w:rPr>
        <w:t>FORWARD-LOOKING STATEMENTS AND RISK FACTORS SUMMARY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spacing w:after="0" w:line="43" w:lineRule="exact"/>
        <w:rPr>
          <w:sz w:val="20"/>
          <w:szCs w:val="20"/>
          <w:color w:val="auto"/>
        </w:rPr>
      </w:pPr>
    </w:p>
    <w:p>
      <w:pPr>
        <w:jc w:val="both"/>
        <w:ind w:left="820" w:right="20" w:hanging="326"/>
        <w:spacing w:after="0" w:line="257"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ongoing COVID-19 pandemic and other public health crises, and any related responses or actions by businesses and governments;</w:t>
      </w:r>
    </w:p>
    <w:p>
      <w:pPr>
        <w:spacing w:after="0" w:line="226"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competition within the aviation, energy and intermodal transport sectors;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infrastructure operations and maintenance may require substantial capital expenditures;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 -looking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800" w:type="dxa"/>
            <w:vAlign w:val="bottom"/>
          </w:tcPr>
          <w:p>
            <w:pPr>
              <w:ind w:left="3860"/>
              <w:spacing w:after="0"/>
              <w:rPr>
                <w:sz w:val="20"/>
                <w:szCs w:val="20"/>
                <w:color w:val="auto"/>
              </w:rPr>
            </w:pPr>
            <w:r>
              <w:rPr>
                <w:rFonts w:ascii="Arial" w:cs="Arial" w:eastAsia="Arial" w:hAnsi="Arial"/>
                <w:sz w:val="14"/>
                <w:szCs w:val="14"/>
                <w:b w:val="1"/>
                <w:bCs w:val="1"/>
                <w:color w:val="006EBF"/>
              </w:rPr>
              <w:t>PART I - FINANCIAL INFORMATION</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vMerge w:val="continue"/>
          </w:tcPr>
          <w:p>
            <w:pPr>
              <w:spacing w:after="0"/>
              <w:rPr>
                <w:sz w:val="16"/>
                <w:szCs w:val="16"/>
                <w:color w:val="auto"/>
              </w:rPr>
            </w:pPr>
          </w:p>
        </w:tc>
        <w:tc>
          <w:tcPr>
            <w:tcW w:w="88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Unaudited Consolidated Financial Statements of Fortress Transportation and Infrastructure Investors LLC:</w:t>
              </w:r>
            </w:hyperlink>
          </w:p>
        </w:tc>
        <w:tc>
          <w:tcPr>
            <w:tcW w:w="1540" w:type="dxa"/>
            <w:vAlign w:val="bottom"/>
          </w:tcPr>
          <w:p>
            <w:pPr>
              <w:jc w:val="center"/>
              <w:ind w:left="130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Balance Sheets as of March 31, 2021 and December 31, 2020</w:t>
              </w:r>
            </w:hyperlink>
          </w:p>
        </w:tc>
        <w:tc>
          <w:tcPr>
            <w:tcW w:w="1540" w:type="dxa"/>
            <w:vAlign w:val="bottom"/>
          </w:tcPr>
          <w:p>
            <w:pPr>
              <w:jc w:val="center"/>
              <w:ind w:left="1308"/>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200"/>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Operations for the three months ended March 31, 2021 and 2020</w:t>
              </w:r>
            </w:hyperlink>
          </w:p>
        </w:tc>
        <w:tc>
          <w:tcPr>
            <w:tcW w:w="1540" w:type="dxa"/>
            <w:vAlign w:val="bottom"/>
          </w:tcPr>
          <w:p>
            <w:pPr>
              <w:jc w:val="center"/>
              <w:ind w:left="1308"/>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800" w:type="dxa"/>
            <w:vAlign w:val="bottom"/>
          </w:tcPr>
          <w:p>
            <w:pPr>
              <w:ind w:left="220"/>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(Loss) Income for the three months ended March 31, 2021 and 2020</w:t>
              </w:r>
            </w:hyperlink>
          </w:p>
        </w:tc>
        <w:tc>
          <w:tcPr>
            <w:tcW w:w="1540" w:type="dxa"/>
            <w:vAlign w:val="bottom"/>
          </w:tcPr>
          <w:p>
            <w:pPr>
              <w:jc w:val="center"/>
              <w:ind w:left="1308"/>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220"/>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Statement of Changes in Equity for the three months ended March 31, 2021 and 2020</w:t>
              </w:r>
            </w:hyperlink>
          </w:p>
        </w:tc>
        <w:tc>
          <w:tcPr>
            <w:tcW w:w="1540" w:type="dxa"/>
            <w:vAlign w:val="bottom"/>
          </w:tcPr>
          <w:p>
            <w:pPr>
              <w:jc w:val="center"/>
              <w:ind w:left="1308"/>
              <w:spacing w:after="0"/>
              <w:rPr>
                <w:rFonts w:ascii="Arial" w:cs="Arial" w:eastAsia="Arial" w:hAnsi="Arial"/>
                <w:sz w:val="14"/>
                <w:szCs w:val="14"/>
                <w:color w:val="0000FF"/>
              </w:rPr>
            </w:pPr>
            <w:hyperlink w:anchor="page8">
              <w:r>
                <w:rPr>
                  <w:rFonts w:ascii="Arial" w:cs="Arial" w:eastAsia="Arial" w:hAnsi="Arial"/>
                  <w:sz w:val="14"/>
                  <w:szCs w:val="14"/>
                  <w:color w:val="0000FF"/>
                </w:rPr>
                <w:t>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220"/>
              <w:spacing w:after="0"/>
              <w:rPr>
                <w:rFonts w:ascii="Arial" w:cs="Arial" w:eastAsia="Arial" w:hAnsi="Arial"/>
                <w:sz w:val="14"/>
                <w:szCs w:val="14"/>
                <w:color w:val="0000FF"/>
              </w:rPr>
            </w:pPr>
            <w:hyperlink w:anchor="page9">
              <w:r>
                <w:rPr>
                  <w:rFonts w:ascii="Arial" w:cs="Arial" w:eastAsia="Arial" w:hAnsi="Arial"/>
                  <w:sz w:val="14"/>
                  <w:szCs w:val="14"/>
                  <w:color w:val="0000FF"/>
                </w:rPr>
                <w:t>Consolidated Statements of Cash Flows for the three months ended March 31, 2021 and 2020</w:t>
              </w:r>
            </w:hyperlink>
          </w:p>
        </w:tc>
        <w:tc>
          <w:tcPr>
            <w:tcW w:w="1540" w:type="dxa"/>
            <w:vAlign w:val="bottom"/>
          </w:tcPr>
          <w:p>
            <w:pPr>
              <w:jc w:val="center"/>
              <w:ind w:left="1308"/>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220"/>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Consolidated Financial Statements</w:t>
              </w:r>
            </w:hyperlink>
          </w:p>
        </w:tc>
        <w:tc>
          <w:tcPr>
            <w:tcW w:w="1540" w:type="dxa"/>
            <w:vAlign w:val="bottom"/>
          </w:tcPr>
          <w:p>
            <w:pPr>
              <w:jc w:val="center"/>
              <w:ind w:left="1308"/>
              <w:spacing w:after="0"/>
              <w:rPr>
                <w:rFonts w:ascii="Arial" w:cs="Arial" w:eastAsia="Arial" w:hAnsi="Arial"/>
                <w:sz w:val="14"/>
                <w:szCs w:val="14"/>
                <w:color w:val="0000FF"/>
              </w:rPr>
            </w:pPr>
            <w:hyperlink w:anchor="page11">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1: Organization</w:t>
              </w:r>
            </w:hyperlink>
          </w:p>
        </w:tc>
        <w:tc>
          <w:tcPr>
            <w:tcW w:w="1540" w:type="dxa"/>
            <w:vAlign w:val="bottom"/>
          </w:tcPr>
          <w:p>
            <w:pPr>
              <w:jc w:val="center"/>
              <w:ind w:left="130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2">
              <w:r>
                <w:rPr>
                  <w:rFonts w:ascii="Arial" w:cs="Arial" w:eastAsia="Arial" w:hAnsi="Arial"/>
                  <w:sz w:val="14"/>
                  <w:szCs w:val="14"/>
                  <w:color w:val="0000FF"/>
                </w:rPr>
                <w:t>Note 2: Summary of Significant Accounting Policies</w:t>
              </w:r>
            </w:hyperlink>
          </w:p>
        </w:tc>
        <w:tc>
          <w:tcPr>
            <w:tcW w:w="1540" w:type="dxa"/>
            <w:vAlign w:val="bottom"/>
          </w:tcPr>
          <w:p>
            <w:pPr>
              <w:jc w:val="center"/>
              <w:ind w:left="1308"/>
              <w:spacing w:after="0"/>
              <w:rPr>
                <w:rFonts w:ascii="Arial" w:cs="Arial" w:eastAsia="Arial" w:hAnsi="Arial"/>
                <w:sz w:val="14"/>
                <w:szCs w:val="14"/>
                <w:color w:val="0000FF"/>
              </w:rPr>
            </w:pPr>
            <w:hyperlink w:anchor="page12">
              <w:r>
                <w:rPr>
                  <w:rFonts w:ascii="Arial" w:cs="Arial" w:eastAsia="Arial" w:hAnsi="Arial"/>
                  <w:sz w:val="14"/>
                  <w:szCs w:val="14"/>
                  <w:color w:val="0000FF"/>
                </w:rPr>
                <w:t>11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5">
              <w:r>
                <w:rPr>
                  <w:rFonts w:ascii="Arial" w:cs="Arial" w:eastAsia="Arial" w:hAnsi="Arial"/>
                  <w:sz w:val="14"/>
                  <w:szCs w:val="14"/>
                  <w:color w:val="0000FF"/>
                </w:rPr>
                <w:t>Note 3: Discontinued Operations</w:t>
              </w:r>
            </w:hyperlink>
          </w:p>
        </w:tc>
        <w:tc>
          <w:tcPr>
            <w:tcW w:w="1540" w:type="dxa"/>
            <w:vAlign w:val="bottom"/>
          </w:tcPr>
          <w:p>
            <w:pPr>
              <w:jc w:val="center"/>
              <w:ind w:left="1308"/>
              <w:spacing w:after="0"/>
              <w:rPr>
                <w:rFonts w:ascii="Arial" w:cs="Arial" w:eastAsia="Arial" w:hAnsi="Arial"/>
                <w:sz w:val="14"/>
                <w:szCs w:val="14"/>
                <w:color w:val="0000FF"/>
              </w:rPr>
            </w:pPr>
            <w:hyperlink w:anchor="page15">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4: Leasing Equipment, net</w:t>
              </w:r>
            </w:hyperlink>
          </w:p>
        </w:tc>
        <w:tc>
          <w:tcPr>
            <w:tcW w:w="1540" w:type="dxa"/>
            <w:vAlign w:val="bottom"/>
          </w:tcPr>
          <w:p>
            <w:pPr>
              <w:jc w:val="center"/>
              <w:ind w:left="130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5: Finance Leases, net</w:t>
              </w:r>
            </w:hyperlink>
          </w:p>
        </w:tc>
        <w:tc>
          <w:tcPr>
            <w:tcW w:w="1540" w:type="dxa"/>
            <w:vAlign w:val="bottom"/>
          </w:tcPr>
          <w:p>
            <w:pPr>
              <w:jc w:val="center"/>
              <w:ind w:left="1308"/>
              <w:spacing w:after="0"/>
              <w:rPr>
                <w:rFonts w:ascii="Arial" w:cs="Arial" w:eastAsia="Arial" w:hAnsi="Arial"/>
                <w:sz w:val="14"/>
                <w:szCs w:val="14"/>
                <w:color w:val="0000FF"/>
              </w:rPr>
            </w:pPr>
            <w:hyperlink w:anchor="page16">
              <w:r>
                <w:rPr>
                  <w:rFonts w:ascii="Arial" w:cs="Arial" w:eastAsia="Arial" w:hAnsi="Arial"/>
                  <w:sz w:val="14"/>
                  <w:szCs w:val="14"/>
                  <w:color w:val="0000FF"/>
                </w:rPr>
                <w:t>15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6">
              <w:r>
                <w:rPr>
                  <w:rFonts w:ascii="Arial" w:cs="Arial" w:eastAsia="Arial" w:hAnsi="Arial"/>
                  <w:sz w:val="14"/>
                  <w:szCs w:val="14"/>
                  <w:color w:val="0000FF"/>
                </w:rPr>
                <w:t>Note 6: Property, Plant and Equipment, net</w:t>
              </w:r>
            </w:hyperlink>
          </w:p>
        </w:tc>
        <w:tc>
          <w:tcPr>
            <w:tcW w:w="1540" w:type="dxa"/>
            <w:vAlign w:val="bottom"/>
          </w:tcPr>
          <w:p>
            <w:pPr>
              <w:jc w:val="center"/>
              <w:ind w:left="1308"/>
              <w:spacing w:after="0"/>
              <w:rPr>
                <w:rFonts w:ascii="Arial" w:cs="Arial" w:eastAsia="Arial" w:hAnsi="Arial"/>
                <w:sz w:val="14"/>
                <w:szCs w:val="14"/>
                <w:color w:val="0000FF"/>
              </w:rPr>
            </w:pPr>
            <w:hyperlink w:anchor="page16">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7">
              <w:r>
                <w:rPr>
                  <w:rFonts w:ascii="Arial" w:cs="Arial" w:eastAsia="Arial" w:hAnsi="Arial"/>
                  <w:sz w:val="14"/>
                  <w:szCs w:val="14"/>
                  <w:color w:val="0000FF"/>
                </w:rPr>
                <w:t>Note 7: Investments</w:t>
              </w:r>
            </w:hyperlink>
          </w:p>
        </w:tc>
        <w:tc>
          <w:tcPr>
            <w:tcW w:w="1540" w:type="dxa"/>
            <w:vAlign w:val="bottom"/>
          </w:tcPr>
          <w:p>
            <w:pPr>
              <w:jc w:val="center"/>
              <w:ind w:left="1308"/>
              <w:spacing w:after="0"/>
              <w:rPr>
                <w:rFonts w:ascii="Arial" w:cs="Arial" w:eastAsia="Arial" w:hAnsi="Arial"/>
                <w:sz w:val="14"/>
                <w:szCs w:val="14"/>
                <w:color w:val="0000FF"/>
              </w:rPr>
            </w:pPr>
            <w:hyperlink w:anchor="page17">
              <w:r>
                <w:rPr>
                  <w:rFonts w:ascii="Arial" w:cs="Arial" w:eastAsia="Arial" w:hAnsi="Arial"/>
                  <w:sz w:val="14"/>
                  <w:szCs w:val="14"/>
                  <w:color w:val="0000FF"/>
                </w:rPr>
                <w:t>16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8">
              <w:r>
                <w:rPr>
                  <w:rFonts w:ascii="Arial" w:cs="Arial" w:eastAsia="Arial" w:hAnsi="Arial"/>
                  <w:sz w:val="14"/>
                  <w:szCs w:val="14"/>
                  <w:color w:val="0000FF"/>
                </w:rPr>
                <w:t>Note 8: Intangible Assets and Liabilities, net</w:t>
              </w:r>
            </w:hyperlink>
          </w:p>
        </w:tc>
        <w:tc>
          <w:tcPr>
            <w:tcW w:w="1540" w:type="dxa"/>
            <w:vAlign w:val="bottom"/>
          </w:tcPr>
          <w:p>
            <w:pPr>
              <w:jc w:val="center"/>
              <w:ind w:left="1308"/>
              <w:spacing w:after="0"/>
              <w:rPr>
                <w:rFonts w:ascii="Arial" w:cs="Arial" w:eastAsia="Arial" w:hAnsi="Arial"/>
                <w:sz w:val="14"/>
                <w:szCs w:val="14"/>
                <w:color w:val="0000FF"/>
              </w:rPr>
            </w:pPr>
            <w:hyperlink w:anchor="page18">
              <w:r>
                <w:rPr>
                  <w:rFonts w:ascii="Arial" w:cs="Arial" w:eastAsia="Arial" w:hAnsi="Arial"/>
                  <w:sz w:val="14"/>
                  <w:szCs w:val="14"/>
                  <w:color w:val="0000FF"/>
                </w:rPr>
                <w:t>17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19">
              <w:r>
                <w:rPr>
                  <w:rFonts w:ascii="Arial" w:cs="Arial" w:eastAsia="Arial" w:hAnsi="Arial"/>
                  <w:sz w:val="14"/>
                  <w:szCs w:val="14"/>
                  <w:color w:val="0000FF"/>
                </w:rPr>
                <w:t>Note 9: Debt, net</w:t>
              </w:r>
            </w:hyperlink>
          </w:p>
        </w:tc>
        <w:tc>
          <w:tcPr>
            <w:tcW w:w="1540" w:type="dxa"/>
            <w:vAlign w:val="bottom"/>
          </w:tcPr>
          <w:p>
            <w:pPr>
              <w:jc w:val="center"/>
              <w:ind w:left="1308"/>
              <w:spacing w:after="0"/>
              <w:rPr>
                <w:rFonts w:ascii="Arial" w:cs="Arial" w:eastAsia="Arial" w:hAnsi="Arial"/>
                <w:sz w:val="14"/>
                <w:szCs w:val="14"/>
                <w:color w:val="0000FF"/>
              </w:rPr>
            </w:pPr>
            <w:hyperlink w:anchor="page19">
              <w:r>
                <w:rPr>
                  <w:rFonts w:ascii="Arial" w:cs="Arial" w:eastAsia="Arial" w:hAnsi="Arial"/>
                  <w:sz w:val="14"/>
                  <w:szCs w:val="14"/>
                  <w:color w:val="0000FF"/>
                </w:rPr>
                <w:t>18</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0">
              <w:r>
                <w:rPr>
                  <w:rFonts w:ascii="Arial" w:cs="Arial" w:eastAsia="Arial" w:hAnsi="Arial"/>
                  <w:sz w:val="14"/>
                  <w:szCs w:val="14"/>
                  <w:color w:val="0000FF"/>
                </w:rPr>
                <w:t>Note 10: Fair Value Measurements</w:t>
              </w:r>
            </w:hyperlink>
          </w:p>
        </w:tc>
        <w:tc>
          <w:tcPr>
            <w:tcW w:w="1540" w:type="dxa"/>
            <w:vAlign w:val="bottom"/>
          </w:tcPr>
          <w:p>
            <w:pPr>
              <w:jc w:val="center"/>
              <w:ind w:left="1308"/>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2">
              <w:r>
                <w:rPr>
                  <w:rFonts w:ascii="Arial" w:cs="Arial" w:eastAsia="Arial" w:hAnsi="Arial"/>
                  <w:sz w:val="14"/>
                  <w:szCs w:val="14"/>
                  <w:color w:val="0000FF"/>
                </w:rPr>
                <w:t>Note 11: Derivative Financial Instruments</w:t>
              </w:r>
            </w:hyperlink>
          </w:p>
        </w:tc>
        <w:tc>
          <w:tcPr>
            <w:tcW w:w="1540" w:type="dxa"/>
            <w:vAlign w:val="bottom"/>
          </w:tcPr>
          <w:p>
            <w:pPr>
              <w:jc w:val="center"/>
              <w:ind w:left="1308"/>
              <w:spacing w:after="0"/>
              <w:rPr>
                <w:rFonts w:ascii="Arial" w:cs="Arial" w:eastAsia="Arial" w:hAnsi="Arial"/>
                <w:sz w:val="14"/>
                <w:szCs w:val="14"/>
                <w:color w:val="0000FF"/>
              </w:rPr>
            </w:pPr>
            <w:hyperlink w:anchor="page22">
              <w:r>
                <w:rPr>
                  <w:rFonts w:ascii="Arial" w:cs="Arial" w:eastAsia="Arial" w:hAnsi="Arial"/>
                  <w:sz w:val="14"/>
                  <w:szCs w:val="14"/>
                  <w:color w:val="0000FF"/>
                </w:rPr>
                <w:t>21</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2">
              <w:r>
                <w:rPr>
                  <w:rFonts w:ascii="Arial" w:cs="Arial" w:eastAsia="Arial" w:hAnsi="Arial"/>
                  <w:sz w:val="14"/>
                  <w:szCs w:val="14"/>
                  <w:color w:val="0000FF"/>
                </w:rPr>
                <w:t>Note 12: Revenues</w:t>
              </w:r>
            </w:hyperlink>
          </w:p>
        </w:tc>
        <w:tc>
          <w:tcPr>
            <w:tcW w:w="1540" w:type="dxa"/>
            <w:vAlign w:val="bottom"/>
          </w:tcPr>
          <w:p>
            <w:pPr>
              <w:jc w:val="center"/>
              <w:ind w:left="1308"/>
              <w:spacing w:after="0"/>
              <w:rPr>
                <w:rFonts w:ascii="Arial" w:cs="Arial" w:eastAsia="Arial" w:hAnsi="Arial"/>
                <w:sz w:val="14"/>
                <w:szCs w:val="14"/>
                <w:color w:val="0000FF"/>
              </w:rPr>
            </w:pPr>
            <w:hyperlink w:anchor="page22">
              <w:r>
                <w:rPr>
                  <w:rFonts w:ascii="Arial" w:cs="Arial" w:eastAsia="Arial" w:hAnsi="Arial"/>
                  <w:sz w:val="14"/>
                  <w:szCs w:val="14"/>
                  <w:color w:val="0000FF"/>
                </w:rPr>
                <w:t>22</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4">
              <w:r>
                <w:rPr>
                  <w:rFonts w:ascii="Arial" w:cs="Arial" w:eastAsia="Arial" w:hAnsi="Arial"/>
                  <w:sz w:val="14"/>
                  <w:szCs w:val="14"/>
                  <w:color w:val="0000FF"/>
                </w:rPr>
                <w:t>Note 13: Leases</w:t>
              </w:r>
            </w:hyperlink>
          </w:p>
        </w:tc>
        <w:tc>
          <w:tcPr>
            <w:tcW w:w="1540" w:type="dxa"/>
            <w:vAlign w:val="bottom"/>
          </w:tcPr>
          <w:p>
            <w:pPr>
              <w:jc w:val="center"/>
              <w:ind w:left="1308"/>
              <w:spacing w:after="0"/>
              <w:rPr>
                <w:rFonts w:ascii="Arial" w:cs="Arial" w:eastAsia="Arial" w:hAnsi="Arial"/>
                <w:sz w:val="14"/>
                <w:szCs w:val="14"/>
                <w:color w:val="0000FF"/>
              </w:rPr>
            </w:pPr>
            <w:hyperlink w:anchor="page24">
              <w:r>
                <w:rPr>
                  <w:rFonts w:ascii="Arial" w:cs="Arial" w:eastAsia="Arial" w:hAnsi="Arial"/>
                  <w:sz w:val="14"/>
                  <w:szCs w:val="14"/>
                  <w:color w:val="0000FF"/>
                </w:rPr>
                <w:t>23</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5">
              <w:r>
                <w:rPr>
                  <w:rFonts w:ascii="Arial" w:cs="Arial" w:eastAsia="Arial" w:hAnsi="Arial"/>
                  <w:sz w:val="14"/>
                  <w:szCs w:val="14"/>
                  <w:color w:val="0000FF"/>
                </w:rPr>
                <w:t>Note 14: Equity-Based Compensation</w:t>
              </w:r>
            </w:hyperlink>
          </w:p>
        </w:tc>
        <w:tc>
          <w:tcPr>
            <w:tcW w:w="1540" w:type="dxa"/>
            <w:vAlign w:val="bottom"/>
          </w:tcPr>
          <w:p>
            <w:pPr>
              <w:jc w:val="center"/>
              <w:ind w:left="1308"/>
              <w:spacing w:after="0"/>
              <w:rPr>
                <w:rFonts w:ascii="Arial" w:cs="Arial" w:eastAsia="Arial" w:hAnsi="Arial"/>
                <w:sz w:val="14"/>
                <w:szCs w:val="14"/>
                <w:color w:val="0000FF"/>
              </w:rPr>
            </w:pPr>
            <w:hyperlink w:anchor="page25">
              <w:r>
                <w:rPr>
                  <w:rFonts w:ascii="Arial" w:cs="Arial" w:eastAsia="Arial" w:hAnsi="Arial"/>
                  <w:sz w:val="14"/>
                  <w:szCs w:val="14"/>
                  <w:color w:val="0000FF"/>
                </w:rPr>
                <w:t>24</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5">
              <w:r>
                <w:rPr>
                  <w:rFonts w:ascii="Arial" w:cs="Arial" w:eastAsia="Arial" w:hAnsi="Arial"/>
                  <w:sz w:val="14"/>
                  <w:szCs w:val="14"/>
                  <w:color w:val="0000FF"/>
                </w:rPr>
                <w:t>Note 15: Income Taxes</w:t>
              </w:r>
            </w:hyperlink>
          </w:p>
        </w:tc>
        <w:tc>
          <w:tcPr>
            <w:tcW w:w="1540" w:type="dxa"/>
            <w:vAlign w:val="bottom"/>
          </w:tcPr>
          <w:p>
            <w:pPr>
              <w:jc w:val="center"/>
              <w:ind w:left="1308"/>
              <w:spacing w:after="0"/>
              <w:rPr>
                <w:rFonts w:ascii="Arial" w:cs="Arial" w:eastAsia="Arial" w:hAnsi="Arial"/>
                <w:sz w:val="14"/>
                <w:szCs w:val="14"/>
                <w:color w:val="0000FF"/>
              </w:rPr>
            </w:pPr>
            <w:hyperlink w:anchor="page25">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6">
              <w:r>
                <w:rPr>
                  <w:rFonts w:ascii="Arial" w:cs="Arial" w:eastAsia="Arial" w:hAnsi="Arial"/>
                  <w:sz w:val="14"/>
                  <w:szCs w:val="14"/>
                  <w:color w:val="0000FF"/>
                </w:rPr>
                <w:t>Note 16: Management Agreement and Affiliate Transactions</w:t>
              </w:r>
            </w:hyperlink>
          </w:p>
        </w:tc>
        <w:tc>
          <w:tcPr>
            <w:tcW w:w="1540" w:type="dxa"/>
            <w:vAlign w:val="bottom"/>
          </w:tcPr>
          <w:p>
            <w:pPr>
              <w:jc w:val="center"/>
              <w:ind w:left="1308"/>
              <w:spacing w:after="0"/>
              <w:rPr>
                <w:rFonts w:ascii="Arial" w:cs="Arial" w:eastAsia="Arial" w:hAnsi="Arial"/>
                <w:sz w:val="14"/>
                <w:szCs w:val="14"/>
                <w:color w:val="0000FF"/>
              </w:rPr>
            </w:pPr>
            <w:hyperlink w:anchor="page26">
              <w:r>
                <w:rPr>
                  <w:rFonts w:ascii="Arial" w:cs="Arial" w:eastAsia="Arial" w:hAnsi="Arial"/>
                  <w:sz w:val="14"/>
                  <w:szCs w:val="14"/>
                  <w:color w:val="0000FF"/>
                </w:rPr>
                <w:t>25</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28">
              <w:r>
                <w:rPr>
                  <w:rFonts w:ascii="Arial" w:cs="Arial" w:eastAsia="Arial" w:hAnsi="Arial"/>
                  <w:sz w:val="14"/>
                  <w:szCs w:val="14"/>
                  <w:color w:val="0000FF"/>
                </w:rPr>
                <w:t>Note 17: Segment Information</w:t>
              </w:r>
            </w:hyperlink>
          </w:p>
        </w:tc>
        <w:tc>
          <w:tcPr>
            <w:tcW w:w="1540" w:type="dxa"/>
            <w:vAlign w:val="bottom"/>
          </w:tcPr>
          <w:p>
            <w:pPr>
              <w:jc w:val="center"/>
              <w:ind w:left="1308"/>
              <w:spacing w:after="0"/>
              <w:rPr>
                <w:rFonts w:ascii="Arial" w:cs="Arial" w:eastAsia="Arial" w:hAnsi="Arial"/>
                <w:sz w:val="14"/>
                <w:szCs w:val="14"/>
                <w:color w:val="0000FF"/>
              </w:rPr>
            </w:pPr>
            <w:hyperlink w:anchor="page28">
              <w:r>
                <w:rPr>
                  <w:rFonts w:ascii="Arial" w:cs="Arial" w:eastAsia="Arial" w:hAnsi="Arial"/>
                  <w:sz w:val="14"/>
                  <w:szCs w:val="14"/>
                  <w:color w:val="0000FF"/>
                </w:rPr>
                <w:t>27</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35">
              <w:r>
                <w:rPr>
                  <w:rFonts w:ascii="Arial" w:cs="Arial" w:eastAsia="Arial" w:hAnsi="Arial"/>
                  <w:sz w:val="14"/>
                  <w:szCs w:val="14"/>
                  <w:color w:val="0000FF"/>
                </w:rPr>
                <w:t>Note 18: Earnings per Share and Equity</w:t>
              </w:r>
            </w:hyperlink>
          </w:p>
        </w:tc>
        <w:tc>
          <w:tcPr>
            <w:tcW w:w="1540" w:type="dxa"/>
            <w:vAlign w:val="bottom"/>
          </w:tcPr>
          <w:p>
            <w:pPr>
              <w:jc w:val="center"/>
              <w:ind w:left="1308"/>
              <w:spacing w:after="0"/>
              <w:rPr>
                <w:rFonts w:ascii="Arial" w:cs="Arial" w:eastAsia="Arial" w:hAnsi="Arial"/>
                <w:sz w:val="14"/>
                <w:szCs w:val="14"/>
                <w:color w:val="0000FF"/>
              </w:rPr>
            </w:pPr>
            <w:hyperlink w:anchor="page35">
              <w:r>
                <w:rPr>
                  <w:rFonts w:ascii="Arial" w:cs="Arial" w:eastAsia="Arial" w:hAnsi="Arial"/>
                  <w:sz w:val="14"/>
                  <w:szCs w:val="14"/>
                  <w:color w:val="0000FF"/>
                </w:rPr>
                <w:t>34</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800" w:type="dxa"/>
            <w:vAlign w:val="bottom"/>
          </w:tcPr>
          <w:p>
            <w:pPr>
              <w:ind w:left="300"/>
              <w:spacing w:after="0"/>
              <w:rPr>
                <w:rFonts w:ascii="Arial" w:cs="Arial" w:eastAsia="Arial" w:hAnsi="Arial"/>
                <w:sz w:val="14"/>
                <w:szCs w:val="14"/>
                <w:color w:val="0000FF"/>
              </w:rPr>
            </w:pPr>
            <w:hyperlink w:anchor="page35">
              <w:r>
                <w:rPr>
                  <w:rFonts w:ascii="Arial" w:cs="Arial" w:eastAsia="Arial" w:hAnsi="Arial"/>
                  <w:sz w:val="14"/>
                  <w:szCs w:val="14"/>
                  <w:color w:val="0000FF"/>
                </w:rPr>
                <w:t>Note 19: Commitments and Contingencies</w:t>
              </w:r>
            </w:hyperlink>
          </w:p>
        </w:tc>
        <w:tc>
          <w:tcPr>
            <w:tcW w:w="1540" w:type="dxa"/>
            <w:vAlign w:val="bottom"/>
          </w:tcPr>
          <w:p>
            <w:pPr>
              <w:jc w:val="center"/>
              <w:ind w:left="1308"/>
              <w:spacing w:after="0"/>
              <w:rPr>
                <w:rFonts w:ascii="Arial" w:cs="Arial" w:eastAsia="Arial" w:hAnsi="Arial"/>
                <w:sz w:val="14"/>
                <w:szCs w:val="14"/>
                <w:color w:val="0000FF"/>
              </w:rPr>
            </w:pPr>
            <w:hyperlink w:anchor="page35">
              <w:r>
                <w:rPr>
                  <w:rFonts w:ascii="Arial" w:cs="Arial" w:eastAsia="Arial" w:hAnsi="Arial"/>
                  <w:sz w:val="14"/>
                  <w:szCs w:val="14"/>
                  <w:color w:val="0000FF"/>
                </w:rPr>
                <w:t>35</w:t>
              </w:r>
            </w:hyperlink>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006EBF"/>
              </w:rPr>
              <w:t>Item 2.</w:t>
            </w:r>
          </w:p>
        </w:tc>
        <w:tc>
          <w:tcPr>
            <w:tcW w:w="8800" w:type="dxa"/>
            <w:vAlign w:val="bottom"/>
          </w:tcPr>
          <w:p>
            <w:pPr>
              <w:ind w:left="300"/>
              <w:spacing w:after="0"/>
              <w:rPr>
                <w:rFonts w:ascii="Arial" w:cs="Arial" w:eastAsia="Arial" w:hAnsi="Arial"/>
                <w:sz w:val="14"/>
                <w:szCs w:val="14"/>
                <w:color w:val="0000FF"/>
              </w:rPr>
            </w:pPr>
            <w:hyperlink w:anchor="page36">
              <w:r>
                <w:rPr>
                  <w:rFonts w:ascii="Arial" w:cs="Arial" w:eastAsia="Arial" w:hAnsi="Arial"/>
                  <w:sz w:val="14"/>
                  <w:szCs w:val="14"/>
                  <w:color w:val="0000FF"/>
                </w:rPr>
                <w:t>Note 20: Subsequent Events</w:t>
              </w:r>
            </w:hyperlink>
          </w:p>
        </w:tc>
        <w:tc>
          <w:tcPr>
            <w:tcW w:w="1540" w:type="dxa"/>
            <w:vAlign w:val="bottom"/>
          </w:tcPr>
          <w:p>
            <w:pPr>
              <w:jc w:val="center"/>
              <w:ind w:left="1308"/>
              <w:spacing w:after="0"/>
              <w:rPr>
                <w:rFonts w:ascii="Arial" w:cs="Arial" w:eastAsia="Arial" w:hAnsi="Arial"/>
                <w:sz w:val="14"/>
                <w:szCs w:val="14"/>
                <w:color w:val="0000FF"/>
              </w:rPr>
            </w:pPr>
            <w:hyperlink w:anchor="page36">
              <w:r>
                <w:rPr>
                  <w:rFonts w:ascii="Arial" w:cs="Arial" w:eastAsia="Arial" w:hAnsi="Arial"/>
                  <w:sz w:val="14"/>
                  <w:szCs w:val="14"/>
                  <w:color w:val="0000FF"/>
                </w:rPr>
                <w:t>35</w:t>
              </w:r>
            </w:hyperlink>
          </w:p>
        </w:tc>
        <w:tc>
          <w:tcPr>
            <w:tcW w:w="0" w:type="dxa"/>
            <w:vAlign w:val="bottom"/>
          </w:tcPr>
          <w:p>
            <w:pPr>
              <w:spacing w:after="0"/>
              <w:rPr>
                <w:sz w:val="1"/>
                <w:szCs w:val="1"/>
                <w:color w:val="auto"/>
              </w:rPr>
            </w:pPr>
          </w:p>
        </w:tc>
      </w:tr>
      <w:tr>
        <w:trPr>
          <w:trHeight w:val="188"/>
        </w:trPr>
        <w:tc>
          <w:tcPr>
            <w:tcW w:w="660" w:type="dxa"/>
            <w:vAlign w:val="bottom"/>
            <w:vMerge w:val="continue"/>
          </w:tcPr>
          <w:p>
            <w:pPr>
              <w:spacing w:after="0"/>
              <w:rPr>
                <w:sz w:val="16"/>
                <w:szCs w:val="16"/>
                <w:color w:val="auto"/>
              </w:rPr>
            </w:pPr>
          </w:p>
        </w:tc>
        <w:tc>
          <w:tcPr>
            <w:tcW w:w="8800" w:type="dxa"/>
            <w:vAlign w:val="bottom"/>
          </w:tcPr>
          <w:p>
            <w:pPr>
              <w:ind w:left="200"/>
              <w:spacing w:after="0"/>
              <w:rPr>
                <w:rFonts w:ascii="Arial" w:cs="Arial" w:eastAsia="Arial" w:hAnsi="Arial"/>
                <w:sz w:val="14"/>
                <w:szCs w:val="14"/>
                <w:color w:val="0000FF"/>
              </w:rPr>
            </w:pPr>
            <w:hyperlink w:anchor="page36">
              <w:r>
                <w:rPr>
                  <w:rFonts w:ascii="Arial" w:cs="Arial" w:eastAsia="Arial" w:hAnsi="Arial"/>
                  <w:sz w:val="14"/>
                  <w:szCs w:val="14"/>
                  <w:color w:val="0000FF"/>
                </w:rPr>
                <w:t>Management’s Discussion and Analysis of Financial Condition and Results of Operations</w:t>
              </w:r>
            </w:hyperlink>
          </w:p>
        </w:tc>
        <w:tc>
          <w:tcPr>
            <w:tcW w:w="1540" w:type="dxa"/>
            <w:vAlign w:val="bottom"/>
          </w:tcPr>
          <w:p>
            <w:pPr>
              <w:jc w:val="center"/>
              <w:ind w:left="1308"/>
              <w:spacing w:after="0"/>
              <w:rPr>
                <w:rFonts w:ascii="Arial" w:cs="Arial" w:eastAsia="Arial" w:hAnsi="Arial"/>
                <w:sz w:val="14"/>
                <w:szCs w:val="14"/>
                <w:color w:val="0000FF"/>
              </w:rPr>
            </w:pPr>
            <w:hyperlink w:anchor="page36">
              <w:r>
                <w:rPr>
                  <w:rFonts w:ascii="Arial" w:cs="Arial" w:eastAsia="Arial" w:hAnsi="Arial"/>
                  <w:sz w:val="14"/>
                  <w:szCs w:val="14"/>
                  <w:color w:val="0000FF"/>
                </w:rPr>
                <w:t>36</w:t>
              </w:r>
            </w:hyperlink>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800" w:type="dxa"/>
            <w:vAlign w:val="bottom"/>
          </w:tcPr>
          <w:p>
            <w:pPr>
              <w:ind w:left="200"/>
              <w:spacing w:after="0"/>
              <w:rPr>
                <w:rFonts w:ascii="Arial" w:cs="Arial" w:eastAsia="Arial" w:hAnsi="Arial"/>
                <w:sz w:val="14"/>
                <w:szCs w:val="14"/>
                <w:color w:val="0000FF"/>
              </w:rPr>
            </w:pPr>
            <w:hyperlink w:anchor="page52">
              <w:r>
                <w:rPr>
                  <w:rFonts w:ascii="Arial" w:cs="Arial" w:eastAsia="Arial" w:hAnsi="Arial"/>
                  <w:sz w:val="14"/>
                  <w:szCs w:val="14"/>
                  <w:color w:val="0000FF"/>
                </w:rPr>
                <w:t>Quantitative and Qualitative Disclosures About Market Risk</w:t>
              </w:r>
            </w:hyperlink>
          </w:p>
        </w:tc>
        <w:tc>
          <w:tcPr>
            <w:tcW w:w="1540" w:type="dxa"/>
            <w:vAlign w:val="bottom"/>
          </w:tcPr>
          <w:p>
            <w:pPr>
              <w:jc w:val="center"/>
              <w:ind w:left="1308"/>
              <w:spacing w:after="0"/>
              <w:rPr>
                <w:rFonts w:ascii="Arial" w:cs="Arial" w:eastAsia="Arial" w:hAnsi="Arial"/>
                <w:sz w:val="14"/>
                <w:szCs w:val="14"/>
                <w:color w:val="0000FF"/>
              </w:rPr>
            </w:pPr>
            <w:hyperlink w:anchor="page52">
              <w:r>
                <w:rPr>
                  <w:rFonts w:ascii="Arial" w:cs="Arial" w:eastAsia="Arial" w:hAnsi="Arial"/>
                  <w:sz w:val="14"/>
                  <w:szCs w:val="14"/>
                  <w:color w:val="0000FF"/>
                </w:rPr>
                <w:t>52</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800" w:type="dxa"/>
            <w:vAlign w:val="bottom"/>
          </w:tcPr>
          <w:p>
            <w:pPr>
              <w:ind w:left="200"/>
              <w:spacing w:after="0"/>
              <w:rPr>
                <w:rFonts w:ascii="Arial" w:cs="Arial" w:eastAsia="Arial" w:hAnsi="Arial"/>
                <w:sz w:val="14"/>
                <w:szCs w:val="14"/>
                <w:color w:val="0000FF"/>
              </w:rPr>
            </w:pPr>
            <w:hyperlink w:anchor="page53">
              <w:r>
                <w:rPr>
                  <w:rFonts w:ascii="Arial" w:cs="Arial" w:eastAsia="Arial" w:hAnsi="Arial"/>
                  <w:sz w:val="14"/>
                  <w:szCs w:val="14"/>
                  <w:color w:val="0000FF"/>
                </w:rPr>
                <w:t>Controls and Procedures</w:t>
              </w:r>
            </w:hyperlink>
          </w:p>
        </w:tc>
        <w:tc>
          <w:tcPr>
            <w:tcW w:w="1540" w:type="dxa"/>
            <w:vAlign w:val="bottom"/>
          </w:tcPr>
          <w:p>
            <w:pPr>
              <w:jc w:val="center"/>
              <w:ind w:left="1308"/>
              <w:spacing w:after="0"/>
              <w:rPr>
                <w:rFonts w:ascii="Arial" w:cs="Arial" w:eastAsia="Arial" w:hAnsi="Arial"/>
                <w:sz w:val="14"/>
                <w:szCs w:val="14"/>
                <w:color w:val="0000FF"/>
              </w:rPr>
            </w:pPr>
            <w:hyperlink w:anchor="page53">
              <w:r>
                <w:rPr>
                  <w:rFonts w:ascii="Arial" w:cs="Arial" w:eastAsia="Arial" w:hAnsi="Arial"/>
                  <w:sz w:val="14"/>
                  <w:szCs w:val="14"/>
                  <w:color w:val="0000FF"/>
                </w:rPr>
                <w:t>52</w:t>
              </w:r>
            </w:hyperlink>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006EBF"/>
              </w:rPr>
              <w:t>Item 1.</w:t>
            </w:r>
          </w:p>
        </w:tc>
        <w:tc>
          <w:tcPr>
            <w:tcW w:w="8100" w:type="dxa"/>
            <w:vAlign w:val="bottom"/>
          </w:tcPr>
          <w:p>
            <w:pPr>
              <w:ind w:left="3920"/>
              <w:spacing w:after="0"/>
              <w:rPr>
                <w:sz w:val="20"/>
                <w:szCs w:val="20"/>
                <w:color w:val="auto"/>
              </w:rPr>
            </w:pPr>
            <w:r>
              <w:rPr>
                <w:rFonts w:ascii="Arial" w:cs="Arial" w:eastAsia="Arial" w:hAnsi="Arial"/>
                <w:sz w:val="14"/>
                <w:szCs w:val="14"/>
                <w:b w:val="1"/>
                <w:bCs w:val="1"/>
                <w:color w:val="006EBF"/>
              </w:rPr>
              <w:t>PART II - OTHER INFORMATION</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vMerge w:val="continue"/>
          </w:tcPr>
          <w:p>
            <w:pPr>
              <w:spacing w:after="0"/>
              <w:rPr>
                <w:sz w:val="16"/>
                <w:szCs w:val="16"/>
                <w:color w:val="auto"/>
              </w:rPr>
            </w:pPr>
          </w:p>
        </w:tc>
        <w:tc>
          <w:tcPr>
            <w:tcW w:w="8100" w:type="dxa"/>
            <w:vAlign w:val="bottom"/>
          </w:tcPr>
          <w:p>
            <w:pPr>
              <w:ind w:left="140"/>
              <w:spacing w:after="0"/>
              <w:rPr>
                <w:rFonts w:ascii="Arial" w:cs="Arial" w:eastAsia="Arial" w:hAnsi="Arial"/>
                <w:sz w:val="14"/>
                <w:szCs w:val="14"/>
                <w:color w:val="0000FF"/>
              </w:rPr>
            </w:pPr>
            <w:hyperlink w:anchor="page53">
              <w:r>
                <w:rPr>
                  <w:rFonts w:ascii="Arial" w:cs="Arial" w:eastAsia="Arial" w:hAnsi="Arial"/>
                  <w:sz w:val="14"/>
                  <w:szCs w:val="14"/>
                  <w:color w:val="0000FF"/>
                </w:rPr>
                <w:t>Legal Proceedings</w:t>
              </w:r>
            </w:hyperlink>
          </w:p>
        </w:tc>
        <w:tc>
          <w:tcPr>
            <w:tcW w:w="2180" w:type="dxa"/>
            <w:vAlign w:val="bottom"/>
          </w:tcPr>
          <w:p>
            <w:pPr>
              <w:jc w:val="right"/>
              <w:spacing w:after="0"/>
              <w:rPr>
                <w:rFonts w:ascii="Arial" w:cs="Arial" w:eastAsia="Arial" w:hAnsi="Arial"/>
                <w:sz w:val="14"/>
                <w:szCs w:val="14"/>
                <w:color w:val="0000FF"/>
              </w:rPr>
            </w:pPr>
            <w:hyperlink w:anchor="page53">
              <w:r>
                <w:rPr>
                  <w:rFonts w:ascii="Arial" w:cs="Arial" w:eastAsia="Arial" w:hAnsi="Arial"/>
                  <w:sz w:val="14"/>
                  <w:szCs w:val="14"/>
                  <w:color w:val="0000FF"/>
                </w:rPr>
                <w:t>52</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100" w:type="dxa"/>
            <w:vAlign w:val="bottom"/>
          </w:tcPr>
          <w:p>
            <w:pPr>
              <w:ind w:left="140"/>
              <w:spacing w:after="0"/>
              <w:rPr>
                <w:rFonts w:ascii="Arial" w:cs="Arial" w:eastAsia="Arial" w:hAnsi="Arial"/>
                <w:sz w:val="14"/>
                <w:szCs w:val="14"/>
                <w:color w:val="0000FF"/>
              </w:rPr>
            </w:pPr>
            <w:hyperlink w:anchor="page53">
              <w:r>
                <w:rPr>
                  <w:rFonts w:ascii="Arial" w:cs="Arial" w:eastAsia="Arial" w:hAnsi="Arial"/>
                  <w:sz w:val="14"/>
                  <w:szCs w:val="14"/>
                  <w:color w:val="0000FF"/>
                </w:rPr>
                <w:t>Risk Factors</w:t>
              </w:r>
            </w:hyperlink>
          </w:p>
        </w:tc>
        <w:tc>
          <w:tcPr>
            <w:tcW w:w="2180" w:type="dxa"/>
            <w:vAlign w:val="bottom"/>
          </w:tcPr>
          <w:p>
            <w:pPr>
              <w:jc w:val="right"/>
              <w:spacing w:after="0"/>
              <w:rPr>
                <w:rFonts w:ascii="Arial" w:cs="Arial" w:eastAsia="Arial" w:hAnsi="Arial"/>
                <w:sz w:val="14"/>
                <w:szCs w:val="14"/>
                <w:color w:val="0000FF"/>
              </w:rPr>
            </w:pPr>
            <w:hyperlink w:anchor="page53">
              <w:r>
                <w:rPr>
                  <w:rFonts w:ascii="Arial" w:cs="Arial" w:eastAsia="Arial" w:hAnsi="Arial"/>
                  <w:sz w:val="14"/>
                  <w:szCs w:val="14"/>
                  <w:color w:val="0000FF"/>
                </w:rPr>
                <w:t>53</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100" w:type="dxa"/>
            <w:vAlign w:val="bottom"/>
          </w:tcPr>
          <w:p>
            <w:pPr>
              <w:ind w:left="140"/>
              <w:spacing w:after="0"/>
              <w:rPr>
                <w:rFonts w:ascii="Arial" w:cs="Arial" w:eastAsia="Arial" w:hAnsi="Arial"/>
                <w:sz w:val="14"/>
                <w:szCs w:val="14"/>
                <w:color w:val="0000FF"/>
              </w:rPr>
            </w:pPr>
            <w:hyperlink w:anchor="page75">
              <w:r>
                <w:rPr>
                  <w:rFonts w:ascii="Arial" w:cs="Arial" w:eastAsia="Arial" w:hAnsi="Arial"/>
                  <w:sz w:val="14"/>
                  <w:szCs w:val="14"/>
                  <w:color w:val="0000FF"/>
                </w:rPr>
                <w:t>Unregistered Sales of Equity Securities and Use of Proceeds</w:t>
              </w:r>
            </w:hyperlink>
          </w:p>
        </w:tc>
        <w:tc>
          <w:tcPr>
            <w:tcW w:w="2180" w:type="dxa"/>
            <w:vAlign w:val="bottom"/>
          </w:tcPr>
          <w:p>
            <w:pPr>
              <w:jc w:val="right"/>
              <w:spacing w:after="0"/>
              <w:rPr>
                <w:rFonts w:ascii="Arial" w:cs="Arial" w:eastAsia="Arial" w:hAnsi="Arial"/>
                <w:sz w:val="14"/>
                <w:szCs w:val="14"/>
                <w:color w:val="0000FF"/>
              </w:rPr>
            </w:pPr>
            <w:hyperlink w:anchor="page75">
              <w:r>
                <w:rPr>
                  <w:rFonts w:ascii="Arial" w:cs="Arial" w:eastAsia="Arial" w:hAnsi="Arial"/>
                  <w:sz w:val="14"/>
                  <w:szCs w:val="14"/>
                  <w:color w:val="0000FF"/>
                </w:rPr>
                <w:t>74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100" w:type="dxa"/>
            <w:vAlign w:val="bottom"/>
          </w:tcPr>
          <w:p>
            <w:pPr>
              <w:ind w:left="140"/>
              <w:spacing w:after="0"/>
              <w:rPr>
                <w:rFonts w:ascii="Arial" w:cs="Arial" w:eastAsia="Arial" w:hAnsi="Arial"/>
                <w:sz w:val="14"/>
                <w:szCs w:val="14"/>
                <w:color w:val="0000FF"/>
              </w:rPr>
            </w:pPr>
            <w:hyperlink w:anchor="page75">
              <w:r>
                <w:rPr>
                  <w:rFonts w:ascii="Arial" w:cs="Arial" w:eastAsia="Arial" w:hAnsi="Arial"/>
                  <w:sz w:val="14"/>
                  <w:szCs w:val="14"/>
                  <w:color w:val="0000FF"/>
                </w:rPr>
                <w:t>Defaults Upon Senior Securities</w:t>
              </w:r>
            </w:hyperlink>
          </w:p>
        </w:tc>
        <w:tc>
          <w:tcPr>
            <w:tcW w:w="2180" w:type="dxa"/>
            <w:vAlign w:val="bottom"/>
          </w:tcPr>
          <w:p>
            <w:pPr>
              <w:jc w:val="right"/>
              <w:spacing w:after="0"/>
              <w:rPr>
                <w:rFonts w:ascii="Arial" w:cs="Arial" w:eastAsia="Arial" w:hAnsi="Arial"/>
                <w:sz w:val="14"/>
                <w:szCs w:val="14"/>
                <w:color w:val="0000FF"/>
              </w:rPr>
            </w:pPr>
            <w:hyperlink w:anchor="page75">
              <w:r>
                <w:rPr>
                  <w:rFonts w:ascii="Arial" w:cs="Arial" w:eastAsia="Arial" w:hAnsi="Arial"/>
                  <w:sz w:val="14"/>
                  <w:szCs w:val="14"/>
                  <w:color w:val="0000FF"/>
                </w:rPr>
                <w:t>74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100" w:type="dxa"/>
            <w:vAlign w:val="bottom"/>
          </w:tcPr>
          <w:p>
            <w:pPr>
              <w:ind w:left="140"/>
              <w:spacing w:after="0"/>
              <w:rPr>
                <w:rFonts w:ascii="Arial" w:cs="Arial" w:eastAsia="Arial" w:hAnsi="Arial"/>
                <w:sz w:val="14"/>
                <w:szCs w:val="14"/>
                <w:color w:val="0000FF"/>
              </w:rPr>
            </w:pPr>
            <w:hyperlink w:anchor="page75">
              <w:r>
                <w:rPr>
                  <w:rFonts w:ascii="Arial" w:cs="Arial" w:eastAsia="Arial" w:hAnsi="Arial"/>
                  <w:sz w:val="14"/>
                  <w:szCs w:val="14"/>
                  <w:color w:val="0000FF"/>
                </w:rPr>
                <w:t>Mine Safety Disclosures</w:t>
              </w:r>
            </w:hyperlink>
          </w:p>
        </w:tc>
        <w:tc>
          <w:tcPr>
            <w:tcW w:w="2180" w:type="dxa"/>
            <w:vAlign w:val="bottom"/>
          </w:tcPr>
          <w:p>
            <w:pPr>
              <w:jc w:val="right"/>
              <w:spacing w:after="0"/>
              <w:rPr>
                <w:rFonts w:ascii="Arial" w:cs="Arial" w:eastAsia="Arial" w:hAnsi="Arial"/>
                <w:sz w:val="14"/>
                <w:szCs w:val="14"/>
                <w:color w:val="0000FF"/>
              </w:rPr>
            </w:pPr>
            <w:hyperlink w:anchor="page75">
              <w:r>
                <w:rPr>
                  <w:rFonts w:ascii="Arial" w:cs="Arial" w:eastAsia="Arial" w:hAnsi="Arial"/>
                  <w:sz w:val="14"/>
                  <w:szCs w:val="14"/>
                  <w:color w:val="0000FF"/>
                </w:rPr>
                <w:t>74</w:t>
              </w:r>
            </w:hyperlink>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100" w:type="dxa"/>
            <w:vAlign w:val="bottom"/>
          </w:tcPr>
          <w:p>
            <w:pPr>
              <w:ind w:left="140"/>
              <w:spacing w:after="0"/>
              <w:rPr>
                <w:rFonts w:ascii="Arial" w:cs="Arial" w:eastAsia="Arial" w:hAnsi="Arial"/>
                <w:sz w:val="14"/>
                <w:szCs w:val="14"/>
                <w:color w:val="0000FF"/>
              </w:rPr>
            </w:pPr>
            <w:hyperlink w:anchor="page76">
              <w:r>
                <w:rPr>
                  <w:rFonts w:ascii="Arial" w:cs="Arial" w:eastAsia="Arial" w:hAnsi="Arial"/>
                  <w:sz w:val="14"/>
                  <w:szCs w:val="14"/>
                  <w:color w:val="0000FF"/>
                </w:rPr>
                <w:t>Other Information</w:t>
              </w:r>
            </w:hyperlink>
          </w:p>
        </w:tc>
        <w:tc>
          <w:tcPr>
            <w:tcW w:w="2180" w:type="dxa"/>
            <w:vAlign w:val="bottom"/>
          </w:tcPr>
          <w:p>
            <w:pPr>
              <w:jc w:val="right"/>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c>
          <w:tcPr>
            <w:tcW w:w="0" w:type="dxa"/>
            <w:vAlign w:val="bottom"/>
          </w:tcPr>
          <w:p>
            <w:pPr>
              <w:spacing w:after="0"/>
              <w:rPr>
                <w:sz w:val="1"/>
                <w:szCs w:val="1"/>
                <w:color w:val="auto"/>
              </w:rPr>
            </w:pPr>
          </w:p>
        </w:tc>
      </w:tr>
      <w:tr>
        <w:trPr>
          <w:trHeight w:val="190"/>
        </w:trPr>
        <w:tc>
          <w:tcPr>
            <w:tcW w:w="72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100" w:type="dxa"/>
            <w:vAlign w:val="bottom"/>
          </w:tcPr>
          <w:p>
            <w:pPr>
              <w:ind w:left="140"/>
              <w:spacing w:after="0"/>
              <w:rPr>
                <w:rFonts w:ascii="Arial" w:cs="Arial" w:eastAsia="Arial" w:hAnsi="Arial"/>
                <w:sz w:val="14"/>
                <w:szCs w:val="14"/>
                <w:color w:val="0000FF"/>
              </w:rPr>
            </w:pPr>
            <w:hyperlink w:anchor="page76">
              <w:r>
                <w:rPr>
                  <w:rFonts w:ascii="Arial" w:cs="Arial" w:eastAsia="Arial" w:hAnsi="Arial"/>
                  <w:sz w:val="14"/>
                  <w:szCs w:val="14"/>
                  <w:color w:val="0000FF"/>
                </w:rPr>
                <w:t>Exhibits</w:t>
              </w:r>
            </w:hyperlink>
          </w:p>
        </w:tc>
        <w:tc>
          <w:tcPr>
            <w:tcW w:w="2180" w:type="dxa"/>
            <w:vAlign w:val="bottom"/>
          </w:tcPr>
          <w:p>
            <w:pPr>
              <w:jc w:val="right"/>
              <w:spacing w:after="0"/>
              <w:rPr>
                <w:rFonts w:ascii="Arial" w:cs="Arial" w:eastAsia="Arial" w:hAnsi="Arial"/>
                <w:sz w:val="14"/>
                <w:szCs w:val="14"/>
                <w:color w:val="0000FF"/>
              </w:rPr>
            </w:pPr>
            <w:hyperlink w:anchor="page76">
              <w:r>
                <w:rPr>
                  <w:rFonts w:ascii="Arial" w:cs="Arial" w:eastAsia="Arial" w:hAnsi="Arial"/>
                  <w:sz w:val="14"/>
                  <w:szCs w:val="14"/>
                  <w:color w:val="0000FF"/>
                </w:rPr>
                <w:t>75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021"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FORTRESS TRANSPORTATION AND INFRASTRUCTURE INVESTORS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4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160,252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33,224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111,898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91,691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1,684,816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1,635,259</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right-of-use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64,801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62,355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40" w:type="dxa"/>
            <w:vAlign w:val="bottom"/>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1,000,988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964,363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161,767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146,515</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4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16,809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122,735</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220,791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177,928</w:t>
            </w:r>
          </w:p>
        </w:tc>
        <w:tc>
          <w:tcPr>
            <w:tcW w:w="0" w:type="dxa"/>
            <w:vAlign w:val="bottom"/>
          </w:tcPr>
          <w:p>
            <w:pPr>
              <w:spacing w:after="0"/>
              <w:rPr>
                <w:sz w:val="1"/>
                <w:szCs w:val="1"/>
                <w:color w:val="auto"/>
              </w:rPr>
            </w:pPr>
          </w:p>
        </w:tc>
      </w:tr>
      <w:tr>
        <w:trPr>
          <w:trHeight w:val="20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3,592,047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101,155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113,185</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2,077,402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Maintenance deposits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140,487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148,293</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74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64,231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62,001</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30,003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2,448,395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4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shares ($0.01 par value per share; 2,000,000,000 shares authorized; 85,630,753 and</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85,617,146 shares issued and outstanding as of March 31, 2021 and December 31, 2020,</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856</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respectively)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13,320,000 and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1"/>
        </w:trPr>
        <w:tc>
          <w:tcPr>
            <w:tcW w:w="6540" w:type="dxa"/>
            <w:vAlign w:val="bottom"/>
          </w:tcPr>
          <w:p>
            <w:pPr>
              <w:ind w:left="20"/>
              <w:spacing w:after="0"/>
              <w:rPr>
                <w:sz w:val="20"/>
                <w:szCs w:val="20"/>
                <w:color w:val="auto"/>
              </w:rPr>
            </w:pPr>
            <w:r>
              <w:rPr>
                <w:rFonts w:ascii="Arial" w:cs="Arial" w:eastAsia="Arial" w:hAnsi="Arial"/>
                <w:sz w:val="14"/>
                <w:szCs w:val="14"/>
                <w:color w:val="auto"/>
              </w:rPr>
              <w:t>9,120,000 shares issued and outstanding as of March 31, 2021 and December 31, 2020, respectively)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1,198,386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1,130,106</w:t>
            </w:r>
          </w:p>
        </w:tc>
        <w:tc>
          <w:tcPr>
            <w:tcW w:w="0" w:type="dxa"/>
            <w:vAlign w:val="bottom"/>
          </w:tcPr>
          <w:p>
            <w:pPr>
              <w:spacing w:after="0"/>
              <w:rPr>
                <w:sz w:val="1"/>
                <w:szCs w:val="1"/>
                <w:color w:val="auto"/>
              </w:rPr>
            </w:pPr>
          </w:p>
        </w:tc>
      </w:tr>
      <w:tr>
        <w:trPr>
          <w:trHeight w:val="189"/>
        </w:trPr>
        <w:tc>
          <w:tcPr>
            <w:tcW w:w="65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(58,073)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(16,283)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(26,237)</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1,125,019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1,076,658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18,633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1,143,652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3,592,047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 w:name="page6"/>
    <w:bookmarkEnd w:id="5"/>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OPERATIONS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14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Notes</w:t>
            </w: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6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56,607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86,449</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20,542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26,391</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77,149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112,840</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24,997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33,444</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3,194</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jc w:val="center"/>
              <w:spacing w:after="0"/>
              <w:rPr>
                <w:sz w:val="20"/>
                <w:szCs w:val="20"/>
                <w:color w:val="auto"/>
              </w:rPr>
            </w:pPr>
            <w:r>
              <w:rPr>
                <w:rFonts w:ascii="Arial" w:cs="Arial" w:eastAsia="Arial" w:hAnsi="Arial"/>
                <w:sz w:val="14"/>
                <w:szCs w:val="14"/>
                <w:color w:val="auto"/>
              </w:rPr>
              <w:t>4, 6, 8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44,535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42,197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32,990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22,861</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114,507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111,125</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(1,819)</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(6,204)</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183"/>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189"/>
        </w:trPr>
        <w:tc>
          <w:tcPr>
            <w:tcW w:w="714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1,331</w:t>
            </w:r>
          </w:p>
        </w:tc>
      </w:tr>
      <w:tr>
        <w:trPr>
          <w:trHeight w:val="18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(4,961)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(4,736)</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4,539</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(34,540)</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(2,863)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1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Diluted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71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Basic</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86,027,944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86,008,099</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86,027,944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86,008,099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ind w:right="418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COMPREHENSIVE (LOSS) INCOME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3"/>
        </w:trPr>
        <w:tc>
          <w:tcPr>
            <w:tcW w:w="79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w:t>
            </w:r>
          </w:p>
        </w:tc>
      </w:tr>
      <w:tr>
        <w:trPr>
          <w:trHeight w:val="189"/>
        </w:trPr>
        <w:tc>
          <w:tcPr>
            <w:tcW w:w="7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79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comprehensive income related to equity method investees, net </w:t>
            </w:r>
            <w:r>
              <w:rPr>
                <w:rFonts w:ascii="Arial" w:cs="Arial" w:eastAsia="Arial" w:hAnsi="Arial"/>
                <w:sz w:val="18"/>
                <w:szCs w:val="18"/>
                <w:color w:val="auto"/>
                <w:vertAlign w:val="superscript"/>
              </w:rPr>
              <w:t>(1)</w:t>
            </w:r>
          </w:p>
        </w:tc>
        <w:tc>
          <w:tcPr>
            <w:tcW w:w="10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9,954</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w:t>
            </w: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(24,922)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5,698</w:t>
            </w:r>
          </w:p>
        </w:tc>
      </w:tr>
      <w:tr>
        <w:trPr>
          <w:trHeight w:val="189"/>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10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(4,961)</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(4,736)</w:t>
            </w: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Comprehensive (loss) income attributable to shareholders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(19,961)</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10,434</w:t>
            </w:r>
          </w:p>
        </w:tc>
      </w:tr>
      <w:tr>
        <w:trPr>
          <w:trHeight w:val="21"/>
        </w:trPr>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Net of deferred tax expense of $2,646 and $2,326 for the three months ended March 31, 2021 and 2020, respectively.</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226695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95" w:right="1440" w:bottom="1440" w:gutter="0" w:footer="0" w:header="0"/>
        </w:sectPr>
      </w:pPr>
    </w:p>
    <w:bookmarkStart w:id="8" w:name="page9"/>
    <w:bookmarkEnd w:id="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 OF CHANGES IN EQUITY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Three Months Ended March 31, 2021</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5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Comprehensive (Loss)</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9"/>
              </w:rPr>
              <w:t>In Capital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Subsidiaries</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2020</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1,130,106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22,663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1,099,321</w:t>
            </w:r>
          </w:p>
        </w:tc>
        <w:tc>
          <w:tcPr>
            <w:tcW w:w="0" w:type="dxa"/>
            <w:vAlign w:val="bottom"/>
          </w:tcPr>
          <w:p>
            <w:pPr>
              <w:spacing w:after="0"/>
              <w:rPr>
                <w:sz w:val="1"/>
                <w:szCs w:val="1"/>
                <w:color w:val="auto"/>
              </w:rPr>
            </w:pPr>
          </w:p>
        </w:tc>
      </w:tr>
      <w:tr>
        <w:trPr>
          <w:trHeight w:val="172"/>
        </w:trPr>
        <w:tc>
          <w:tcPr>
            <w:tcW w:w="27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(4,961)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(34,876)</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9,954</w:t>
            </w:r>
          </w:p>
        </w:tc>
        <w:tc>
          <w:tcPr>
            <w:tcW w:w="0" w:type="dxa"/>
            <w:vAlign w:val="bottom"/>
          </w:tcPr>
          <w:p>
            <w:pPr>
              <w:spacing w:after="0"/>
              <w:rPr>
                <w:sz w:val="1"/>
                <w:szCs w:val="1"/>
                <w:color w:val="auto"/>
              </w:rPr>
            </w:pPr>
          </w:p>
        </w:tc>
      </w:tr>
      <w:tr>
        <w:trPr>
          <w:trHeight w:val="165"/>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(loss) income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(29,915)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9,954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(4,961)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(24,922)</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equity-based compensation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(28,383)</w:t>
            </w: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rPr>
                <w:sz w:val="20"/>
                <w:szCs w:val="20"/>
                <w:color w:val="auto"/>
              </w:rPr>
            </w:pPr>
            <w:r>
              <w:rPr>
                <w:rFonts w:ascii="Arial" w:cs="Arial" w:eastAsia="Arial" w:hAnsi="Arial"/>
                <w:sz w:val="13"/>
                <w:szCs w:val="13"/>
                <w:color w:val="auto"/>
              </w:rPr>
              <w:t>Issuance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101,138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101,180</w:t>
            </w:r>
          </w:p>
        </w:tc>
        <w:tc>
          <w:tcPr>
            <w:tcW w:w="0" w:type="dxa"/>
            <w:vAlign w:val="bottom"/>
          </w:tcPr>
          <w:p>
            <w:pPr>
              <w:spacing w:after="0"/>
              <w:rPr>
                <w:sz w:val="1"/>
                <w:szCs w:val="1"/>
                <w:color w:val="auto"/>
              </w:rPr>
            </w:pPr>
          </w:p>
        </w:tc>
      </w:tr>
      <w:tr>
        <w:trPr>
          <w:trHeight w:val="17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(4,625)</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1,114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1,114</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2021</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1,198,386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(58,073)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(16,283)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18,633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1,143,652</w:t>
            </w:r>
          </w:p>
        </w:tc>
        <w:tc>
          <w:tcPr>
            <w:tcW w:w="0" w:type="dxa"/>
            <w:vAlign w:val="bottom"/>
          </w:tcPr>
          <w:p>
            <w:pPr>
              <w:spacing w:after="0"/>
              <w:rPr>
                <w:sz w:val="1"/>
                <w:szCs w:val="1"/>
                <w:color w:val="auto"/>
              </w:rPr>
            </w:pPr>
          </w:p>
        </w:tc>
      </w:tr>
      <w:tr>
        <w:trPr>
          <w:trHeight w:val="531"/>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Three Months Ended March 31, 2020</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 Paid</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14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in Equity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 Earnings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14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5"/>
              </w:rPr>
              <w:t>In Capital</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6"/>
              </w:rPr>
              <w:t>Comprehensive Income</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Subsidiaries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December 31, 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1,110,122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1,338,857</w:t>
            </w:r>
          </w:p>
        </w:tc>
        <w:tc>
          <w:tcPr>
            <w:tcW w:w="0" w:type="dxa"/>
            <w:vAlign w:val="bottom"/>
          </w:tcPr>
          <w:p>
            <w:pPr>
              <w:spacing w:after="0"/>
              <w:rPr>
                <w:sz w:val="1"/>
                <w:szCs w:val="1"/>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(3,060)</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0" w:type="dxa"/>
            <w:vAlign w:val="bottom"/>
          </w:tcPr>
          <w:p>
            <w:pPr>
              <w:spacing w:after="0"/>
              <w:rPr>
                <w:sz w:val="1"/>
                <w:szCs w:val="1"/>
                <w:color w:val="auto"/>
              </w:rPr>
            </w:pPr>
          </w:p>
        </w:tc>
      </w:tr>
      <w:tr>
        <w:trPr>
          <w:trHeight w:val="161"/>
        </w:trPr>
        <w:tc>
          <w:tcPr>
            <w:tcW w:w="2720" w:type="dxa"/>
            <w:vAlign w:val="bottom"/>
          </w:tcPr>
          <w:p>
            <w:pPr>
              <w:ind w:left="20"/>
              <w:spacing w:after="0"/>
              <w:rPr>
                <w:sz w:val="20"/>
                <w:szCs w:val="20"/>
                <w:color w:val="auto"/>
              </w:rPr>
            </w:pPr>
            <w:r>
              <w:rPr>
                <w:rFonts w:ascii="Arial" w:cs="Arial" w:eastAsia="Arial" w:hAnsi="Arial"/>
                <w:sz w:val="13"/>
                <w:szCs w:val="13"/>
                <w:color w:val="auto"/>
              </w:rPr>
              <w:t>Total comprehensive income (loss)</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8,758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(4,736)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5,698</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Conversion of participating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common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(28,391)</w:t>
            </w:r>
          </w:p>
        </w:tc>
        <w:tc>
          <w:tcPr>
            <w:tcW w:w="0" w:type="dxa"/>
            <w:vAlign w:val="bottom"/>
          </w:tcPr>
          <w:p>
            <w:pPr>
              <w:spacing w:after="0"/>
              <w:rPr>
                <w:sz w:val="1"/>
                <w:szCs w:val="1"/>
                <w:color w:val="auto"/>
              </w:rPr>
            </w:pPr>
          </w:p>
        </w:tc>
      </w:tr>
      <w:tr>
        <w:trPr>
          <w:trHeight w:val="168"/>
        </w:trPr>
        <w:tc>
          <w:tcPr>
            <w:tcW w:w="2720" w:type="dxa"/>
            <w:vAlign w:val="bottom"/>
          </w:tcPr>
          <w:p>
            <w:pPr>
              <w:ind w:left="20"/>
              <w:spacing w:after="0"/>
              <w:rPr>
                <w:sz w:val="20"/>
                <w:szCs w:val="20"/>
                <w:color w:val="auto"/>
              </w:rPr>
            </w:pPr>
            <w:r>
              <w:rPr>
                <w:rFonts w:ascii="Arial" w:cs="Arial" w:eastAsia="Arial" w:hAnsi="Arial"/>
                <w:sz w:val="13"/>
                <w:szCs w:val="13"/>
                <w:color w:val="auto"/>
              </w:rPr>
              <w:t>Issuance costs of preferred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 preferred shares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Equity-based compensation</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291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 - March 31, 2020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1,110,028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159,199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9,130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32,535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1,311,824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(34,876)</w:t>
            </w:r>
          </w:p>
        </w:tc>
        <w:tc>
          <w:tcPr>
            <w:tcW w:w="12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(3,060)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(1,374)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subsidiaries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1,819</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44,535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42,197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 deferred income taxes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3,822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(7,964)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8,108</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6,867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Bad debt expense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Change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(19,786)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(10,780)</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(17,953)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7,063</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(19,707)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(46,316)</w:t>
            </w:r>
          </w:p>
        </w:tc>
      </w:tr>
      <w:tr>
        <w:trPr>
          <w:trHeight w:val="189"/>
        </w:trPr>
        <w:tc>
          <w:tcPr>
            <w:tcW w:w="7840" w:type="dxa"/>
            <w:vAlign w:val="bottom"/>
          </w:tcPr>
          <w:p>
            <w:pPr>
              <w:ind w:left="180"/>
              <w:spacing w:after="0"/>
              <w:rPr>
                <w:sz w:val="20"/>
                <w:szCs w:val="20"/>
                <w:color w:val="auto"/>
              </w:rPr>
            </w:pPr>
            <w:r>
              <w:rPr>
                <w:rFonts w:ascii="Arial" w:cs="Arial" w:eastAsia="Arial" w:hAnsi="Arial"/>
                <w:sz w:val="14"/>
                <w:szCs w:val="14"/>
                <w:color w:val="auto"/>
              </w:rPr>
              <w:t>Management fees payable to affiliate</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(20,865)</w:t>
            </w:r>
          </w:p>
        </w:tc>
      </w:tr>
      <w:tr>
        <w:trPr>
          <w:trHeight w:val="189"/>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(48,932)</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(11,806)</w:t>
            </w:r>
          </w:p>
        </w:tc>
      </w:tr>
      <w:tr>
        <w:trPr>
          <w:trHeight w:val="196"/>
        </w:trPr>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(114,781)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(39,302)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(60,402)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Purchase deposits for acquisitions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(9,250)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4,574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28,568</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purchase deposit for aircraft and aircraft engines</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4,600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deposit on sale of engine</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1,010</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(154,418)</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CONSOLIDATED STATEMENTS OF CASH FLOWS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6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171,600</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303,980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(275,991)</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(11,767)</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(11,483)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(9,185)</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101,180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common shares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(28,391)</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 - preferred shares</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w:t>
            </w: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235,408</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(16,198)</w:t>
            </w:r>
          </w:p>
        </w:tc>
      </w:tr>
      <w:tr>
        <w:trPr>
          <w:trHeight w:val="196"/>
        </w:trPr>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32,058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(119,129)</w:t>
            </w:r>
          </w:p>
        </w:tc>
      </w:tr>
      <w:tr>
        <w:trPr>
          <w:trHeight w:val="18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161,418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242,517</w:t>
            </w:r>
          </w:p>
        </w:tc>
      </w:tr>
      <w:tr>
        <w:trPr>
          <w:trHeight w:val="20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193,476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123,388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24,433</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18,872</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(8,503)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Settled and assumed security deposits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(697)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(13,860)</w:t>
            </w:r>
          </w:p>
        </w:tc>
      </w:tr>
      <w:tr>
        <w:trPr>
          <w:trHeight w:val="189"/>
        </w:trPr>
        <w:tc>
          <w:tcPr>
            <w:tcW w:w="784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9,954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8,758</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owns and leases aviation equipment and also owns and operates (i) a multi-modal crude oil and refined products terminal in Beaumont, Texas (“Jefferson Terminal”), (ii) a deep-water port located along the Delaware River with an underground storage cavern and multiple industrial development opportunities (“Repauno”) and (iii) an equity method investment in a multi-modal terminal located along the Ohio River with multiple industrial development opportunities, including a power plant under construction (“Long Ridge”). Additionally, we own and lease offshore energy equipment and shipping containers. We have three reportable segments, (i) Aviation Leasing, (ii) Jefferson Terminal and (iii) Ports and Terminals, which operate in two primary businesses, Equipment Leasing and Infrastructure (see Note 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are denominated in U.S. dollars.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2016, through Delaware River Partners LLC (“DRP”), a consolidated subsidiary, we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an approximately 98%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9)</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qualifying construction projects at Jefferson Terminal.</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We hold aircraft engine modules, spare parts and used material inventory for trading and to support operations within our Aviation Leasing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segment. Aviation inventory is carried at the lower of cost or net realizable value on our balance sheet. We had Aviation inventory of $64.7 million and $58.2 million as of March 31, 2021 and December 31, 2020, respectively, which is included in Other assets in the Consolidated Balance Sheets.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Commodities inventory is carried at the lower of cost or net realizable value on our balance sheet. Commodities are removed from inventory based on the average cost at the time of sale. We had commodities inventory of $0.1 million as of both March 31, 2021 and December 31, 2020, which is included in Other assets in the Consolidated Balance Sheets.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$34.9 million and $36.2 million as of March 31, 2021 and December 31, 2020, respectively, are recorded as a component of debt in the Consolidated Balance Sheets.</w:t>
      </w:r>
    </w:p>
    <w:p>
      <w:pPr>
        <w:spacing w:after="0" w:line="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also have unamortized deferred revolver fees related to our revolving debt of $1.2 million and $1.6 million as of March 31, 2021 and December 31, 2020, respectively, which are included in Other assets in the Consolidated Balance Sheets.</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Amortization expense was $2.3 million and $2.1 million for the three months ended March 31, 2021 and 2020, respectively, and is included in interest expense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fair value of the aircraft and lease. The fair value of the lease may include a lease premium or discount.</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April 2020, the FASB Staff issued a question-and-answer document (the “Q&amp;A”) regarding accounting for lease concessions related to the effects of the COVID-19 pandemic. The Q&amp;A permits an entity to elect to forgo the evaluation of the enforceable rights and obligations of a lease contract required under ASC 842, </w:t>
      </w:r>
      <w:r>
        <w:rPr>
          <w:rFonts w:ascii="Arial" w:cs="Arial" w:eastAsia="Arial" w:hAnsi="Arial"/>
          <w:sz w:val="16"/>
          <w:szCs w:val="16"/>
          <w:i w:val="1"/>
          <w:iCs w:val="1"/>
          <w:color w:val="auto"/>
        </w:rPr>
        <w:t>Leases</w:t>
      </w:r>
      <w:r>
        <w:rPr>
          <w:rFonts w:ascii="Arial" w:cs="Arial" w:eastAsia="Arial" w:hAnsi="Arial"/>
          <w:sz w:val="16"/>
          <w:szCs w:val="16"/>
          <w:color w:val="auto"/>
        </w:rPr>
        <w:t>, as long as the total rent payments after the lease concessions are substantially the same, or less than, the total rent payments in the existing lease. The impact of the COVID-19 related lease concessions granted above did not have a material impact on our results of operations during the three months ended March 31, 2021.</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relevant lease agreement.</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Additionally, other revenue consists of revenue related to derivative trading activities. See Commodity Derivatives below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and, when deemed necessary, enter into collateral arrangements. During the three months ended March 31, 2021, one customer in the Aviation Leasing segment accounted for approximately 11% of total revenue. During the three months ended March 31, 2020, one customer in the Jefferson Terminal segment and one customer in the Aviation Leasing segment accounted for approximately 16% and 11% of total revenue, respectively.</w:t>
      </w:r>
    </w:p>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March 31, 2021, there were two customers in the Aviation Leasing segment that represented 43% and 15% of total accounts receivable, net. As of December 31, 2020, accounts receivable from two customers in the Aviation Leasing segment represented 40% and 15% of total accounts receivable, net.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497F"/>
        </w:rPr>
        <w:t>—</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allowance for doubtful accounts was $4.0 million and $4.6 million as of March 31, 2021 and December 31, 2020, respectively. There was a bad debt reversal of $0.5 million and bad debt expense of $0.6 million for the three months ended March 31, 2021 and 2020, respectively, and is included in operating expenses in the Consolidated Statements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other comprehensive income related to our equity method investees.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Through our equity method investment in Long Ridge, we enter into derivative contracts as part of a risk management program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mitigate price risk associated with certain electricity price exposures. We primarily use swap derivative contracts, which are agreements to buy or sell a quantity of electricity at a predetermined future date and at a predetermined price.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these derivative instruments are designated and qualify as cash flow hedges. Our share of the derivative's gain or loss is reported as Other comprehensive income (loss) related to equity method investees in our Consolidated Statements of Comprehensive (Loss) Income and recorded in Accumulated other comprehensive (loss) income in our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Equity in earnings (losses) in unconsolidated entities in the Consolidated Statements of Operations. The cash flow impact of derivative contracts that are not designated as hedging instruments is recognized in Equity in earnings (losses) in unconsolidated entities in our Consolidated Statements of Cash Flows.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The cash flow impact of these derivatives is recognized in Change in fair value of non-hedge derivatives in our Consolidated Statements of Cash Flows.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depending on market conditions, we enter into short-term forward purchase and sales contracts for butane. Gains and losses related to our butane derivatives are recorded on a net basis and are included in Other revenue in our Consolidated Statements of Operations, as these contracts are considered part of central operating activities. The cash flow impact of these derivatives is recognized in Change in fair value of non-hedge derivatives in our Consolidated Statements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 11 for additional details related to our commodity derivatives.</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Some of our derivatives are used for speculative purposes. We record all derivative assets and liabilities on a gross basis at fair value, which are included in Other assets and Other liabilities, respectively, in our Consolidated Balance Sheets.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lease incentives of $52.6 million and $55.1 million, purchase deposits of $10.7 million and $6.1</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prepaid expenses of $24.5 million and $10.1 million, notes receivable of $6.4 million and $2.4 million, maintenance right assets of $13.6 million and $6.4 million and aircraft engine modules, spare parts and used material inventory of $64.7 million and $58.2 million as of March 31, 2021 and December 31, 2020, respectively.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months ended March 31, 2021 and 2020, the Board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Directors declared a cash dividend of $0.33 per common share.</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Additionally, in the quarter ended March 31, 2021, the Board of Directors declared a cash dividend on the Series A Preferred Shares and Series B Preferred Shares of $0.52 and $0.50 per share, respectively.</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March 2020 and January 2021, the FASB issued ASU 2020-04,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Reference Rate Reform (Topic 848): Facilitation</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of the Effects of Reference Rate Reform on Financial Reporting </w:t>
      </w:r>
      <w:r>
        <w:rPr>
          <w:rFonts w:ascii="Arial" w:cs="Arial" w:eastAsia="Arial" w:hAnsi="Arial"/>
          <w:sz w:val="16"/>
          <w:szCs w:val="16"/>
          <w:color w:val="000000"/>
        </w:rPr>
        <w:t>and ASU 2021-01,</w:t>
      </w:r>
      <w:r>
        <w:rPr>
          <w:rFonts w:ascii="Arial" w:cs="Arial" w:eastAsia="Arial" w:hAnsi="Arial"/>
          <w:sz w:val="16"/>
          <w:szCs w:val="16"/>
          <w:i w:val="1"/>
          <w:iCs w:val="1"/>
          <w:color w:val="000000"/>
        </w:rPr>
        <w:t xml:space="preserve"> Reference Rate Reform: Scope</w:t>
      </w:r>
      <w:r>
        <w:rPr>
          <w:rFonts w:ascii="Arial" w:cs="Arial" w:eastAsia="Arial" w:hAnsi="Arial"/>
          <w:sz w:val="16"/>
          <w:szCs w:val="16"/>
          <w:color w:val="000000"/>
        </w:rPr>
        <w:t>, respectively. Together, the ASU’s</w:t>
      </w:r>
      <w:r>
        <w:rPr>
          <w:rFonts w:ascii="Arial" w:cs="Arial" w:eastAsia="Arial" w:hAnsi="Arial"/>
          <w:sz w:val="16"/>
          <w:szCs w:val="16"/>
          <w:i w:val="1"/>
          <w:iCs w:val="1"/>
          <w:color w:val="000000"/>
        </w:rPr>
        <w:t xml:space="preserve"> </w:t>
      </w:r>
      <w:r>
        <w:rPr>
          <w:rFonts w:ascii="Arial" w:cs="Arial" w:eastAsia="Arial" w:hAnsi="Arial"/>
          <w:sz w:val="16"/>
          <w:szCs w:val="16"/>
          <w:color w:val="000000"/>
        </w:rPr>
        <w:t>temporarily simplify the accounting for contract modifications, including hedging relationships, due to the transition from LIBOR and 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The new standard was effective upon issuance and generally can be applied to applicable contract modifications through December 31, 2022. Adoption did not have a material impact on our consolidated financial statements.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This standard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The standard is effective for public companies for fiscal years, and interim periods within those fiscal years, beginning after December 15, 2020 and early adoption is permitted. We adopted this guidance in the first quarter of 2021, which did not have a material impact on our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we completed the sale of substantially all of our railroad business (“CMQR”), which was previously reported as our Railroad segment. Under ASC 205-20, this disposition met the criteria to be reported as discontinued operations. Accordingly, the results of operations of CMQR have been reported as discontinued operations for all periods presented. During the three months ended March 31, 2020, we recognized a gain on sale of $1.3 million which is reported in Net income from discontinued operations, net of income taxes in the Consolidated Statements of Operations. There were no non-cash items or capital expenditures during the three months ended March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LEASING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2,114,590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2,042,404</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(429,774)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(407,145)</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1,684,816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1,635,259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During the three months ended March 31, 2021, we evaluated our leasing equipment portfolio and identified certain assets with indicators of impairment, including, but not limited to, the redelivery of unserviceable leasing equipment and a decline in market values due to the ongoing COVID-19 pandemic for leasing equipment we have decided to sell. For these assets, we performed a recoverability assessment at the individual asset level and determined that the carrying amounts exceeded the estimated future undiscounted net cash flows and these assets were impaired. To determine fair value, we used both a market approach, using quoted market prices for the same or similar assets, and an income approach, using discounted cash flows and an estimated discount rate. As a result, we adjusted the carrying value of these assets to fair value and recognized transactional impairment charges of $2.1 million, net of redelivery compensation.</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information related to our acquisitions and dispositions of aviation leasing equipment during the three months ended March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5320" w:type="dxa"/>
            <w:vAlign w:val="bottom"/>
            <w:shd w:val="clear" w:color="auto" w:fill="CCEEFF"/>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5920" w:type="dxa"/>
            <w:vAlign w:val="bottom"/>
          </w:tcPr>
          <w:p>
            <w:pPr>
              <w:ind w:left="20"/>
              <w:spacing w:after="0"/>
              <w:rPr>
                <w:sz w:val="20"/>
                <w:szCs w:val="20"/>
                <w:color w:val="auto"/>
              </w:rPr>
            </w:pPr>
            <w:r>
              <w:rPr>
                <w:rFonts w:ascii="Arial" w:cs="Arial" w:eastAsia="Arial" w:hAnsi="Arial"/>
                <w:sz w:val="14"/>
                <w:szCs w:val="14"/>
                <w:color w:val="auto"/>
              </w:rPr>
              <w:t>Dispositions:</w:t>
            </w:r>
          </w:p>
        </w:tc>
        <w:tc>
          <w:tcPr>
            <w:tcW w:w="5320" w:type="dxa"/>
            <w:vAlign w:val="bottom"/>
          </w:tcPr>
          <w:p>
            <w:pPr>
              <w:spacing w:after="0"/>
              <w:rPr>
                <w:sz w:val="16"/>
                <w:szCs w:val="16"/>
                <w:color w:val="auto"/>
              </w:rPr>
            </w:pPr>
          </w:p>
        </w:tc>
      </w:tr>
      <w:tr>
        <w:trPr>
          <w:trHeight w:val="189"/>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Aircraft</w:t>
            </w:r>
          </w:p>
        </w:tc>
        <w:tc>
          <w:tcPr>
            <w:tcW w:w="5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5920" w:type="dxa"/>
            <w:vAlign w:val="bottom"/>
          </w:tcPr>
          <w:p>
            <w:pPr>
              <w:ind w:left="140"/>
              <w:spacing w:after="0"/>
              <w:rPr>
                <w:sz w:val="20"/>
                <w:szCs w:val="20"/>
                <w:color w:val="auto"/>
              </w:rPr>
            </w:pPr>
            <w:r>
              <w:rPr>
                <w:rFonts w:ascii="Arial" w:cs="Arial" w:eastAsia="Arial" w:hAnsi="Arial"/>
                <w:sz w:val="14"/>
                <w:szCs w:val="14"/>
                <w:color w:val="auto"/>
              </w:rPr>
              <w:t>Engines</w:t>
            </w:r>
          </w:p>
        </w:tc>
        <w:tc>
          <w:tcPr>
            <w:tcW w:w="532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34,695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34,724</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FINANCE LEASES,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16,994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9,389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left="1188"/>
              <w:spacing w:after="0"/>
              <w:rPr>
                <w:sz w:val="20"/>
                <w:szCs w:val="20"/>
                <w:color w:val="auto"/>
              </w:rPr>
            </w:pPr>
            <w:r>
              <w:rPr>
                <w:rFonts w:ascii="Arial" w:cs="Arial" w:eastAsia="Arial" w:hAnsi="Arial"/>
                <w:sz w:val="14"/>
                <w:szCs w:val="14"/>
                <w:color w:val="auto"/>
              </w:rPr>
              <w:t>(2,462)</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center"/>
              <w:ind w:left="1208"/>
              <w:spacing w:after="0"/>
              <w:rPr>
                <w:sz w:val="20"/>
                <w:szCs w:val="20"/>
                <w:color w:val="auto"/>
              </w:rPr>
            </w:pPr>
            <w:r>
              <w:rPr>
                <w:rFonts w:ascii="Arial" w:cs="Arial" w:eastAsia="Arial" w:hAnsi="Arial"/>
                <w:sz w:val="14"/>
                <w:szCs w:val="14"/>
                <w:color w:val="auto"/>
              </w:rPr>
              <w:t>6,927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2021, we entered into 52-month sales-type lease arrangements for four airframes.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PROPERTY, PLANT AND EQUIPMENT,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52,047</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118,916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425,261</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894,408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557,788</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5,589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5,560</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2,597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2,449</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6,103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5,870</w:t>
            </w:r>
          </w:p>
        </w:tc>
      </w:tr>
      <w:tr>
        <w:trPr>
          <w:trHeight w:val="183"/>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1,106,493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1,060,916</w:t>
            </w: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(105,505)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(96,553)</w:t>
            </w:r>
          </w:p>
        </w:tc>
      </w:tr>
      <w:tr>
        <w:trPr>
          <w:trHeight w:val="183"/>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1,000,988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964,363</w:t>
            </w:r>
          </w:p>
        </w:tc>
      </w:tr>
      <w:tr>
        <w:trPr>
          <w:trHeight w:val="21"/>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2021, we added property, plant and equipment of $45.6 million, which primarily consists of terminal machinery and equipment placed in service or under development at Jefferson Terminal and Repauno.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8,952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30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22,721</w:t>
            </w: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122,539</w:t>
            </w:r>
          </w:p>
        </w:tc>
      </w:tr>
      <w:tr>
        <w:trPr>
          <w:trHeight w:val="18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FYX Trust Holdco LLC</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r>
      <w:tr>
        <w:trPr>
          <w:trHeight w:val="20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161,767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months ended March 31, 2021 or 2020.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Intermodal Finance I, Ltd.</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Terminal LLC</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r>
      <w:tr>
        <w:trPr>
          <w:trHeight w:val="21"/>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Long Ridge Terminal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Ohio River Shareholder LLC (“ORP”) contributed its equity interests in Long Ridge into Long Ridge Terminal LLC and sold a 49.9% interest (the “Long Ridge Transaction”) for $150 million in cash, plus an earn out. We no longer have a controlling interest in Long Ridge but still maintain significant influence through our retained interest and, therefore, now account for this investment in accordance with the equity method. Following the sale we deconsolidated ORP, which held the assets of Long Ridge.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FYX Trust Holdco LLC</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2020, we invested $1.3 million for a 14% interest in an operating company that provides roadside assistance services for the intermodal and over-the-road trucking industries. FYX Trust Holdco LLC (“FYX”) has developed a mobile and web-based application that connects fleet managers, owner-operators, and drivers with repair vendors to efficiently and reliably quote, dispatch, monitor, and bill roadside repair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INTANGIBLE ASSETS AND LIABILITIES,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35,735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35,735</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(31,066)</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4,669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4,669</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(23,373)</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12,140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12,140</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12,140</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16,809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7,148</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(5,324)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34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35,349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35,349</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(29,591)</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5,758</w:t>
            </w: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(22,485)</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13,028</w:t>
            </w:r>
          </w:p>
        </w:tc>
      </w:tr>
      <w:tr>
        <w:trPr>
          <w:trHeight w:val="183"/>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13,028</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w:t>
            </w:r>
          </w:p>
        </w:tc>
      </w:tr>
      <w:tr>
        <w:trPr>
          <w:trHeight w:val="18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3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Classification in Consolidated Statements of</w:t>
            </w: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888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0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estimated net annual amortization of intangibles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4,332</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w:t>
            </w:r>
          </w:p>
        </w:tc>
      </w:tr>
      <w:tr>
        <w:trPr>
          <w:trHeight w:val="189"/>
        </w:trPr>
        <w:tc>
          <w:tcPr>
            <w:tcW w:w="948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2,235</w:t>
            </w:r>
          </w:p>
        </w:tc>
      </w:tr>
      <w:tr>
        <w:trPr>
          <w:trHeight w:val="189"/>
        </w:trPr>
        <w:tc>
          <w:tcPr>
            <w:tcW w:w="9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14,985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DEBT,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4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44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20"/>
              <w:spacing w:after="0"/>
              <w:rPr>
                <w:sz w:val="20"/>
                <w:szCs w:val="20"/>
                <w:color w:val="auto"/>
              </w:rPr>
            </w:pPr>
            <w:r>
              <w:rPr>
                <w:rFonts w:ascii="Arial" w:cs="Arial" w:eastAsia="Arial" w:hAnsi="Arial"/>
                <w:sz w:val="14"/>
                <w:szCs w:val="14"/>
                <w:color w:val="auto"/>
              </w:rPr>
              <w:t>Revolving Credit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150,000</w:t>
            </w:r>
          </w:p>
        </w:tc>
        <w:tc>
          <w:tcPr>
            <w:tcW w:w="100" w:type="dxa"/>
            <w:vAlign w:val="bottom"/>
          </w:tcPr>
          <w:p>
            <w:pPr>
              <w:spacing w:after="0"/>
              <w:rPr>
                <w:sz w:val="17"/>
                <w:szCs w:val="17"/>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color w:val="auto"/>
              </w:rPr>
              <w:t>(i) Base Rate + 2.00%; or</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(1)</w:t>
            </w:r>
          </w:p>
        </w:tc>
        <w:tc>
          <w:tcPr>
            <w:tcW w:w="2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0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Base Rate + 1.50%; or</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11/5/2021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 Base Rate + 2.50% (Eurodollar)</w:t>
            </w:r>
          </w:p>
        </w:tc>
        <w:tc>
          <w:tcPr>
            <w:tcW w:w="11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EB-5 Loan Agreement</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21,600</w:t>
            </w:r>
          </w:p>
        </w:tc>
        <w:tc>
          <w:tcPr>
            <w:tcW w:w="44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1/25/2026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196,600</w:t>
            </w: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jc w:val="center"/>
              <w:ind w:right="80"/>
              <w:spacing w:after="0" w:line="153" w:lineRule="exact"/>
              <w:rPr>
                <w:sz w:val="20"/>
                <w:szCs w:val="20"/>
                <w:color w:val="auto"/>
              </w:rPr>
            </w:pPr>
            <w:r>
              <w:rPr>
                <w:rFonts w:ascii="Arial" w:cs="Arial" w:eastAsia="Arial" w:hAnsi="Arial"/>
                <w:sz w:val="14"/>
                <w:szCs w:val="14"/>
                <w:color w:val="auto"/>
              </w:rPr>
              <w:t>(i) Tax Exempt Series 2020A Bonds: 3.625%</w:t>
            </w:r>
          </w:p>
        </w:tc>
        <w:tc>
          <w:tcPr>
            <w:tcW w:w="124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(i) 1/1/2035</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263,980</w:t>
            </w:r>
          </w:p>
        </w:tc>
        <w:tc>
          <w:tcPr>
            <w:tcW w:w="100" w:type="dxa"/>
            <w:vAlign w:val="bottom"/>
            <w:shd w:val="clear" w:color="auto" w:fill="CCEEFF"/>
          </w:tcPr>
          <w:p>
            <w:pPr>
              <w:spacing w:after="0"/>
              <w:rPr>
                <w:sz w:val="11"/>
                <w:szCs w:val="11"/>
                <w:color w:val="auto"/>
              </w:rPr>
            </w:pPr>
          </w:p>
        </w:tc>
        <w:tc>
          <w:tcPr>
            <w:tcW w:w="44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rPr>
              <w:t>(ii) Tax Exempt Series 2020A Bonds: 4.00%</w:t>
            </w:r>
          </w:p>
        </w:tc>
        <w:tc>
          <w:tcPr>
            <w:tcW w:w="12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4"/>
                <w:szCs w:val="14"/>
                <w:color w:val="auto"/>
              </w:rPr>
              <w:t>(ii) 1/1/2050</w:t>
            </w:r>
          </w:p>
        </w:tc>
        <w:tc>
          <w:tcPr>
            <w:tcW w:w="16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(iii) Taxable Series 2020B Bonds: 6.00%</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1/1/2025</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4"/>
                <w:szCs w:val="14"/>
                <w:color w:val="auto"/>
              </w:rPr>
              <w:t xml:space="preserve">2022 </w:t>
            </w:r>
            <w:r>
              <w:rPr>
                <w:rFonts w:ascii="Arial" w:cs="Arial" w:eastAsia="Arial" w:hAnsi="Arial"/>
                <w:sz w:val="18"/>
                <w:szCs w:val="18"/>
                <w:color w:val="auto"/>
                <w:vertAlign w:val="superscript"/>
              </w:rPr>
              <w:t>(3)</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399,164</w:t>
            </w:r>
          </w:p>
        </w:tc>
        <w:tc>
          <w:tcPr>
            <w:tcW w:w="4440" w:type="dxa"/>
            <w:vAlign w:val="bottom"/>
            <w:gridSpan w:val="2"/>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399,331</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852,561</w:t>
            </w:r>
          </w:p>
        </w:tc>
        <w:tc>
          <w:tcPr>
            <w:tcW w:w="44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852,673</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400,000</w:t>
            </w:r>
          </w:p>
        </w:tc>
        <w:tc>
          <w:tcPr>
            <w:tcW w:w="44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8/1/2027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1,915,705</w:t>
            </w: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1,915,984</w:t>
            </w:r>
          </w:p>
        </w:tc>
        <w:tc>
          <w:tcPr>
            <w:tcW w:w="0" w:type="dxa"/>
            <w:vAlign w:val="bottom"/>
          </w:tcPr>
          <w:p>
            <w:pPr>
              <w:spacing w:after="0"/>
              <w:rPr>
                <w:sz w:val="1"/>
                <w:szCs w:val="1"/>
                <w:color w:val="auto"/>
              </w:rPr>
            </w:pPr>
          </w:p>
        </w:tc>
      </w:tr>
      <w:tr>
        <w:trPr>
          <w:trHeight w:val="257"/>
        </w:trPr>
        <w:tc>
          <w:tcPr>
            <w:tcW w:w="2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2,112,305</w:t>
            </w:r>
          </w:p>
        </w:tc>
        <w:tc>
          <w:tcPr>
            <w:tcW w:w="10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1,940,984</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(34,903)</w:t>
            </w:r>
          </w:p>
        </w:tc>
        <w:tc>
          <w:tcPr>
            <w:tcW w:w="10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(36,222)</w:t>
            </w:r>
          </w:p>
        </w:tc>
        <w:tc>
          <w:tcPr>
            <w:tcW w:w="0" w:type="dxa"/>
            <w:vAlign w:val="bottom"/>
          </w:tcPr>
          <w:p>
            <w:pPr>
              <w:spacing w:after="0"/>
              <w:rPr>
                <w:sz w:val="1"/>
                <w:szCs w:val="1"/>
                <w:color w:val="auto"/>
              </w:rPr>
            </w:pPr>
          </w:p>
        </w:tc>
      </w:tr>
      <w:tr>
        <w:trPr>
          <w:trHeight w:val="208"/>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2,077,402</w:t>
            </w:r>
          </w:p>
        </w:tc>
        <w:tc>
          <w:tcPr>
            <w:tcW w:w="10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575,000</w:t>
            </w:r>
          </w:p>
        </w:tc>
        <w:tc>
          <w:tcPr>
            <w:tcW w:w="10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9"/>
        </w:trPr>
        <w:tc>
          <w:tcPr>
            <w:tcW w:w="20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4" w:lineRule="exact"/>
        <w:rPr>
          <w:rFonts w:ascii="Arial" w:cs="Arial" w:eastAsia="Arial" w:hAnsi="Arial"/>
          <w:sz w:val="18"/>
          <w:szCs w:val="18"/>
          <w:color w:val="auto"/>
          <w:vertAlign w:val="superscript"/>
        </w:rPr>
      </w:pPr>
    </w:p>
    <w:p>
      <w:pPr>
        <w:ind w:left="180" w:right="20" w:hanging="172"/>
        <w:spacing w:after="0" w:line="211" w:lineRule="auto"/>
        <w:tabs>
          <w:tab w:leader="none" w:pos="17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 of $1,834 and $2,230 at March 31, 2021 and December 31, 2020, respectively, and an unamortized premium of $998 and $1,561 at March 31, 2021 and December 31, 2020, respectively.</w:t>
      </w:r>
    </w:p>
    <w:p>
      <w:pPr>
        <w:spacing w:after="0" w:line="44" w:lineRule="exact"/>
        <w:rPr>
          <w:rFonts w:ascii="Arial" w:cs="Arial" w:eastAsia="Arial" w:hAnsi="Arial"/>
          <w:sz w:val="19"/>
          <w:szCs w:val="19"/>
          <w:color w:val="auto"/>
          <w:vertAlign w:val="superscript"/>
        </w:rPr>
      </w:pPr>
    </w:p>
    <w:p>
      <w:pPr>
        <w:ind w:left="180" w:hanging="172"/>
        <w:spacing w:after="0" w:line="211" w:lineRule="auto"/>
        <w:tabs>
          <w:tab w:leader="none" w:pos="196"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unamortized discount of $4,110 and $4,303 at March 31, 2021 and December 31, 2020, respectively, and an unamortized premium of $6,671 and $6,976 at March 31, 2021 and December 31, 2020, respectively.</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January 25, 2021, Jefferson entered into a non-recourse loan agreement under the U.S. Citizenship and Immigration Services EB-5 Program (“EB-5 Loan Agreement”) to pay for the development, construction and acquisition of certain facilities at Jefferson Terminal. The maximum aggregate principal amount available under the EB-5 Loan Agreement is $61.2 million, of which $26.1 million is available under the first tranche and $35.1 million is available under the second tranche. The loans mature in five years from the funding of each individual tranche with an option to extend the maturity for both tranches by two one-year periods. If the option to extend the maturity is exercised, the interest rate will increase to 6.25% from 5.75% for the extension period.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March 31,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FAIR VALUE MEASUREMENTS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March 31, 2021 and December 31, 2020, by level within the fair value hierarchy. Assets measured at fair value are classified in their entirety based on the lowest level of input that is significant to their fair value measurement.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16"/>
                <w:szCs w:val="16"/>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160,252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160,252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33,224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33,224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b w:val="1"/>
                <w:bCs w:val="1"/>
                <w:color w:val="auto"/>
              </w:rPr>
              <w:t>7,964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201,440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193,476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80" w:type="dxa"/>
            <w:vAlign w:val="bottom"/>
          </w:tcPr>
          <w:p>
            <w:pPr>
              <w:spacing w:after="0"/>
              <w:rPr>
                <w:sz w:val="24"/>
                <w:szCs w:val="24"/>
                <w:color w:val="auto"/>
              </w:rPr>
            </w:pPr>
          </w:p>
        </w:tc>
        <w:tc>
          <w:tcPr>
            <w:tcW w:w="40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121,703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161,418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Series A 2020 Bonds </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190,540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186,306</w:t>
            </w:r>
          </w:p>
        </w:tc>
      </w:tr>
      <w:tr>
        <w:trPr>
          <w:trHeight w:val="189"/>
        </w:trPr>
        <w:tc>
          <w:tcPr>
            <w:tcW w:w="73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Series B 2020 Bonds </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80,992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79,723</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400,824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403,536</w:t>
            </w:r>
          </w:p>
        </w:tc>
      </w:tr>
      <w:tr>
        <w:trPr>
          <w:trHeight w:val="189"/>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889,797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888,701</w:t>
            </w: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456,520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460,340</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at acquisition or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Crude Oil</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We exited this strategy in the fourth quarter of 2019. These crude oil forward purchase and sales contracts are not designated in hedging relationships.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Butane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Depending on market conditions, Repauno enters into forward purchase and sales contracts for butane. These derivatives are short-term in nature and are used for trading purposes.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butane derivative contracts: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182"/>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Notional Amount </w:t>
            </w:r>
            <w:r>
              <w:rPr>
                <w:rFonts w:ascii="Arial" w:cs="Arial" w:eastAsia="Arial" w:hAnsi="Arial"/>
                <w:sz w:val="14"/>
                <w:szCs w:val="14"/>
                <w:i w:val="1"/>
                <w:iCs w:val="1"/>
                <w:color w:val="auto"/>
              </w:rPr>
              <w:t>(BBL in thousands)</w:t>
            </w:r>
          </w:p>
        </w:tc>
        <w:tc>
          <w:tcPr>
            <w:tcW w:w="24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r>
        <w:trPr>
          <w:trHeight w:val="189"/>
        </w:trPr>
        <w:tc>
          <w:tcPr>
            <w:tcW w:w="74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Fair Value of Assets </w:t>
            </w:r>
            <w:r>
              <w:rPr>
                <w:rFonts w:ascii="Arial" w:cs="Arial" w:eastAsia="Arial" w:hAnsi="Arial"/>
                <w:sz w:val="18"/>
                <w:szCs w:val="18"/>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7,964</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center"/>
              <w:ind w:left="1308"/>
              <w:spacing w:after="0"/>
              <w:rPr>
                <w:sz w:val="20"/>
                <w:szCs w:val="20"/>
                <w:color w:val="auto"/>
              </w:rPr>
            </w:pPr>
            <w:r>
              <w:rPr>
                <w:rFonts w:ascii="Arial" w:cs="Arial" w:eastAsia="Arial" w:hAnsi="Arial"/>
                <w:sz w:val="14"/>
                <w:szCs w:val="14"/>
                <w:color w:val="auto"/>
              </w:rPr>
              <w:t>—</w:t>
            </w:r>
          </w:p>
        </w:tc>
      </w:tr>
      <w:tr>
        <w:trPr>
          <w:trHeight w:val="18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w:t>
            </w:r>
          </w:p>
        </w:tc>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5 to 12 months</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center"/>
              <w:ind w:left="1308"/>
              <w:spacing w:after="0"/>
              <w:rPr>
                <w:sz w:val="20"/>
                <w:szCs w:val="20"/>
                <w:color w:val="auto"/>
              </w:rPr>
            </w:pPr>
            <w:r>
              <w:rPr>
                <w:rFonts w:ascii="Arial" w:cs="Arial" w:eastAsia="Arial" w:hAnsi="Arial"/>
                <w:sz w:val="14"/>
                <w:szCs w:val="14"/>
                <w:color w:val="auto"/>
              </w:rPr>
              <w:t>N/A</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Included in Other assets in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fair value for all Level 3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unrealized gains (losses) recognized in earnings</w:t>
            </w: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into or out of Level 3 during the periods presented.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REVENUES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842,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March 31, 2021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39,789</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438</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40,227</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15,508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15,508</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403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403</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56,101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56,607</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430</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10,289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10,421</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7,964</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9,691</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10,719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8,096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20,542</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77,149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9"/>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March 31, 2020</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Infrastructure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Ports and Terminals</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46,941</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2,872</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49,813</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revenue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31,995</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Finance lease income</w:t>
            </w:r>
          </w:p>
        </w:tc>
        <w:tc>
          <w:tcPr>
            <w:tcW w:w="16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429</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6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82,992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86,449</w:t>
            </w:r>
          </w:p>
        </w:tc>
      </w:tr>
      <w:tr>
        <w:trPr>
          <w:trHeight w:val="16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Lease income</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Terminal services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16,411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16,411</w:t>
            </w:r>
          </w:p>
        </w:tc>
      </w:tr>
      <w:tr>
        <w:trPr>
          <w:trHeight w:val="189"/>
        </w:trPr>
        <w:tc>
          <w:tcPr>
            <w:tcW w:w="3240" w:type="dxa"/>
            <w:vAlign w:val="bottom"/>
          </w:tcPr>
          <w:p>
            <w:pPr>
              <w:ind w:left="140"/>
              <w:spacing w:after="0"/>
              <w:rPr>
                <w:sz w:val="20"/>
                <w:szCs w:val="20"/>
                <w:color w:val="auto"/>
              </w:rPr>
            </w:pPr>
            <w:r>
              <w:rPr>
                <w:rFonts w:ascii="Arial" w:cs="Arial" w:eastAsia="Arial" w:hAnsi="Arial"/>
                <w:sz w:val="14"/>
                <w:szCs w:val="14"/>
                <w:color w:val="auto"/>
              </w:rPr>
              <w:t>Crude marketing revenues</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8,210</w:t>
            </w:r>
          </w:p>
        </w:tc>
      </w:tr>
      <w:tr>
        <w:trPr>
          <w:trHeight w:val="189"/>
        </w:trPr>
        <w:tc>
          <w:tcPr>
            <w:tcW w:w="3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6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24,741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26,391</w:t>
            </w:r>
          </w:p>
        </w:tc>
      </w:tr>
      <w:tr>
        <w:trPr>
          <w:trHeight w:val="20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March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124,213</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113,658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89"/>
        </w:trPr>
        <w:tc>
          <w:tcPr>
            <w:tcW w:w="738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52,527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424,910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LEASES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approximately one month to 41 years.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1,721</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2,265</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three months ended March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net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64,801</w:t>
            </w:r>
          </w:p>
        </w:tc>
        <w:tc>
          <w:tcPr>
            <w:tcW w:w="0" w:type="dxa"/>
            <w:vAlign w:val="bottom"/>
          </w:tcPr>
          <w:p>
            <w:pPr>
              <w:spacing w:after="0"/>
              <w:rPr>
                <w:sz w:val="1"/>
                <w:szCs w:val="1"/>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64,231</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4"/>
                <w:szCs w:val="14"/>
                <w:color w:val="auto"/>
              </w:rPr>
              <w:t>Weighted average remaining lease term</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38.5 years</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70"/>
        </w:trPr>
        <w:tc>
          <w:tcPr>
            <w:tcW w:w="9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358"/>
        </w:trPr>
        <w:tc>
          <w:tcPr>
            <w:tcW w:w="9020" w:type="dxa"/>
            <w:vAlign w:val="bottom"/>
          </w:tcPr>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March 31, 2021: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5,081</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w:t>
            </w:r>
          </w:p>
        </w:tc>
        <w:tc>
          <w:tcPr>
            <w:tcW w:w="0" w:type="dxa"/>
            <w:vAlign w:val="bottom"/>
          </w:tcPr>
          <w:p>
            <w:pPr>
              <w:spacing w:after="0"/>
              <w:rPr>
                <w:sz w:val="1"/>
                <w:szCs w:val="1"/>
                <w:color w:val="auto"/>
              </w:rPr>
            </w:pPr>
          </w:p>
        </w:tc>
      </w:tr>
      <w:tr>
        <w:trPr>
          <w:trHeight w:val="189"/>
        </w:trPr>
        <w:tc>
          <w:tcPr>
            <w:tcW w:w="9020" w:type="dxa"/>
            <w:vAlign w:val="bottom"/>
          </w:tcPr>
          <w:p>
            <w:pPr>
              <w:ind w:left="20"/>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18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145,874</w:t>
            </w: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169,838</w:t>
            </w:r>
          </w:p>
        </w:tc>
        <w:tc>
          <w:tcPr>
            <w:tcW w:w="0" w:type="dxa"/>
            <w:vAlign w:val="bottom"/>
          </w:tcPr>
          <w:p>
            <w:pPr>
              <w:spacing w:after="0"/>
              <w:rPr>
                <w:sz w:val="1"/>
                <w:szCs w:val="1"/>
                <w:color w:val="auto"/>
              </w:rPr>
            </w:pPr>
          </w:p>
        </w:tc>
      </w:tr>
      <w:tr>
        <w:trPr>
          <w:trHeight w:val="18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105,607</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liabilities</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64,231</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6"/>
                <w:szCs w:val="16"/>
                <w:color w:val="auto"/>
              </w:rPr>
              <w:t>23</w:t>
            </w: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2021, we entered into a new lease for real estate, which had a ROU asset value of $2.7 million and a lease term of approximately five years at commencement.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As of March 31, 2021, the Incentive Plan provides for the issuance of up to 29.9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ind w:right="108"/>
              <w:spacing w:after="0"/>
              <w:rPr>
                <w:sz w:val="20"/>
                <w:szCs w:val="20"/>
                <w:color w:val="auto"/>
              </w:rPr>
            </w:pPr>
            <w:r>
              <w:rPr>
                <w:rFonts w:ascii="Arial" w:cs="Arial" w:eastAsia="Arial" w:hAnsi="Arial"/>
                <w:sz w:val="14"/>
                <w:szCs w:val="14"/>
                <w:b w:val="1"/>
                <w:bCs w:val="1"/>
                <w:color w:val="auto"/>
              </w:rPr>
              <w:t>Remaining Expense To Be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2640" w:type="dxa"/>
            <w:vAlign w:val="bottom"/>
            <w:tcBorders>
              <w:bottom w:val="single" w:sz="8" w:color="auto"/>
            </w:tcBorders>
            <w:gridSpan w:val="4"/>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20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Conditions Are Met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841</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7,816</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1,877</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0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1,114</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9,693</w:t>
            </w:r>
          </w:p>
        </w:tc>
        <w:tc>
          <w:tcPr>
            <w:tcW w:w="2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2021, FIG LLC (the “Manager”), an affiliate of Fortress Investment Group LLC, transferred 25,998 of its options to certain of the Manager’s employees.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March 2021 offering of preferred shares (see Note 18), we granted options to the Manager related to 355,932 common shares at an exercise price of $29.50, which had a grant date fair value of $3.7 million. The assumptions used in valuing the options were: a 1.70% risk-free rate, a 3.16% dividend yield, a 45.60% volatility and a ten-year term.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Common Units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three months ended March 31, 2021, we issued 1,052,632 common units of our subsidiary that had a grant date fair value of $1.2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three months ended March 31, 2021, we issued restricted shares of our subsidiary that had a grant date fair value of $5.3 million and vest over three years. These awards are subject to continued employment, and the compensation expense is recognized ratably over the vesting periods. The fair value of these awards was based on the fair value of the operating subsidiary on the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included in the Consolidated Statements of Operations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Federal</w:t>
            </w:r>
          </w:p>
        </w:tc>
        <w:tc>
          <w:tcPr>
            <w:tcW w:w="1120" w:type="dxa"/>
            <w:vAlign w:val="bottom"/>
          </w:tcPr>
          <w:p>
            <w:pPr>
              <w:jc w:val="right"/>
              <w:ind w:right="94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89"/>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Deferred:</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State and local</w:t>
            </w:r>
          </w:p>
        </w:tc>
        <w:tc>
          <w:tcPr>
            <w:tcW w:w="112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1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8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benefit</w:t>
            </w: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r>
      <w:tr>
        <w:trPr>
          <w:trHeight w:val="20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three months ended March 31, 2021,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2017. We do not believe that it is reasonably possible that the total amount of unrecognized tax benefits will significantly change within 12 months of the reporting date of March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MANAGEMENT AGREEMENT AND AFFILIATE TRANSACTIONS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0.05% of the Partnership and is the general partner of the Partnership.</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r>
      <w:tr>
        <w:trPr>
          <w:trHeight w:val="189"/>
        </w:trPr>
        <w:tc>
          <w:tcPr>
            <w:tcW w:w="794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3,990</w:t>
            </w:r>
          </w:p>
        </w:tc>
        <w:tc>
          <w:tcPr>
            <w:tcW w:w="1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4,766</w:t>
            </w:r>
          </w:p>
        </w:tc>
      </w:tr>
      <w:tr>
        <w:trPr>
          <w:trHeight w:val="21"/>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6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89"/>
        </w:trPr>
        <w:tc>
          <w:tcPr>
            <w:tcW w:w="79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2,233</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2,262</w:t>
            </w:r>
          </w:p>
        </w:tc>
      </w:tr>
      <w:tr>
        <w:trPr>
          <w:trHeight w:val="189"/>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2,786</w:t>
            </w: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an offering of our common shares or other equity securities (including securities issued as consideration in an acquisition), we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1,317</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December 31, 2020, there were no receivables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2021 and December 31, 2020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March 31, 2021 and December 31, 2020 was $12.2 million and $17.2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38"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17780</wp:posOffset>
            </wp:positionV>
            <wp:extent cx="2091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2" w:lineRule="exact"/>
        <w:rPr>
          <w:sz w:val="20"/>
          <w:szCs w:val="20"/>
          <w:color w:val="auto"/>
        </w:rPr>
      </w:pPr>
    </w:p>
    <w:p>
      <w:pPr>
        <w:ind w:left="8580"/>
        <w:spacing w:after="0"/>
        <w:tabs>
          <w:tab w:leader="none" w:pos="10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7940" w:val="left"/>
          <w:tab w:leader="none" w:pos="9100" w:val="left"/>
          <w:tab w:leader="none" w:pos="9640" w:val="left"/>
          <w:tab w:leader="none" w:pos="10800" w:val="left"/>
        </w:tabs>
        <w:rPr>
          <w:sz w:val="20"/>
          <w:szCs w:val="20"/>
          <w:color w:val="auto"/>
        </w:rPr>
      </w:pPr>
      <w:r>
        <w:rPr>
          <w:rFonts w:ascii="Arial" w:cs="Arial" w:eastAsia="Arial" w:hAnsi="Arial"/>
          <w:sz w:val="14"/>
          <w:szCs w:val="14"/>
          <w:color w:val="auto"/>
        </w:rPr>
        <w:t>Non-controlling interest share of net loss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5,016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4,661</w:t>
      </w:r>
    </w:p>
    <w:p>
      <w:pPr>
        <w:spacing w:after="0" w:line="200" w:lineRule="exact"/>
        <w:rPr>
          <w:sz w:val="20"/>
          <w:szCs w:val="20"/>
          <w:color w:val="auto"/>
        </w:rPr>
      </w:pPr>
    </w:p>
    <w:p>
      <w:pPr>
        <w:spacing w:after="0" w:line="2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18 for details related to conversions during the period.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July 2020, we purchased a 14% interest in FYX from an affiliate of our Manager, which retained a non-controlling interest in FYX subsequent to the transaction. Additionally, other investors in FYX are also affiliates of our Manager. See Note 7 for additional information related to FYX.</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2021, we granted options to the Manager in connection with the offering of the Series C Preferred Shares (as defined in Note 18). See Notes 14 and 18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17. SEGMENT INFORMATION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three reportable segments which operate in the Equipment Leasing and Infrastructure businesses across several market sectors. Our reportable segments are (i) Aviation Leasing, (ii) Jefferson Terminal and (iii) Ports and Terminals. The Aviation Leasing segment consists of aircraft and aircraft engines held for lease and are typically held long-term. The Jefferson Terminal segment consists of a multi-modal crude oil and refined products terminal and other related assets. The Ports and Terminals segment consists of Repauno, which is a 1,630-acre deep-water port located along the Delaware River with an underground storage cavern and multiple industrial development opportunities, and an equity method investment in Long Ridge, which is a 1,660-acre multi-modal port located along the Ohio River with rail, dock, and multiple industrial development opportunities, including a power plant under construction.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 of vessels and equipment that support offshore oil and gas drilling and production which are typically subject to operating leases, (ii) an investment in an unconsolidated entity engaged in the acquisition and leasing of shipping containers and (iii) railroad assets retained after the December 2019 sale, which consist of equipment that support a railcar cleaning business.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net income (loss) attributable to shareholders, as defined by GAAP, is the most appropriate earnings measurement with which to reconcile Adjusted EBITDA. Adjusted EBITDA should not be considered as an alternative to net income (loss) attributable to shareholders as determined in accordance with GAAP.</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March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56,101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506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56,607</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20,542</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56,101</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8,096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77,149</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24,997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4,252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4,252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1,643</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3,990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3,990</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32,563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44,535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2,100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32,990</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40,109</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20,642</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5,592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48,164</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114,507</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1,374</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2,651</w:t>
            </w: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16,730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(45,741)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(34,707)</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16,772</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(9,799)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3,892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(45,741)</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(34,876)</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income attributable to non-</w:t>
            </w:r>
          </w:p>
        </w:tc>
        <w:tc>
          <w:tcPr>
            <w:tcW w:w="16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(5,016)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(4,961)</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controlling interests in consolidated subsidiaries</w:t>
            </w:r>
          </w:p>
        </w:tc>
        <w:tc>
          <w:tcPr>
            <w:tcW w:w="16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4,625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4,625</w:t>
            </w:r>
          </w:p>
        </w:tc>
        <w:tc>
          <w:tcPr>
            <w:tcW w:w="0" w:type="dxa"/>
            <w:vAlign w:val="bottom"/>
          </w:tcPr>
          <w:p>
            <w:pPr>
              <w:spacing w:after="0"/>
              <w:rPr>
                <w:sz w:val="1"/>
                <w:szCs w:val="1"/>
                <w:color w:val="auto"/>
              </w:rPr>
            </w:pPr>
          </w:p>
        </w:tc>
      </w:tr>
      <w:tr>
        <w:trPr>
          <w:trHeight w:val="128"/>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16,772</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(4,783)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3,837</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(50,366)</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(34,540)</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Infrastructure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10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Ports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Terminals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60,729</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2,828</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(16,535)</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47,154</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earnings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(2,402)</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(32,990)</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(52,643)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(2,100)</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7,964</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(34,540)</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25,024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506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25,530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22,739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7,592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28,134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56,101</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10,719</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8,096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77,149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Three Months Ended March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82,992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86,449</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26,391</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82,992</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24,741</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4,793</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112,840</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4,663</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Management fees and incentive allocation to</w:t>
            </w:r>
          </w:p>
        </w:tc>
        <w:tc>
          <w:tcPr>
            <w:tcW w:w="160" w:type="dxa"/>
            <w:vAlign w:val="bottom"/>
          </w:tcPr>
          <w:p>
            <w:pPr>
              <w:spacing w:after="0"/>
              <w:rPr>
                <w:sz w:val="13"/>
                <w:szCs w:val="13"/>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4,766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affiliate</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42,197</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19,040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22,861</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39,426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32,597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35,551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111,125</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Equity in (losses) earnings of unconsolidated</w:t>
            </w:r>
          </w:p>
        </w:tc>
        <w:tc>
          <w:tcPr>
            <w:tcW w:w="1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of assets, net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16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41,168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(12,525)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(30,801)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before income taxes</w:t>
            </w: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Less: Net loss attributable to non-controlling</w:t>
            </w:r>
          </w:p>
        </w:tc>
        <w:tc>
          <w:tcPr>
            <w:tcW w:w="160" w:type="dxa"/>
            <w:vAlign w:val="bottom"/>
            <w:shd w:val="clear" w:color="auto" w:fill="CCEEFF"/>
          </w:tcPr>
          <w:p>
            <w:pPr>
              <w:spacing w:after="0"/>
              <w:rPr>
                <w:sz w:val="11"/>
                <w:szCs w:val="11"/>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(4,736)</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 subsidiaries</w:t>
            </w:r>
          </w:p>
        </w:tc>
        <w:tc>
          <w:tcPr>
            <w:tcW w:w="160" w:type="dxa"/>
            <w:vAlign w:val="bottom"/>
            <w:shd w:val="clear" w:color="auto" w:fill="CCEEFF"/>
          </w:tcPr>
          <w:p>
            <w:pPr>
              <w:spacing w:after="0"/>
              <w:rPr>
                <w:sz w:val="14"/>
                <w:szCs w:val="14"/>
                <w:color w:val="auto"/>
              </w:rPr>
            </w:pPr>
          </w:p>
        </w:tc>
        <w:tc>
          <w:tcPr>
            <w:tcW w:w="172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16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4,539</w:t>
            </w:r>
          </w:p>
        </w:tc>
        <w:tc>
          <w:tcPr>
            <w:tcW w:w="0" w:type="dxa"/>
            <w:vAlign w:val="bottom"/>
          </w:tcPr>
          <w:p>
            <w:pPr>
              <w:spacing w:after="0"/>
              <w:rPr>
                <w:sz w:val="1"/>
                <w:szCs w:val="1"/>
                <w:color w:val="auto"/>
              </w:rPr>
            </w:pPr>
          </w:p>
        </w:tc>
      </w:tr>
      <w:tr>
        <w:trPr>
          <w:trHeight w:val="128"/>
        </w:trPr>
        <w:tc>
          <w:tcPr>
            <w:tcW w:w="3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 continuing operations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41,123</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(7,999)</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(35,343)</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attributable to shareholders</w:t>
            </w: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ind w:right="486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Jefferson Terminal</w:t>
            </w:r>
          </w:p>
        </w:tc>
        <w:tc>
          <w:tcPr>
            <w:tcW w:w="24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83,390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71,995</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3,350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earnings of unconsolidated entities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Pro-rata share of Adjusted EBITDA from</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(22,861)</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(49,064)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Less: Changes in fair value of non-hedge derivative</w:t>
            </w:r>
          </w:p>
        </w:tc>
        <w:tc>
          <w:tcPr>
            <w:tcW w:w="1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Arial" w:cs="Arial" w:eastAsia="Arial" w:hAnsi="Arial"/>
                <w:sz w:val="14"/>
                <w:szCs w:val="14"/>
                <w:color w:val="auto"/>
              </w:rPr>
              <w:t>Less: Losses on the modification or extinguishment</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4"/>
                <w:szCs w:val="14"/>
                <w:color w:val="auto"/>
              </w:rPr>
              <w:t>of debt and capital lease obligations</w:t>
            </w: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line="133" w:lineRule="exact"/>
              <w:rPr>
                <w:sz w:val="20"/>
                <w:szCs w:val="20"/>
                <w:color w:val="auto"/>
              </w:rPr>
            </w:pPr>
            <w:r>
              <w:rPr>
                <w:rFonts w:ascii="Arial" w:cs="Arial" w:eastAsia="Arial" w:hAnsi="Arial"/>
                <w:sz w:val="14"/>
                <w:szCs w:val="14"/>
                <w:color w:val="auto"/>
              </w:rPr>
              <w:t>Net loss attributable to shareholders from</w:t>
            </w: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4" w:lineRule="exact"/>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Three Months Ended March 31, 2020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Infrastructure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Aviation Leasing</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Jefferson Terminal</w:t>
            </w: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Ports 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Terminals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7,154</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7,154</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39,572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39,572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34,529</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0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Balance Sheet and Location of Long-Lived Assets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1,806,730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995,107</w:t>
            </w: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446,449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3,592,047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274,919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1,777,483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2,077,402</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211,881</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379,798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45,774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1,810,942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2,448,395</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16,494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1,615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18,633</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1,594,849</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615,309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400,675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(1,467,181)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1,143,652</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1,806,730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995,107</w:t>
            </w: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446,449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3,592,047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416,084</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ind w:left="16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61,386</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477,470</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803,624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803,624</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248,192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726,264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276,997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116,256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1,367,709</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37,001</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37,001</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1,504,901</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726,264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276,997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177,642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2,685,804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vMerge w:val="restart"/>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253,473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1,904,762</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219,692</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365,629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38,242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1,665,093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2,288,656</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in equity of consolidated</w:t>
            </w:r>
          </w:p>
        </w:tc>
        <w:tc>
          <w:tcPr>
            <w:tcW w:w="16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22,663</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1,484,513</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624,299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361,975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(1,371,466)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1,099,321</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1,704,205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989,928</w:t>
            </w: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3,387,977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Aviation Leasing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Jefferson Terminal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Ports and</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Terminals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Property, plant and equipment and leasing</w:t>
            </w:r>
          </w:p>
        </w:tc>
        <w:tc>
          <w:tcPr>
            <w:tcW w:w="16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equipment, net</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Asia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445,566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56,702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502,268</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774,300</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208,190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702,393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269,680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1,298,045</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25,009</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25,009</w:t>
            </w:r>
          </w:p>
        </w:tc>
        <w:tc>
          <w:tcPr>
            <w:tcW w:w="0" w:type="dxa"/>
            <w:vAlign w:val="bottom"/>
          </w:tcPr>
          <w:p>
            <w:pPr>
              <w:spacing w:after="0"/>
              <w:rPr>
                <w:sz w:val="1"/>
                <w:szCs w:val="1"/>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1,453,065</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702,393</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269,680</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174,484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2,599,622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18. EARNINGS PER SHARE AND EQUITY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per common share (“EPS”) is calculated by dividing net income attributable to shareholders by the weighted average number of common shares outstanding, plus any participating securities. Diluted EPS is calculated by dividing net income attributable to shareholders by the weighted average number of common shares outstanding, plus any participating securities and potentially dilutive securities. Potentially dilutive securities are calculated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continuing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189"/>
        </w:trPr>
        <w:tc>
          <w:tcPr>
            <w:tcW w:w="802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3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1,331</w:t>
            </w:r>
          </w:p>
        </w:tc>
      </w:tr>
      <w:tr>
        <w:trPr>
          <w:trHeight w:val="18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(4,961)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(4,736)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4,539</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Net loss attributable to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(34,540)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color w:val="auto"/>
              </w:rPr>
              <w:t xml:space="preserve">Weighted Average Common Shares Outstanding - Basic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86,027,944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86,008,099</w:t>
            </w:r>
          </w:p>
        </w:tc>
      </w:tr>
      <w:tr>
        <w:trPr>
          <w:trHeight w:val="189"/>
        </w:trPr>
        <w:tc>
          <w:tcPr>
            <w:tcW w:w="80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8"/>
                <w:szCs w:val="18"/>
                <w:color w:val="auto"/>
                <w:vertAlign w:val="superscript"/>
              </w:rPr>
              <w:t>(1)</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86,027,944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86,008,099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89"/>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three months ended March 31, 2021 and 2020 includes participating securities which can be converted into a fixed amount of our shares.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March 31, 2021 and 2020, 803,800 and 60,838 shares, respectively, have been excluded from the calculation of Diluted EPS because the impact would be anti-dilutive.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2021, we issued 6,594 common shares to certain directors as compensation.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March 31, 2021, certain holders of Class B Units (see Note 16) converted 9,470 Class B Units in exchange for 7,013 common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Preferred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in a public offering, we issued 4,200,000 shares of 8.25% Fixed-Rate Reset Series C Cumulative Perpetual Redeemable Preferred Shares (“Series C Preferred Shares”), par value $0.01 per share, with a liquidation preference of $25.00 per share for net proceeds of approximately $101.2 million. See Note 14 for information related to options issued to the Manager in connection with such offering.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4920"/>
        <w:spacing w:after="0" w:line="268" w:lineRule="auto"/>
        <w:rPr>
          <w:sz w:val="20"/>
          <w:szCs w:val="20"/>
          <w:color w:val="auto"/>
        </w:rPr>
      </w:pPr>
      <w:r>
        <w:rPr>
          <w:rFonts w:ascii="Arial" w:cs="Arial" w:eastAsia="Arial" w:hAnsi="Arial"/>
          <w:sz w:val="18"/>
          <w:szCs w:val="18"/>
          <w:b w:val="1"/>
          <w:bCs w:val="1"/>
          <w:color w:val="00497F"/>
        </w:rPr>
        <w:t xml:space="preserve">FORTRESS TRANSPORTATION AND INFRASTRUCTURE INVESTORS LLC NOTES TO CONSOLIDATED FINANCIAL STATEMENTS </w:t>
      </w:r>
      <w:r>
        <w:rPr>
          <w:rFonts w:ascii="Arial" w:cs="Arial" w:eastAsia="Arial" w:hAnsi="Arial"/>
          <w:sz w:val="18"/>
          <w:szCs w:val="18"/>
          <w:b w:val="1"/>
          <w:bCs w:val="1"/>
          <w:i w:val="1"/>
          <w:iCs w:val="1"/>
          <w:color w:val="00497F"/>
        </w:rPr>
        <w:t>(unaudited)</w:t>
      </w:r>
      <w:r>
        <w:rPr>
          <w:rFonts w:ascii="Arial" w:cs="Arial" w:eastAsia="Arial" w:hAnsi="Arial"/>
          <w:sz w:val="18"/>
          <w:szCs w:val="18"/>
          <w:b w:val="1"/>
          <w:bCs w:val="1"/>
          <w:color w:val="00497F"/>
        </w:rPr>
        <w:t xml:space="preserve"> </w:t>
      </w: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19. COMMITMENTS AND CONTINGENCIES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also entered into an arrangement with our non-controlling interest holder of Repauno, as part of the initial acquisition, whereby the non-controlling interest holder may receive additional payments contingent upon the achievement of certain conditions, not to exceed $15.0 million. We will account for such amounts when and if such conditions are achieved. The contingency related to $5.0 million of the total $15.0 million was resolved during the quarter ended March 31, 2021. The $5.0 million payment was recorded as a payable and included in the cost of the asset acquisition.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Jefferson entered into a two-year pipeline capacity agreement for a recently completed pipeline. Under the agreement, which will take effect in the second quarter of 2021, Jefferson is obligated to pay fixed marketing fees over the two-year agreement, which totals a minimum of $10.2 million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20. SUBSEQUENT EVENTS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Senior Notes due 2028</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12, 2021, we issued $500 million aggregate principal amount of senior unsecured notes due 2028 (the “Senior Notes due 2028”). The Senior Notes due 2028 bear interest at a rate of 5.50% per annum, payable semi-annually in arrears on May 1 and November 1 of each year, commencing on November 1, 2021.</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May 7, 2021, we intend to use a portion of the net proceeds to redeem in full the Senior Notes due 2022, which total $400 million aggregate principal plus accrued and unpaid interest.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Dividends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29, 2021, our Board of Directors declared a cash dividend on our common shares and eligible participating securities of $0.33 per share for the quarter ended March 31, 2021, payable on May 25, 2021 to the holders of record on May 14, 2021.</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Additionally, on April 29, 2021, our Board of Directors also declared a cash dividend on the Series A Preferred Shares, Series B Preferred Shares and Series C Preferred Shares of $0.52 per share, $0.50 per share and $0.46 per share, respectively, payable on June 15, 2021 to the holders of record on June 1, 2021.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March 31, 2021, we had total consolidated assets of $3.6 billion and total equity of $1.1 billion.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COVID-19</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Due to the outbreak of COVID-19, we have taken measures to protect the health and safety of our employees, including having employees work remotely, where possible. Market conditions due to the outbreak of COVID-19 resulted in asset impairment charges and a decline in our equipment leasing revenues during the three months ended March 31, 2021. A number of our lessees continue to experience increased financial stress due to the significant decline in travel demand, particularly as various regions experience spikes in COVID-19 cases. A number of these lessees have been placed on non-accrual status as of March 31, 2021; however, we believe our overall portfolio exposure is limited by maintenance reserves and security deposits which are secured against lessee defaults. The value of these deposits was $175.6 million as of March 31, 2021. The extent of the impact of the COVID-19 pandemic on our operational and financial performance will depend on future developments, including the duration, severity and spread of the pandemic, as well as additional waves of COVID-19 infections and the ultimate impact of related restrictions imposed by the U.S. and international governments, all of which remain uncertain. For additional detail, see Liquidity and Capital Resources and Part II, Item 1A. Risk Factors—“The COVID-19 pandemic has severely disrupted the global economy and may have, and the emergence of similar crises could have, material adverse effects on our business, results of operations or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three reportable segments: (i) Aviation Leasing, which is within the Equipment Leasing Business, and (ii) Jefferson Terminal and (iii)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Ports and Terminals segment consists of Repauno, acquired in 2016, a 1,630-acre deep-water port located along the Delaware River with an underground storage cavern and multiple industrial development opportunities. Additionally, Ports and Terminals includes an equity method investment (“Long Ridge”), which is a 1,660-acre multi-modal port located along the Ohio River with rail, dock, and multiple industrial development opportunities, including a power plant under construction.</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includes (i) offshore energy related assets which consist of vessels and equipment that support offshore oil and gas activities and are typically subject to operating leases, (ii) an investment in an unconsolidated entity engaged in the leasing of shipping containers and (iii) railroad assets retained after the December 2019 sale, which consists of equipment that support a railcar cleaning business.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December 27, 2017, SoftBank Group Corp. (“SoftBank”) completed its acquisition of Fortress (the “SoftBank Merger”). In connection with the Softbank Merger, Fortress operates within SoftBank as an independent business headquartered in New York.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chief operating decision maker (“CODM”) utilizes Adjusted EBITDA as the key performance measure.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 (b) 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Comparison of the three months ended March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40,227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31,995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(16,487)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56,607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86,449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(29,842)</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8,041</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77,149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112,840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(35,691)</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(8,447)</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(776)</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32,990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10,129</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114,507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r>
      <w:tr>
        <w:trPr>
          <w:trHeight w:val="236"/>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8,855</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(30,218)</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183"/>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continued operations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(30,485)</w:t>
            </w:r>
          </w:p>
        </w:tc>
      </w:tr>
      <w:tr>
        <w:trPr>
          <w:trHeight w:val="189"/>
        </w:trPr>
        <w:tc>
          <w:tcPr>
            <w:tcW w:w="7860" w:type="dxa"/>
            <w:vAlign w:val="bottom"/>
          </w:tcPr>
          <w:p>
            <w:pPr>
              <w:ind w:left="140"/>
              <w:spacing w:after="0"/>
              <w:rPr>
                <w:sz w:val="20"/>
                <w:szCs w:val="20"/>
                <w:color w:val="auto"/>
              </w:rPr>
            </w:pPr>
            <w:r>
              <w:rPr>
                <w:rFonts w:ascii="Arial" w:cs="Arial" w:eastAsia="Arial" w:hAnsi="Arial"/>
                <w:sz w:val="14"/>
                <w:szCs w:val="14"/>
                <w:color w:val="auto"/>
              </w:rPr>
              <w:t>Net income from discontinued operations, net of income taxes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(1,331)</w:t>
            </w:r>
          </w:p>
        </w:tc>
      </w:tr>
      <w:tr>
        <w:trPr>
          <w:trHeight w:val="182"/>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(31,816)</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(34,540)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from continuing operations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(30,346)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(8,145)</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52,643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10,129</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(1,109)</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47,154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71,995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(24,841)</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7"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2021 and 2020: (i) depreciation and amortization expense of $44,535 and $42,197, (ii) lease intangible amortization of $752 and $1,132 and (iii) amortization for lease incentives of $7,356 and $5,735, respectively.</w:t>
      </w:r>
    </w:p>
    <w:p>
      <w:pPr>
        <w:spacing w:after="0" w:line="99" w:lineRule="exact"/>
        <w:rPr>
          <w:rFonts w:ascii="Arial" w:cs="Arial" w:eastAsia="Arial" w:hAnsi="Arial"/>
          <w:sz w:val="18"/>
          <w:szCs w:val="18"/>
          <w:color w:val="auto"/>
          <w:vertAlign w:val="superscript"/>
        </w:rPr>
      </w:pPr>
    </w:p>
    <w:p>
      <w:pPr>
        <w:jc w:val="both"/>
        <w:ind w:left="180" w:hanging="172"/>
        <w:spacing w:after="0" w:line="225"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2021 and 2020: (i) net income of $1,180 and $223, (ii) interest expense of $187 and $35, (iii) depreciation and amortization expense of $1,912 and $962, (iv) acquisition and transaction expenses of $0 and $81 and (v) changes in fair value of non-hedge derivatives of $(877) and $(1,714), respectively.</w:t>
      </w:r>
    </w:p>
    <w:p>
      <w:pPr>
        <w:spacing w:after="0" w:line="98" w:lineRule="exact"/>
        <w:rPr>
          <w:rFonts w:ascii="Arial" w:cs="Arial" w:eastAsia="Arial" w:hAnsi="Arial"/>
          <w:sz w:val="18"/>
          <w:szCs w:val="18"/>
          <w:color w:val="auto"/>
          <w:vertAlign w:val="superscript"/>
        </w:rPr>
      </w:pPr>
    </w:p>
    <w:p>
      <w:pPr>
        <w:jc w:val="both"/>
        <w:ind w:left="180" w:hanging="172"/>
        <w:spacing w:after="0" w:line="220" w:lineRule="auto"/>
        <w:tabs>
          <w:tab w:leader="none" w:pos="17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2021 and 2020: (i) equity-based compensation of $198 and $47, (ii) provision for income taxes of $13 and $28, (iii) interest expense of $281 and $720, (iv) depreciation and amortization expense of $1,811 and $1,524, (v) changes in fair value of non-hedge derivative instruments of $(274) and $38 and (vi) loss on extinguishment of debt of $0 and $993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decreased $35.7 million primarily due to lower revenues of $26.9 million in the Aviation Leasing segment and $14.0 million in the Jefferson Terminal segment, partially offset by higher revenues of $7.8 million in the Ports and Terminals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Lease income decreased $9.6 million, primarily due to an increase in aircraft redelivered and a decrease in the number of engines on lease and an increase in the number of customers placed on non-accrual status, partially offset by an increase in the number of aircraft placed on lease.</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Maintenance revenue decreased $16.5 million, primarily due to the reasons mentioned above and lower aircraft and engine utilization as a result of the COVID-19 pandemic.</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$3.7 million, primarily due to the settlement of an engine loss during the three months ended March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Crude marketing revenues decreased $8.2 million due to Jefferson Terminal exiting the crude marketing strategy in the fourth quarter of 2019.</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Terminal services revenues decreased $6.0 million which primarily reflects lower volumes at Jefferson Terminal due to lower global oil demand related to COVID-19.</w:t>
      </w:r>
    </w:p>
    <w:p>
      <w:pPr>
        <w:spacing w:after="0" w:line="8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Other revenue increased $8.0 million, primarily due to an unrealized gain of $7.9 million recorded on butane forward purchase and sale contracts at Repauno.</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$3.4 million, primarily due to higher (i) interest expense, (ii) depreciation and amortization and (iii) asset impairment charges, partially offset by lower (iv) operating expenses, (v) acquisition and transaction expense and (vi) management fees and incentive allocation to affiliate.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Interest expense increased $10.1 million, primarily due to:</w:t>
      </w:r>
    </w:p>
    <w:p>
      <w:pPr>
        <w:spacing w:after="0" w:line="113" w:lineRule="exact"/>
        <w:rPr>
          <w:sz w:val="20"/>
          <w:szCs w:val="20"/>
          <w:color w:val="auto"/>
        </w:rPr>
      </w:pPr>
    </w:p>
    <w:p>
      <w:pPr>
        <w:jc w:val="both"/>
        <w:ind w:left="660" w:hanging="328"/>
        <w:spacing w:after="0" w:line="251"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$12.5 million in Corporate and Other which reflects an increase in the average outstanding debt of approximately $521.5 million due to increases in (i) the Senior Notes due 2025 of $407.5 million, (ii) the Senior Notes due 2027 of $400.0 million, (iii) the Revolving Credit Facility (as defined below in Liquidity and Capital Resources) of $36.7 million, partially offset by decreases in (iv) the Senior Notes due 2022 of $296.5 million and (v) the FTAI Pride Credit Agreement of $24.0 million, which was repaid in full in March 2020; and</w:t>
      </w:r>
    </w:p>
    <w:p>
      <w:pPr>
        <w:spacing w:after="0" w:line="94" w:lineRule="exact"/>
        <w:rPr>
          <w:rFonts w:ascii="Arial" w:cs="Arial" w:eastAsia="Arial" w:hAnsi="Arial"/>
          <w:sz w:val="16"/>
          <w:szCs w:val="16"/>
          <w:color w:val="auto"/>
        </w:rPr>
      </w:pPr>
    </w:p>
    <w:p>
      <w:pPr>
        <w:ind w:right="660" w:firstLine="332"/>
        <w:spacing w:after="0" w:line="387" w:lineRule="auto"/>
        <w:tabs>
          <w:tab w:leader="none" w:pos="6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of $2.2 million at Jefferson Terminal due a debt refinancing in the first quarter of 2020 which lowered their average interest rate. Depreciation and amortization increased $2.3 million primarily due to assets placed into service at Repauno and Jefferson Terminal.</w:t>
      </w:r>
    </w:p>
    <w:p>
      <w:pPr>
        <w:spacing w:after="0"/>
        <w:rPr>
          <w:rFonts w:ascii="Arial" w:cs="Arial" w:eastAsia="Arial" w:hAnsi="Arial"/>
          <w:sz w:val="16"/>
          <w:szCs w:val="16"/>
          <w:color w:val="auto"/>
        </w:rPr>
      </w:pPr>
      <w:r>
        <w:rPr>
          <w:rFonts w:ascii="Arial" w:cs="Arial" w:eastAsia="Arial" w:hAnsi="Arial"/>
          <w:sz w:val="16"/>
          <w:szCs w:val="16"/>
          <w:color w:val="auto"/>
        </w:rPr>
        <w:t>Asset impairment increased $2.1 million due to an impairment charge in 2021 in the Aviation Leasing segment.</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expenses decreased $8.4 million which primarily reflects decreases in (i) cost of sales of $8.4 million primarily due to Jefferson Terminal exiting the crude marketing strategy in the fourth quarter of 2019 and (ii) facility operations of $1.6 million primarily due to lower volumes at Jefferson Terminal.</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Acquisition and transaction expense decreased $1.6 million which primarily reflects lower compensation and related costs associated with the acquisition of aviation leasing equipment.</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$0.8 million, which reflects a decrease in the base management fee as our average total equity is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$8.9 million during the three months ended March 31, 2021, which primarily reflects (i) a loss on extinguishment of debt of $4.7 million in 2020 and (ii) an increase of $2.6 million in gain on sale of assets, net in the Aviation Leasing segment.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income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decreased $30.5 million during the three months ended March 31, 2021,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$24.8 million during the three months ended March 31, 2021,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in our Aviation Leasing segment, we own and manage 279 aviation assets, consisting of 80 commercial aircraft and 199 engines.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March 31, 2021, 67 of our commercial aircraft and 114 of our engines were leased to operators or other third parties. Aviation assets currently off lease are either undergoing repair and/or maintenance, being prepared to go on lease or held in short term storage awaiting a future lease. Our aviation equipment was approximately 73% utilized during the three months ended March 31, 2021, based on the percent of days on-lease in the quarter weighted by the monthly average equity value of our aviation leasing equipment, excluding airframes. Our aircraft currently have a weighted average remaining lease term of 38 months, and our engines currently on-lease have an average remaining lease term of 20 months. The table below provides additional information on the assets in our Aviation Leasing segment: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89"/>
        </w:trPr>
        <w:tc>
          <w:tcPr>
            <w:tcW w:w="4500" w:type="dxa"/>
            <w:vAlign w:val="bottom"/>
            <w:gridSpan w:val="3"/>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68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4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170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16"/>
                <w:szCs w:val="16"/>
                <w:color w:val="auto"/>
              </w:rPr>
            </w:pPr>
          </w:p>
        </w:tc>
        <w:tc>
          <w:tcPr>
            <w:tcW w:w="100" w:type="dxa"/>
            <w:vAlign w:val="bottom"/>
            <w:shd w:val="clear" w:color="auto" w:fill="00497F"/>
          </w:tcPr>
          <w:p>
            <w:pPr>
              <w:spacing w:after="0"/>
              <w:rPr>
                <w:sz w:val="16"/>
                <w:szCs w:val="16"/>
                <w:color w:val="auto"/>
              </w:rPr>
            </w:pPr>
          </w:p>
        </w:tc>
        <w:tc>
          <w:tcPr>
            <w:tcW w:w="2160" w:type="dxa"/>
            <w:vAlign w:val="bottom"/>
            <w:shd w:val="clear" w:color="auto" w:fill="00497F"/>
          </w:tcPr>
          <w:p>
            <w:pPr>
              <w:jc w:val="right"/>
              <w:ind w:right="8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89"/>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200"/>
              <w:spacing w:after="0"/>
              <w:rPr>
                <w:sz w:val="20"/>
                <w:szCs w:val="20"/>
                <w:color w:val="auto"/>
              </w:rPr>
            </w:pPr>
            <w:r>
              <w:rPr>
                <w:rFonts w:ascii="Arial" w:cs="Arial" w:eastAsia="Arial" w:hAnsi="Arial"/>
                <w:sz w:val="14"/>
                <w:szCs w:val="14"/>
                <w:color w:val="auto"/>
              </w:rPr>
              <w:t>Purchases</w:t>
            </w:r>
          </w:p>
        </w:tc>
        <w:tc>
          <w:tcPr>
            <w:tcW w:w="1680" w:type="dxa"/>
            <w:vAlign w:val="bottom"/>
          </w:tcPr>
          <w:p>
            <w:pPr>
              <w:spacing w:after="0"/>
              <w:rPr>
                <w:sz w:val="16"/>
                <w:szCs w:val="16"/>
                <w:color w:val="auto"/>
              </w:rPr>
            </w:pPr>
          </w:p>
        </w:tc>
        <w:tc>
          <w:tcPr>
            <w:tcW w:w="228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168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200"/>
              <w:spacing w:after="0"/>
              <w:rPr>
                <w:sz w:val="20"/>
                <w:szCs w:val="20"/>
                <w:color w:val="auto"/>
              </w:rPr>
            </w:pPr>
            <w:r>
              <w:rPr>
                <w:rFonts w:ascii="Arial" w:cs="Arial" w:eastAsia="Arial" w:hAnsi="Arial"/>
                <w:sz w:val="14"/>
                <w:szCs w:val="14"/>
                <w:color w:val="auto"/>
              </w:rPr>
              <w:t>Transfers</w:t>
            </w:r>
          </w:p>
        </w:tc>
        <w:tc>
          <w:tcPr>
            <w:tcW w:w="1680" w:type="dxa"/>
            <w:vAlign w:val="bottom"/>
          </w:tcPr>
          <w:p>
            <w:pPr>
              <w:spacing w:after="0"/>
              <w:rPr>
                <w:sz w:val="16"/>
                <w:szCs w:val="16"/>
                <w:color w:val="auto"/>
              </w:rPr>
            </w:pPr>
          </w:p>
        </w:tc>
        <w:tc>
          <w:tcPr>
            <w:tcW w:w="228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4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 at March 31, 2021</w:t>
            </w:r>
          </w:p>
        </w:tc>
        <w:tc>
          <w:tcPr>
            <w:tcW w:w="16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162"/>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960" w:type="dxa"/>
            <w:vAlign w:val="bottom"/>
            <w:tcBorders>
              <w:left w:val="single" w:sz="8" w:color="auto"/>
            </w:tcBorders>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r>
        <w:trPr>
          <w:trHeight w:val="189"/>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January 1, 2021</w:t>
            </w: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Purchases</w:t>
            </w:r>
          </w:p>
        </w:tc>
        <w:tc>
          <w:tcPr>
            <w:tcW w:w="16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20" w:type="dxa"/>
            <w:vAlign w:val="bottom"/>
          </w:tcPr>
          <w:p>
            <w:pPr>
              <w:spacing w:after="0"/>
              <w:rPr>
                <w:sz w:val="16"/>
                <w:szCs w:val="16"/>
                <w:color w:val="auto"/>
              </w:rPr>
            </w:pPr>
          </w:p>
        </w:tc>
        <w:tc>
          <w:tcPr>
            <w:tcW w:w="4480" w:type="dxa"/>
            <w:vAlign w:val="bottom"/>
            <w:gridSpan w:val="2"/>
          </w:tcPr>
          <w:p>
            <w:pPr>
              <w:ind w:left="200"/>
              <w:spacing w:after="0"/>
              <w:rPr>
                <w:sz w:val="20"/>
                <w:szCs w:val="20"/>
                <w:color w:val="auto"/>
              </w:rPr>
            </w:pPr>
            <w:r>
              <w:rPr>
                <w:rFonts w:ascii="Arial" w:cs="Arial" w:eastAsia="Arial" w:hAnsi="Arial"/>
                <w:sz w:val="14"/>
                <w:szCs w:val="14"/>
                <w:color w:val="auto"/>
              </w:rPr>
              <w:t>Sales</w:t>
            </w:r>
          </w:p>
        </w:tc>
        <w:tc>
          <w:tcPr>
            <w:tcW w:w="1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Transfers</w:t>
            </w:r>
          </w:p>
        </w:tc>
        <w:tc>
          <w:tcPr>
            <w:tcW w:w="168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at March 31, 2021</w:t>
            </w:r>
          </w:p>
        </w:tc>
        <w:tc>
          <w:tcPr>
            <w:tcW w:w="16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5"/>
                <w:szCs w:val="15"/>
                <w:color w:val="auto"/>
              </w:rPr>
            </w:pPr>
          </w:p>
        </w:tc>
        <w:tc>
          <w:tcPr>
            <w:tcW w:w="17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5"/>
                <w:szCs w:val="15"/>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31,995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(16,487)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(3,226)</w:t>
            </w:r>
          </w:p>
        </w:tc>
      </w:tr>
      <w:tr>
        <w:trPr>
          <w:trHeight w:val="18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56,101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(26,891)</w:t>
            </w: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32,563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40,109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39,426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w:t>
            </w:r>
          </w:p>
        </w:tc>
      </w:tr>
      <w:tr>
        <w:trPr>
          <w:trHeight w:val="236"/>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Gain (loss) on sale of assets, net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(24,438)</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(24,351)</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60,729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83,390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(22,661)</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hanging="172"/>
        <w:spacing w:after="0" w:line="217"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2021 and 2020: (i) depreciation expense of $32,563 and $32,631, (ii) lease intangible amortization of $752 and $1,132 and (iii) amortization for lease incentives of $7,356 and $5,735, respectively.</w:t>
      </w:r>
    </w:p>
    <w:p>
      <w:pPr>
        <w:spacing w:after="0" w:line="99" w:lineRule="exact"/>
        <w:rPr>
          <w:rFonts w:ascii="Arial" w:cs="Arial" w:eastAsia="Arial" w:hAnsi="Arial"/>
          <w:sz w:val="18"/>
          <w:szCs w:val="18"/>
          <w:color w:val="auto"/>
          <w:vertAlign w:val="superscript"/>
        </w:rPr>
      </w:pPr>
    </w:p>
    <w:p>
      <w:pPr>
        <w:ind w:left="180" w:hanging="172"/>
        <w:spacing w:after="0" w:line="211" w:lineRule="auto"/>
        <w:tabs>
          <w:tab w:leader="none" w:pos="17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2021 and 2020: (i) net loss of $(340) and $(591) and (ii) depreciation and amortization of $32 and $0,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$26.9 million driven by lower lease income and maintenance revenue.</w:t>
      </w:r>
    </w:p>
    <w:p>
      <w:pPr>
        <w:spacing w:after="0" w:line="113" w:lineRule="exact"/>
        <w:rPr>
          <w:sz w:val="20"/>
          <w:szCs w:val="20"/>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Lease income decreased $7.2 million primarily due to an increase in aircraft redelivered and a decrease in the number of engines on lease and an increase in the number of customers placed on non-accrual status, partially offset by an increase in the number of aircraft placed on lease.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Maintenance revenue decreased $16.5 million primarily due to the reasons mentioned above and lower aircraft and engine utilization as a result of the COVID-19 pandemic.</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revenue decreased $3.2 million primarily due to the settlement of an engine loss during the three months ended March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expenses increased $0.7 million, primarily due to an increase in asset impairment and operating expenses, partially offset by a decrease in acquisition and transaction expenses.</w:t>
      </w:r>
    </w:p>
    <w:p>
      <w:pPr>
        <w:spacing w:after="0" w:line="87" w:lineRule="exact"/>
        <w:rPr>
          <w:sz w:val="20"/>
          <w:szCs w:val="20"/>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Asset impairment increased $2.1 million for the adjustment of the carrying value of leasing equipment to fair value, net of redelivery compensation. See Note 4 to the consolidated financial statements for additional information.</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expenses increased $0.2 million primarily as a result of an increase in shipping and storage fees, professional fees and other operating expenses, partially offset by a decrease in bad debt expense.</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Acquisition and transaction expense decreased $1.5 million driven by lower compensation and related costs associated with the acquisition of aviation leasing equipment.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$3.1 million primarily due to an increase of $2.6 million in gain on the sale of leasing equipment in 2021, an increase of $0.3 million in interest income and a decrease of $0.3 million in Aviation Leasing’s proportionate share of the unconsolidated entities’ net loss.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$22.7 million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Crude marketing revenues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(8,210)</w:t>
            </w: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10,719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(14,022)</w:t>
            </w:r>
          </w:p>
        </w:tc>
      </w:tr>
      <w:tr>
        <w:trPr>
          <w:trHeight w:val="236"/>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11,721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(10,222)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(11,955)</w:t>
            </w: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4,850</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(9,742)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2,783</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(5,016)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(4,783)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(2,225)</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0" w:lineRule="auto"/>
        <w:tabs>
          <w:tab w:leader="none" w:pos="176"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2021 and 2020: (i) equity-based compensation of $189 and $45, (ii) provision for income taxes of $13 and $28, (iii) interest expense of $271 and $720, (iv) changes in fair value of non-hedge derivative instruments of $0 and $38, (v) depreciation and amortization expense of $1,735 and $1,517 and (vi) loss on extinguishment of debt of $0 and $993,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$14.0 million primarily due to decreases in (i) crude marketing revenues of $8.2 million due to Jefferson Terminal exiting the crude marketing strategy in the fourth quarter of 2019 and (ii) terminal services revenue of $6.1 million which primarily reflects lower volumes due to lower global oil demand related to COVID-19.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decreased $12.0 million which reflects:</w:t>
      </w:r>
    </w:p>
    <w:p>
      <w:pPr>
        <w:spacing w:after="0" w:line="113" w:lineRule="exact"/>
        <w:rPr>
          <w:sz w:val="20"/>
          <w:szCs w:val="20"/>
          <w:color w:val="auto"/>
        </w:rPr>
      </w:pPr>
    </w:p>
    <w:p>
      <w:pPr>
        <w:ind w:left="660" w:right="2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in operating expenses of $10.2 million, primarily due to (i) Jefferson Terminal exiting the crude marketing strategy in the fourth quarter of 2019 and (ii) a decrease in facility operations expense due to lower volumes;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in interest expense of $2.2 million due to a debt refinancing in the first quarter of 2020 which lowered the average interest rate;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depreciation and amortization of $0.5 million due to additional assets being placed into service.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increased $4.9 million which primarily reflects a loss on extinguishment of debt of $4.7 million in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$1.7 million primarily due to the changes noted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7,650</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8,096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7,782</w:t>
            </w:r>
          </w:p>
        </w:tc>
      </w:tr>
      <w:tr>
        <w:trPr>
          <w:trHeight w:val="237"/>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w:t>
            </w:r>
          </w:p>
        </w:tc>
      </w:tr>
      <w:tr>
        <w:trPr>
          <w:trHeight w:val="236"/>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earnings of unconsolidated entities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6,377</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5,942</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 in consolidated 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5,812</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5,812</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(7,964)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jc w:val="both"/>
        <w:ind w:left="180" w:hanging="172"/>
        <w:spacing w:after="0" w:line="220" w:lineRule="auto"/>
        <w:tabs>
          <w:tab w:leader="none" w:pos="17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2021 and 2020: (i) net income of $1,542 and $894, (ii) interest expense of $160 and $5, (iii) depreciation and amortization expense of $1,880 and $962, (iv) acquisition and transaction expenses of $0 and $81 and (v) changes in fair value of non-hedge derivative instruments of $(877) and $(1,714), respectively.</w:t>
      </w:r>
    </w:p>
    <w:p>
      <w:pPr>
        <w:spacing w:after="0" w:line="98" w:lineRule="exact"/>
        <w:rPr>
          <w:rFonts w:ascii="Arial" w:cs="Arial" w:eastAsia="Arial" w:hAnsi="Arial"/>
          <w:sz w:val="19"/>
          <w:szCs w:val="19"/>
          <w:color w:val="auto"/>
          <w:vertAlign w:val="superscript"/>
        </w:rPr>
      </w:pPr>
    </w:p>
    <w:p>
      <w:pPr>
        <w:ind w:left="180" w:right="20" w:hanging="172"/>
        <w:spacing w:after="0" w:line="211" w:lineRule="auto"/>
        <w:tabs>
          <w:tab w:leader="none" w:pos="18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three months ended March 31, 2021 and 2020: (i) equity-based compensation of $9 and $2, (ii) interest expense of $10 and $0, (iii) depreciation and amortization expense of $76 and $7 and (iv) changes in fair value of non-hedge derivative instruments of $(274) and $0,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$7.8 million primarily due to an unrealized gain of $7.9 million recorded on butane forward purchase and sale contracts at Repauno.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$2.0 million which reflects higher (i) depreciation and amortization of $1.8 million at Repauno due to additional assets placed into service and (ii) operating expenses of $1.1 million, primarily due to higher compensation and related costs at Repauno, partially offset by lower (iii) acquisition and transaction expense of $0.8 million at Long Ridge due to lower professional fees.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increased $0.6 million due to an increase in equity in earnings at Long Ridge.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$1.4 million primarily due to the changes noted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18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37"/>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31,508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12,468</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48,164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12,613</w:t>
            </w:r>
          </w:p>
        </w:tc>
      </w:tr>
      <w:tr>
        <w:trPr>
          <w:trHeight w:val="236"/>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(45,741)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(30,801)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(14,940)</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(45,741)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(30,804)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(14,937)</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0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(15,023)</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759</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31,508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12,468</w:t>
            </w: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(16,535)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(14,648)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(1,887)</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4"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three months ended March 31, 2021 and 2020: (i) net loss of $(22) and $(80) and (ii) interest expense of $27 and $30, respectively.</w:t>
      </w:r>
    </w:p>
    <w:p>
      <w:pPr>
        <w:spacing w:after="0" w:line="74"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decreased $3.0 million in the offshore energy business as one of our vessels was off-hire in 2021 while it was on-hire in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$0.4 million due to higher volumes in our railcar cleaning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$12.6 million primarily due to higher (i) interest expense and (ii) acquisition and transaction expense, partially offset by lower (iii) management fees and incentive allocation to affiliate.</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Interest expense increased $12.5 million, which reflects an increase in the average outstanding debt of approximately $521.5 million due to increases in (i) the Senior Notes due 2025 of $407.5 million, (ii) the Senior Notes due 2027 of $400.0 million, (iii) the Revolving Credit Facility of $36.7 million, partially offset by decreases in (iv) the Senior Notes due 2022 of $296.5 million and (v) the FTAI Pride Credit Agreement of $24.0 million, which was repaid in full in March 2020.</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 increased $0.8 million, primarily due to higher professional fees.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fees and incentive allocation to affiliate decreased $0.8 million, which reflects a decrease in the base management fee as our average total equity is lower in 2021 compared to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$1.9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12, 2021, we issued $500 million aggregate principal amount of senior unsecured notes due 2028 (see Note 20 to the consolidated financial statements). On May 7, 2021, we intend to use a portion of the net proceeds to redeem in full the Senior Notes due 2022, which total $400 million aggregate principal plus accrued and unpaid interest.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16, 2017, we entered in a revolving credit facility (the “Revolving Credit Facility”). During April 2021, we repaid a net $100 million of outstanding borrowings under the Revolving Credit Facility. Following the repayment, we have additional borrowing capacity of $200 million under the Revolving Credit Facility.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93"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$165.0 million and $122.4 million during the three months ended March 31, 2021 and 2020,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$33.0 million and $32.9 million during the three months ended March 31, 2021 and 2020,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flows (used in) provided from operating activities, plus the principal collections on finance leases and maintenance reserve collections were $(39.8) million and $2.1 million during the three months ended March 31, 2021 and 2020, respectively.</w:t>
      </w:r>
    </w:p>
    <w:p>
      <w:pPr>
        <w:spacing w:after="0" w:line="87"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three months ended March 31, 2021, additional borrowings were obtained in connection with the (i) Revolving Credit Facility of $150.0 million and (ii) EB-5 Loan Agreement of $21.6 million. During the three months ended March 31, 2020, additional borrowings were obtained in connection with the (i) Series 2020 Bonds of $264.0 million and (ii) Revolving Credit Facility of $40.0 million. We made total principal repayments of $276.0 million relating to the Series 2016 Bonds, Series 2012 Bonds, Jefferson Revolver and FTAI Pride Credit Agreement.</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Proceeds from the sale of assets were $4.6 million and $28.6 million during the three months ended March 31, 2021 and 2020, respectively.</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$101.2 million during the three months ended March 31, 2021.</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transactions or negotiations are definitive or included within our planned liquidity needs. We cannot assure if or when any such transaction will be consummated or the terms of any such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(48,932)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(11,806)</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(154,418)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(91,125)</w:t>
            </w:r>
          </w:p>
        </w:tc>
      </w:tr>
      <w:tr>
        <w:trPr>
          <w:trHeight w:val="191"/>
        </w:trPr>
        <w:tc>
          <w:tcPr>
            <w:tcW w:w="798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235,408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(16,198)</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increased $37.1 million, which reflects an increase in our net loss of $31.8 million primarily due to lower total revenues.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investing activities increased $63.3 million, primarily due to (i) an increase in acquisitions of leasing equipment of $57.2 million and (ii) lower proceeds from the sale of leasing equipment of $24.0 million, partially offset by (iii) a decrease in acquisitions of property, plant and equipment of $21.1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16"/>
          <w:szCs w:val="16"/>
          <w:color w:val="auto"/>
        </w:rPr>
        <w:t>Net cash provided by financing activities increased $251.6 million, primarily due to (i) a decrease in repayments of debt of $276.0 million and (ii) an increase in proceeds from the issuance of preferred shares of $101.4 million, partially offset by (iii) a decrease in proceeds from debt of $132.4 million.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(48,932)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(11,806)</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28,568</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58,370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78,955</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14,407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96,037</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6" w:lineRule="exact"/>
        <w:rPr>
          <w:sz w:val="20"/>
          <w:szCs w:val="20"/>
          <w:color w:val="auto"/>
        </w:rPr>
      </w:pPr>
    </w:p>
    <w:p>
      <w:pPr>
        <w:ind w:left="180" w:right="20" w:hanging="172"/>
        <w:spacing w:after="0" w:line="217" w:lineRule="auto"/>
        <w:tabs>
          <w:tab w:leader="none" w:pos="158"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Required payments on debt obligations for the three months ended March 31, 2020 exclude repayments of $144,200 for the Series 2016 Bonds, $50,262 for the Jefferson Revolver, $45,520 for the Series 2012 Bonds and $36,009 for the FTAI Pride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4" w:lineRule="exact"/>
        <w:rPr>
          <w:sz w:val="20"/>
          <w:szCs w:val="20"/>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of the Consolidated Financial Statements for additional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March 31, 2021, under our various contractual obligations and commitments. We had no off-balance sheet arrangements as of March 31, 2021.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2020 Bonds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263,980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EB-5 Loan Agreement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33"/>
        </w:trPr>
        <w:tc>
          <w:tcPr>
            <w:tcW w:w="2920" w:type="dxa"/>
            <w:vAlign w:val="bottom"/>
          </w:tcPr>
          <w:p>
            <w:pPr>
              <w:ind w:left="20"/>
              <w:spacing w:after="0" w:line="133" w:lineRule="exact"/>
              <w:rPr>
                <w:sz w:val="20"/>
                <w:szCs w:val="20"/>
                <w:color w:val="auto"/>
              </w:rPr>
            </w:pPr>
            <w:r>
              <w:rPr>
                <w:rFonts w:ascii="Arial" w:cs="Arial" w:eastAsia="Arial" w:hAnsi="Arial"/>
                <w:sz w:val="14"/>
                <w:szCs w:val="14"/>
                <w:color w:val="auto"/>
              </w:rPr>
              <w:t>Total principal payments on loans and bonds</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929,060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606,520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2,110,580</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payable</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113,461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107,432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107,432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92,521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168,972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689,815</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Third-party obligations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20,440</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145,874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169,838</w:t>
            </w: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110,853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128,762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115,844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97,373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314,846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880,093</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135,853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678,762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115,844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112,415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1,026,433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921,366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2,990,673</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March 31, 2021.</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Relates to a two-year pipeline capacity agreement at Jefferson Terminal.</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Jefferson Terminal. The carrying amount of goodwill was approximately $122.7 million as of both March 31, 2021 and December 31, 2020.</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quantitative impairment test is performed to identify potential goodwill impairment and measure an impairment loss. A qualitative analysis was not elected for the year ended December 31, 2020.</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Beginning in 2020, we adopted new guidance regarding the testing and recognition of a goodwill impairment which prior to 2020 required two steps. 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of any goodwill recorded in the reporting unit.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estimate the fair value of the reporting units using an income approach, specifically a discounted cash flow analysis. This analysis requires us to make significant assumptions and estimates about the extent and timing of future cash flows (including forecasted revenue growth rates and EBITDA margins), capital expenditures and discount rates. The estimates and assumptions used consider historical performance if indicative of future performance, and are consistent with the assumptions used in determining future profit plans for the reporting units.</w:t>
      </w:r>
    </w:p>
    <w:p>
      <w:pPr>
        <w:spacing w:after="0" w:line="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reporting unit or other key inputs are negatively revised in the future, the estimated fair value of the Jefferson Terminal reporting unit could be adversely impacted, potentially leading to an impairment in the future that could materially affect our operating results. The Jefferson Terminal segment forecasted revenue is dependent on the ramp up of volumes under current and expected future contracts for storage of heavy and light crude and refined products during 2021 and beyond subject to obtaining rail capacity for crude, expansion of refined product distribution to Mexico and movements in future oil spreads. Jefferson Terminal was designed to reach a storage capacity of 21.7 million barrels, and 4.4 million of storage, or approximately 20.3%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Although we do not have significant direct exposure to volatility of crude oil prices, changes in crude oil pricing that effect long term refining planned output could impact Jefferson Terminal operations. Other assumptions utilized in our annual impairment analysis that are significant in determination of the fair value of the reporting unit include the discount rate utilized in our discounted cash flow analysis of 13.5% and our terminal growth rate of 2%.</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both inbound and outbound pipelines projects are becoming fully operational early in 2021 to and from the Jefferson Terminal and will affect our forecasted growth and therefore our estimated fair value. We expect the Jefferson Terminal segment to continue to generate positive Adjusted EBITDA during 2021. Although certain of our anticipated contracts or expected volumes from existing contracts for Jefferson Terminal have been delayed, we continue to believe our projected revenues are achievable. Further delays in executing these contracts or achieving our projections could adversely affect the fair value of the reporting unit. The impact of the COVID-19 global pandemic during 2020 certainly negatively affected refining volumes and therefore Jefferson Terminal crude throughput but we anticipate the impact to normalize over 2021 and ramp back to normal levels by 2022. Furthermore, we anticipate strengthening macroeconomic demand for storage and the increasing spread between Western Canadian Crude and Western Texas Intermediate as Canadian crude pipeline apportionment increases and our pipeline connections become fully operational during 2021, we remain positive for the outlook of Jefferson Terminal’s earnings potential.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year ended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On March 5, 2021, the IBA Benchmark Administration confirmed its intention to cease publication of (i) one week and two month USD LIBOR settings after December 31, 2021 and (ii) the remaining USD LIBOR settings after June 30, 2023. We currently have agreements that are indexed to LIBOR and are monitoring related reform proposals and evaluating the related risks; however, it is not possible to predict the effects of any of these developments, and any future initiatives to regulate, reform or change the manner of administration of LIBOR could result in adverse consequences to the rate of interest payable and receivable on, market value of and market liquidity for LIBOR-based financial instruments.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may elect to manage our exposure to interest rate movements through the use of interest rate derivatives (interest rate swaps and caps).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 In addition, the following discussion does not take into account our Series A preferred shares, on which distributions currently accrue interest at a fixed rate but will accrue interest at a floating rate based on three-month LIBOR plus a spread from and after September 15,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2021, assuming we do not hedge our exposure to interest rate fluctuations related to our outstanding floating rate debt, a hypothetical 100-basis point increase/decrease in our variable interest rate on our borrowings would result in an increase of approximately $1.5 million or a decrease of approximately $0.2 million in interest expense over the next 12 months.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risks related to our common shares and general risks. However, these categories do overlap and should not be considered exclusive.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COVID-19 pandemic has severely disrupted the global economy and may have, and the emergence of similar crises could have, material adverse effects on our business, results of operations or financial condition.</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recent years, the outbreaks of certain highly contagious diseases have increased the risk of a pandemic resulting in economic disruptions. In particular, the ongoing COVID-19 pandemic has led to severe disruptions in the market and the global, U.S. and regional economies that may continue for a prolonged duration and trigger a recession or a period of economic slowdown. In response, various governmental bodies and private enterprises have implemented numerous measures to mitigate the outbreak, such as travel bans and restrictions, quarantines, shelter-in-place orders and shutdowns. The COVID-19 outbreak continues to be dynamic and evolving, including a resurgence of COVID-19 cases in certain geographies, and its ultimate scope, duration, effects and the availability of vaccines remain uncertain.</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that this pandemic, and any future epidemic or pandemic crises, could result in direct and indirect adverse effects on our industry and customers, which in turn may impact our business, results of operations and financial condition. Effects of the current pandemic include, or may include, among others:</w:t>
      </w:r>
    </w:p>
    <w:p>
      <w:pPr>
        <w:spacing w:after="0" w:line="33" w:lineRule="exact"/>
        <w:rPr>
          <w:sz w:val="20"/>
          <w:szCs w:val="20"/>
          <w:color w:val="auto"/>
        </w:rPr>
      </w:pPr>
    </w:p>
    <w:p>
      <w:pPr>
        <w:jc w:val="both"/>
        <w:ind w:left="660" w:hanging="328"/>
        <w:spacing w:after="0" w:line="257"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deterioration of worldwide, regional or national economic conditions and activity, which could further reduce or prolong the recent significant declines in energy prices, or adversely affect global demand for crude oil and petroleum products, demand for our services, and time charter and spot rates;</w:t>
      </w:r>
    </w:p>
    <w:p>
      <w:pPr>
        <w:spacing w:after="0" w:line="226"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disruptions to our operations as a result of the potential health impact, such as the availability and efficacy of vaccines, on our employees and crew, and on the workforces of our customers and business partners;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disruptions to our business from, or additional costs related to, new regulations, directives or practices implemented in response to the pandemic, such as travel restrictions, increased inspection regimes, hygiene measures (such as quarantining and physical distancing) or increased implementation of remote working arrangements;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lack of air travel demand or an inability of airlines to operate to or from certain regions could impact demand for air travel and the financial health of certain airlines, including our lessees;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delays in the loading and discharging of cargo on or from our vessels, and any related off hire due to quarantines, worker health or regulations, which in turn could disrupt our operations and result in a reduction of revenue;</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shortages or a lack of access to required spare parts for our vessels, or potential delays in any repairs to, scheduled or unscheduled maintenance or modifications;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delays in vessel inspections and related certifications by class societies, customers or government agencies;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constraints;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access to capital, including the ability to refinance any existing obligations, as a result of any credit tightening generally or due to continued declines in global financial markets, including to the prices of publicly-traded securities of us, our peers and of listed companies generally;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deterioration in the financial condition and prospects of our customers, joint venture partners or business partners, or attempts by customers or third parties to invoke force majeure contractual clauses as a result of delays or other disruptions.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disruption and effects from the COVID-19 pandemic may be temporary, given the dynamic nature of these circumstances, the duration of any business disruption and the related financial impact to us is uncertain at this time and could materially affect our business, results of operations and financial condition. The ongoing impact of COVID-19 also heightens many of the other risks described in this report, including those relating to our target returns, liquidity and asset values.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16"/>
          <w:szCs w:val="16"/>
          <w:color w:val="auto"/>
        </w:rPr>
        <w:t>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86"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Department of Transportation (DOT), the Occupational Safety and Health Act (OSHA),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derailments, major plant breakdowns, pipeline or electricity line ruptures or other disasters.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foreign currencies, may, if not appropriately hedged by us, have a material adverse effect on us and increase the volatility of our earnings.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4" w:name="page65"/>
    <w:bookmarkEnd w:id="64"/>
    <w:p>
      <w:pPr>
        <w:jc w:val="both"/>
        <w:spacing w:after="0" w:line="248" w:lineRule="auto"/>
        <w:rPr>
          <w:sz w:val="20"/>
          <w:szCs w:val="20"/>
          <w:color w:val="auto"/>
        </w:rPr>
      </w:pPr>
      <w:r>
        <w:rPr>
          <w:rFonts w:ascii="Arial" w:cs="Arial" w:eastAsia="Arial" w:hAnsi="Arial"/>
          <w:sz w:val="16"/>
          <w:szCs w:val="16"/>
          <w:color w:val="auto"/>
        </w:rPr>
        <w:t>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expected discontinuation of the LIBOR benchmark interest rate may have an impact on our business.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As a result, LIBOR may be discontinued after 2021. The FCA and the submitting LIBOR banks have indicated they will support the LIBOR indices through 2021 to allow for an orderly transition to an alternative reference rate. Financial services regulators and industry groups are evaluating the phase-out of LIBOR and the development of alternate reference rate indices or reference rates.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On March 5, 2021, the IBA Benchmark Administration confirmed its intention to cease publication of (i) one week and two month USD LIBOR settings after December 31, 2021 and (ii) the remaining USD LIBOR settings after June 30, 2023.</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 as the transition away from LIBOR is anticipated to be gradual over the coming years.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March 31, 2021, we had $175.0 million of total debt outstanding under facilities with interest rates based on floating-rate indices. We cannot predict what reference rate would be agreed upon or what the impact of any such replacement rate would be to our interest expense. Potential changes to the underlying floating-rate indices and reference rates may have an adverse impact on our agreements indexed to LIBOR and could have a negative impact on our profitability and cash flows.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 cyberattack that bypasses our information technology, or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Aviation, Jefferson, Repauno and Long Ridge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Inc., Florida East Coast Industries, LLC (“FECI”) and FYX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Inc and FYX. Although we have the same Manager, we may compete with entities affiliated with our Manager or Fortress, including Seacastle Inc., FECI and FYX, for certain target assets. From time to time, affiliates of Fortress focus on investments in assets with a similar profile as our target assets that we may seek to acquire. These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16"/>
          <w:szCs w:val="16"/>
          <w:color w:val="auto"/>
        </w:rPr>
        <w:t>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Inc., FECI and FYX,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7" w:name="page68"/>
    <w:bookmarkEnd w:id="67"/>
    <w:p>
      <w:pPr>
        <w:jc w:val="both"/>
        <w:spacing w:after="0" w:line="249" w:lineRule="auto"/>
        <w:rPr>
          <w:sz w:val="20"/>
          <w:szCs w:val="20"/>
          <w:color w:val="auto"/>
        </w:rPr>
      </w:pPr>
      <w:r>
        <w:rPr>
          <w:rFonts w:ascii="Arial" w:cs="Arial" w:eastAsia="Arial" w:hAnsi="Arial"/>
          <w:sz w:val="16"/>
          <w:szCs w:val="16"/>
          <w:color w:val="auto"/>
        </w:rPr>
        <w:t>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Holders of our common shares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Such shareholders may not receive cash dividends equal to their allocable share of our net taxable income or even the tax liability that results from that income.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entities classified as CFCs or PFICs for U.S. federal income tax purposes.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investments are in non-U.S. corporations or are held through non-U.S. subsidiaries that are classified as corporations for U.S. federal income tax purposes. Some of these foreign entities may be classified as controlled foreign corporations (“CFCs”) or passive foreign investment companies (“PFICs”) (each as defined in the Code). Shareholders subject to U.S. federal income tax may experience adverse U.S. federal income tax consequences related to the indirect ownership of CFC or PFIC shares. For example, such shareholders may be required to take into account U.S. taxable income with respect to such CFCs or PFICs without a corresponding receipt of cash from us. In addition, under the CFC rules, certain capital gains are treated as ordinary dividend income and shareholders could be subject to income inclusions in respect of the "global intangible low-taxed income" of the CFC. Treasury regulations have been proposed that, if finalized, will generally have the effect of limiting certain adverse consequences of the CFC rules to shareholders treated for U.S. federal income tax purposes as owning indirectly or constructively (including through other partnerships) stock possessing 10% or more of the voting power or value of such CFCs. Taxpayers are permitted to rely, and we intend to rely, on such proposed regulations.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8" w:name="page69"/>
    <w:bookmarkEnd w:id="68"/>
    <w:p>
      <w:pPr>
        <w:jc w:val="both"/>
        <w:spacing w:after="0" w:line="248" w:lineRule="auto"/>
        <w:rPr>
          <w:sz w:val="20"/>
          <w:szCs w:val="20"/>
          <w:color w:val="auto"/>
        </w:rPr>
      </w:pPr>
      <w:r>
        <w:rPr>
          <w:rFonts w:ascii="Arial" w:cs="Arial" w:eastAsia="Arial" w:hAnsi="Arial"/>
          <w:sz w:val="16"/>
          <w:szCs w:val="16"/>
          <w:color w:val="auto"/>
        </w:rPr>
        <w:t>Under the PFIC rules, indirect ownership of PFIC shares by U.S. persons generally gives rise to materially adverse U.S. federal income tax consequences, which may be mitigated by electing to treat the PFIC as a qualified electing fund (“QEF”). We currently anticipate using commercially reasonable efforts to make such an election (a “QEF Election”) with respect to each PFIC in which we hold a material interest, directly or indirectly, in the first year during which we hold shares in such entity. As a result, U.S. holders of our common shares will generally be subject to tax on a current basis on their respective shares of each such PFIC’s undistributed ordinary earnings and net capital gains for each year in which the entity is a PFIC, regardless of whether such holders receive a corresponding distribution of cash from us. In certain cases, however, we may be unable to make a QEF Election with respect to a PFIC because, for example, we are unable to obtain the necessary information. In such event, U.S. holders of our common shares will be subject to imputed interest charges and other disadvantageous tax treatment with respect to certain “excess distributions” from the PFIC and gain realized upon the direct or indirect sale of the PFIC (including through the sale our common shares).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regarding the potential impact of the rules regarding CFCs and PFICs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tax consequences of the ownership of our preferred shares, including treatment of distributions as guaranteed payments for the use of capital, are uncertain.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tax treatment of distributions on our preferred shares is uncertain. We intend to treat the holders of our preferred shares as partners for tax purposes and we intend to treat distributions on the shares as guaranteed payments for the use of capital that will generally be taxable to the holders of our preferred shares as ordinary income. Although a holder of our preferred shares will recognize taxable income from the accrual of such a guaranteed payment (even in the absence of a contemporaneous cash distribution), we anticipate accruing and making the guaranteed payment distributions quarterly. Except in the case of any loss recognized in connection with our liquidation, holders of our preferred shares are generally not anticipated to share in our items of income, gain, loss or deduction, nor are they anticipated to be allocated any share of our nonrecourse liabilities. If our preferred shares were treated as indebtedness for tax purposes, rather than as guaranteed payments for the use of capital, distributions likely would be treated as payments of interest by us to the holders of our preferred shares. Finally, if holders of our preferred shares were entitled to an allocation of income from FTAI, the risk factors applicable to holders of common shares would generally apply.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Tax Cuts and Jobs Act (the “TCJA”), which is generally effective for taxable years beginning after December 31, 2017, amended the Code in a manner that significantly changed the taxation of individuals and business entities, including with respect to the taxation of offshore earnings and the deductibility of interest. In some cases, there is still uncertainty around the scope and application of the TCJA that may be addressed in future guidance issued by the U.S. Department of Treasury and the IRS. Some of the changes could adversely affect our business and financial condition and the value of our shares. The Coronavirus Aid, Relief, and Economic Security Act (the “CARES Act”), which was enacted on March 27, 2020, temporarily modifies some provisions of the TCJA.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shares.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not U.S. persons could be subject to U.S. federal income tax, including a 10% withholding tax, on the disposition of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engaged in a U.S. trade or business (directly or indirectly through pass-through subsidiaries), we are not required to manage our operations in a manner that is intended to avoid the conduct of a U.S. trade or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believe that our return from investments will include interest, dividends, capital gains and other types of qualifying income, but no assurance can be given as to the types of income that will be earned in any given year.</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(directly or indirectly through pass-through subsidiaries),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holding our common shares generally would be required to file U.S. federal income tax returns and would be subject to U.S. federal withholding tax on their allocable share of the effectively connected income on gain at the highest marginal U.S. federal income tax rates applicable to ordinary income. Likewise, non-U.S. persons holding our preferred shares, by virtue of receiving guaranteed payments, may be required to file U.S. federal income tax returns and may be subject to U.S. federal withholding tax on their guaranteed payments, irrespective of our operations or investments. In both cases, non-U.S. persons that are corporations may also be subject to a branch profits tax on their allocable share of such income. Non-U.S. persons should anticipate being required to file U.S. tax returns and may be required to pay U.S. tax solely on account of owning our shares. Non-U.S. shareholders are urged to consult their tax advisors regarding the tax consequences of an investment in our shares.</w:t>
      </w: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any class of our shares (or held, or were deemed to hold, more than 5% of any class of our shares) may be subject to U.S. federal income tax upon the disposition of some or all their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any class of our shares at any time during the 5-year period preceding such non-U.S. person’s disposition of such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such shares (and may have a U.S. tax return filing obligation).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shares.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In addition, the treatment of guaranteed payments for the use of capital to tax-exempt investors is not certain, and so distributions on our preferred shares may be treated as UBTI for federal income tax purposes, irrespective of our operations or the structure of our investments. The potential for income to be characterized as UBTI could make our shares an unsuitable investment for a tax-exempt entity. Tax-exempt shareholders are urged to consult their tax advisors regarding the tax consequences of an investment in our shares.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shares could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jc w:val="both"/>
        <w:ind w:right="20"/>
        <w:spacing w:after="0" w:line="260" w:lineRule="auto"/>
        <w:rPr>
          <w:sz w:val="20"/>
          <w:szCs w:val="20"/>
          <w:color w:val="auto"/>
        </w:rPr>
      </w:pPr>
      <w:r>
        <w:rPr>
          <w:rFonts w:ascii="Arial" w:cs="Arial" w:eastAsia="Arial" w:hAnsi="Arial"/>
          <w:sz w:val="16"/>
          <w:szCs w:val="16"/>
          <w:color w:val="auto"/>
        </w:rPr>
        <w:t>cause an ownership change in one or more of our corporate subsidiaries. Sales of our shares by our shareholders, as well as future issuances of our shares, could contribute to a potential ownership change in our corporate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16"/>
          <w:szCs w:val="16"/>
          <w:color w:val="auto"/>
        </w:rPr>
        <w:t>shareholder has in its common shares and would offset any gain (or increase the amount of loss) realized by such shareholder on a subsequent disposition of its common 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Rules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It is possible that certain shareholders or we may be liable for taxes attributable to adjustments to our taxable income with respect to tax years that closed before such shareholders owned our shares. Accordingly, these rules may adversely affect certain shareholders in certain cases. This differs from the rules that apply for taxable years beginning before January 1, 2018, which generally provide that tax adjustments only affect the persons who were shareholders in the tax year in which the item was reported on our tax return. The manner in which these rules apply is uncertain and in many respects depends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price and trading volume of our common and preferred shares may be volatile, which could result in rapid and substantial losses for our shareholders.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market price of our common and preferred shares may be highly volatile and could be subject to wide fluctuations. In addition, the trading volume in our common and preferred shares may fluctuate and cause significant price variations to occur. If the market price of our common or preferred shares declines significantly, you may be unable to resell your shares at or above your purchase price, if at all. The market price of our common and preferred shares may fluctuate or decline significantly in the future. Some of the factors that could negatively affect our share price or result in fluctuations in the price or trading volume of our shares include:</w:t>
      </w:r>
    </w:p>
    <w:p>
      <w:pPr>
        <w:spacing w:after="0" w:line="95"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we we declare distributions on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and preferred shares.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Reports on Form 10-K starting with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Since 2015, we granted our Manager an option to acquire 2,574,624 common shares in connection with equity offerings.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March 31, 2021, rights relating to 2,599,624 of our common shares were outstanding under the Incentive Plan.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4" w:name="page75"/>
    <w:bookmarkEnd w:id="74"/>
    <w:p>
      <w:pPr>
        <w:jc w:val="both"/>
        <w:spacing w:after="0" w:line="248" w:lineRule="auto"/>
        <w:rPr>
          <w:sz w:val="20"/>
          <w:szCs w:val="20"/>
          <w:color w:val="auto"/>
        </w:rPr>
      </w:pPr>
      <w:r>
        <w:rPr>
          <w:rFonts w:ascii="Arial" w:cs="Arial" w:eastAsia="Arial" w:hAnsi="Arial"/>
          <w:sz w:val="16"/>
          <w:szCs w:val="16"/>
          <w:color w:val="auto"/>
        </w:rPr>
        <w:t>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 Furthermore, the terms of our Series A preferred shares generally prevent us from declaring or paying dividends on or repurchasing our common shares or other junior capital unless all accrued distributions on such preferred shares have been paid in full.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6. Exhibits</w:t>
      </w:r>
    </w:p>
    <w:p>
      <w:pPr>
        <w:spacing w:after="0" w:line="167" w:lineRule="exact"/>
        <w:rPr>
          <w:sz w:val="20"/>
          <w:szCs w:val="20"/>
          <w:color w:val="auto"/>
        </w:rPr>
      </w:pPr>
    </w:p>
    <w:p>
      <w:pPr>
        <w:ind w:left="64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7071995"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71995" cy="300355"/>
                    </a:xfrm>
                    <a:prstGeom prst="rect">
                      <a:avLst/>
                    </a:prstGeom>
                    <a:noFill/>
                  </pic:spPr>
                </pic:pic>
              </a:graphicData>
            </a:graphic>
          </wp:anchor>
        </w:drawing>
      </w:r>
    </w:p>
    <w:p>
      <w:pPr>
        <w:spacing w:after="0" w:line="40" w:lineRule="exact"/>
        <w:rPr>
          <w:sz w:val="20"/>
          <w:szCs w:val="20"/>
          <w:color w:val="auto"/>
        </w:rPr>
      </w:pPr>
    </w:p>
    <w:p>
      <w:pPr>
        <w:jc w:val="both"/>
        <w:ind w:left="1540" w:hanging="343"/>
        <w:spacing w:after="0" w:line="219" w:lineRule="auto"/>
        <w:tabs>
          <w:tab w:leader="none" w:pos="1520" w:val="left"/>
        </w:tabs>
        <w:rPr>
          <w:rFonts w:ascii="Arial" w:cs="Arial" w:eastAsia="Arial" w:hAnsi="Arial"/>
          <w:sz w:val="14"/>
          <w:szCs w:val="14"/>
          <w:color w:val="0000FF"/>
        </w:rPr>
      </w:pPr>
      <w:hyperlink r:id="rId89">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November 19, 2019, by and among Soo Line Corporation, Black Bear Acquisition LLC, Railroad Acquisition Holdings LLC and Fortress Worldwide Transportation and Infrastructure General Partnership (incorporated by reference to Exhibit 2.1 of the Company’s Current Report on Form 8-K, filed January 6, 2020).</w:t>
      </w:r>
    </w:p>
    <w:p>
      <w:pPr>
        <w:spacing w:after="0" w:line="18" w:lineRule="exact"/>
        <w:rPr>
          <w:sz w:val="20"/>
          <w:szCs w:val="20"/>
          <w:color w:val="auto"/>
        </w:rPr>
      </w:pPr>
    </w:p>
    <w:p>
      <w:pPr>
        <w:ind w:left="1540" w:right="160" w:hanging="343"/>
        <w:spacing w:after="0" w:line="229" w:lineRule="auto"/>
        <w:tabs>
          <w:tab w:leader="none" w:pos="1520" w:val="left"/>
        </w:tabs>
        <w:rPr>
          <w:rFonts w:ascii="Arial" w:cs="Arial" w:eastAsia="Arial" w:hAnsi="Arial"/>
          <w:sz w:val="14"/>
          <w:szCs w:val="14"/>
          <w:color w:val="0000FF"/>
        </w:rPr>
      </w:pPr>
      <w:hyperlink r:id="rId90">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line="226" w:lineRule="auto"/>
        <w:tabs>
          <w:tab w:leader="none" w:pos="152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3.2</w:t>
        </w:r>
      </w:hyperlink>
      <w:r>
        <w:rPr>
          <w:rFonts w:ascii="Arial" w:cs="Arial" w:eastAsia="Arial" w:hAnsi="Arial"/>
          <w:sz w:val="14"/>
          <w:szCs w:val="14"/>
          <w:color w:val="0000FF"/>
        </w:rPr>
        <w:tab/>
        <w:t>Fourth Amended and Restated Limited Liability Company Agreement of Fortress Transportation and Infrastructure Investors LLC, dated as of March</w:t>
      </w:r>
    </w:p>
    <w:p>
      <w:pPr>
        <w:ind w:left="1540"/>
        <w:spacing w:after="0"/>
        <w:rPr>
          <w:sz w:val="20"/>
          <w:szCs w:val="20"/>
          <w:color w:val="auto"/>
        </w:rPr>
      </w:pPr>
      <w:r>
        <w:rPr>
          <w:rFonts w:ascii="Arial" w:cs="Arial" w:eastAsia="Arial" w:hAnsi="Arial"/>
          <w:sz w:val="14"/>
          <w:szCs w:val="14"/>
          <w:color w:val="auto"/>
        </w:rPr>
        <w:t>25, 2021 (incorporated by reference to Exhibit 3.2 to Fortress Transportation and Infrastructure Investors LLC’s Form 8-A, filed March 25, 2021).</w:t>
      </w:r>
    </w:p>
    <w:p>
      <w:pPr>
        <w:spacing w:after="0" w:line="2"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8.25% Fixed-to-Floating Series A Cumulative Perpetual Redeemable Preferred Shares, dated as of September</w:t>
      </w:r>
    </w:p>
    <w:p>
      <w:pPr>
        <w:ind w:left="1540"/>
        <w:spacing w:after="0"/>
        <w:rPr>
          <w:sz w:val="20"/>
          <w:szCs w:val="20"/>
          <w:color w:val="auto"/>
        </w:rPr>
      </w:pPr>
      <w:r>
        <w:rPr>
          <w:rFonts w:ascii="Arial" w:cs="Arial" w:eastAsia="Arial" w:hAnsi="Arial"/>
          <w:sz w:val="14"/>
          <w:szCs w:val="14"/>
          <w:color w:val="auto"/>
        </w:rPr>
        <w:t>12, 2019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8.00% Fixed-to-Floating Series B Cumulative Perpetual Redeemable Preferred Shares, dated as of November</w:t>
      </w:r>
    </w:p>
    <w:p>
      <w:pPr>
        <w:ind w:left="1540"/>
        <w:spacing w:after="0"/>
        <w:rPr>
          <w:sz w:val="20"/>
          <w:szCs w:val="20"/>
          <w:color w:val="auto"/>
        </w:rPr>
      </w:pPr>
      <w:r>
        <w:rPr>
          <w:rFonts w:ascii="Arial" w:cs="Arial" w:eastAsia="Arial" w:hAnsi="Arial"/>
          <w:sz w:val="14"/>
          <w:szCs w:val="14"/>
          <w:color w:val="auto"/>
        </w:rPr>
        <w:t>27, 2019 (included as part of Exhibit 3.2).</w:t>
      </w:r>
    </w:p>
    <w:p>
      <w:pPr>
        <w:spacing w:after="0" w:line="2"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8.25% Fixed-Rate Reset Series C Cumulative Perpetual Redeemable Preferred Shares, dated as of March 25,</w:t>
      </w:r>
    </w:p>
    <w:p>
      <w:pPr>
        <w:ind w:left="1540"/>
        <w:spacing w:after="0"/>
        <w:rPr>
          <w:sz w:val="20"/>
          <w:szCs w:val="20"/>
          <w:color w:val="auto"/>
        </w:rPr>
      </w:pPr>
      <w:r>
        <w:rPr>
          <w:rFonts w:ascii="Arial" w:cs="Arial" w:eastAsia="Arial" w:hAnsi="Arial"/>
          <w:sz w:val="14"/>
          <w:szCs w:val="14"/>
          <w:color w:val="auto"/>
        </w:rPr>
        <w:t>2021 (included as part of 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540" w:right="80" w:hanging="343"/>
        <w:spacing w:after="0" w:line="219" w:lineRule="auto"/>
        <w:tabs>
          <w:tab w:leader="none" w:pos="152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18"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95">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707199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97">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1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98">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40" w:hanging="343"/>
        <w:spacing w:after="0" w:line="219" w:lineRule="auto"/>
        <w:tabs>
          <w:tab w:leader="none" w:pos="1520" w:val="left"/>
        </w:tabs>
        <w:rPr>
          <w:rFonts w:ascii="Arial" w:cs="Arial" w:eastAsia="Arial" w:hAnsi="Arial"/>
          <w:sz w:val="14"/>
          <w:szCs w:val="14"/>
          <w:color w:val="0000FF"/>
        </w:rPr>
      </w:pPr>
      <w:hyperlink r:id="rId100">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1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01">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540" w:right="120" w:hanging="343"/>
        <w:spacing w:after="0" w:line="219" w:lineRule="auto"/>
        <w:tabs>
          <w:tab w:leader="none" w:pos="1520" w:val="left"/>
        </w:tabs>
        <w:rPr>
          <w:rFonts w:ascii="Arial" w:cs="Arial" w:eastAsia="Arial" w:hAnsi="Arial"/>
          <w:sz w:val="14"/>
          <w:szCs w:val="14"/>
          <w:color w:val="0000FF"/>
        </w:rPr>
      </w:pPr>
      <w:hyperlink r:id="rId103">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18" w:lineRule="exact"/>
        <w:rPr>
          <w:sz w:val="20"/>
          <w:szCs w:val="20"/>
          <w:color w:val="auto"/>
        </w:rPr>
      </w:pPr>
    </w:p>
    <w:p>
      <w:pPr>
        <w:ind w:left="1540" w:right="120" w:hanging="343"/>
        <w:spacing w:after="0" w:line="219" w:lineRule="auto"/>
        <w:tabs>
          <w:tab w:leader="none" w:pos="152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104">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8" w:lineRule="exact"/>
        <w:rPr>
          <w:sz w:val="20"/>
          <w:szCs w:val="20"/>
          <w:color w:val="auto"/>
        </w:rPr>
      </w:pPr>
    </w:p>
    <w:p>
      <w:pPr>
        <w:ind w:left="1540" w:right="120" w:hanging="423"/>
        <w:spacing w:after="0" w:line="219" w:lineRule="auto"/>
        <w:tabs>
          <w:tab w:leader="none" w:pos="1520" w:val="left"/>
        </w:tabs>
        <w:rPr>
          <w:rFonts w:ascii="Arial" w:cs="Arial" w:eastAsia="Arial" w:hAnsi="Arial"/>
          <w:sz w:val="14"/>
          <w:szCs w:val="14"/>
          <w:color w:val="0000FF"/>
        </w:rPr>
      </w:pPr>
      <w:hyperlink r:id="rId106">
        <w:r>
          <w:rPr>
            <w:rFonts w:ascii="Arial" w:cs="Arial" w:eastAsia="Arial" w:hAnsi="Arial"/>
            <w:sz w:val="14"/>
            <w:szCs w:val="14"/>
            <w:u w:val="single" w:color="auto"/>
            <w:color w:val="0000FF"/>
          </w:rPr>
          <w:t>4.10</w:t>
        </w:r>
      </w:hyperlink>
      <w:r>
        <w:rPr>
          <w:rFonts w:ascii="Arial" w:cs="Arial" w:eastAsia="Arial" w:hAnsi="Arial"/>
          <w:sz w:val="14"/>
          <w:szCs w:val="14"/>
          <w:color w:val="0000FF"/>
        </w:rPr>
        <w:tab/>
        <w:t>First Supplemental Indenture, dated May 21, 2019, between Fortress Transportation and Infrastructure Investors LLC and U.S. Bank National Association, as trustee, relating to the Company’s 6.50% senior unsecured notes due 2025 (incorporated by reference to Exhibit 4.1 of the Company’s Current Report on Form 8-K, filed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jc w:val="both"/>
        <w:ind w:left="1540" w:right="60" w:hanging="423"/>
        <w:spacing w:after="0" w:line="219" w:lineRule="auto"/>
        <w:tabs>
          <w:tab w:leader="none" w:pos="152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4.11</w:t>
        </w:r>
      </w:hyperlink>
      <w:r>
        <w:rPr>
          <w:rFonts w:ascii="Arial" w:cs="Arial" w:eastAsia="Arial" w:hAnsi="Arial"/>
          <w:sz w:val="14"/>
          <w:szCs w:val="14"/>
          <w:color w:val="0000FF"/>
        </w:rPr>
        <w:tab/>
        <w:t>Second Supplemental Indenture, dated December 23, 2020, between Fortress Transportation and Infrastructure Investors LLC and U.S. Bank National Association, as trustee, relating to the Company’s 6.50% senior unsecured notes due 2025 (incorporated by reference to Exhibit 4.1 of the Company’s Current Report on Form 8-K, filed on December 23, 2020).</w:t>
      </w:r>
    </w:p>
    <w:p>
      <w:pPr>
        <w:spacing w:after="0" w:line="18" w:lineRule="exact"/>
        <w:rPr>
          <w:sz w:val="20"/>
          <w:szCs w:val="20"/>
          <w:color w:val="auto"/>
        </w:rPr>
      </w:pPr>
    </w:p>
    <w:p>
      <w:pPr>
        <w:ind w:left="1540" w:right="400" w:hanging="423"/>
        <w:spacing w:after="0" w:line="229" w:lineRule="auto"/>
        <w:tabs>
          <w:tab w:leader="none" w:pos="152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4.12</w:t>
        </w:r>
      </w:hyperlink>
      <w:r>
        <w:rPr>
          <w:rFonts w:ascii="Arial" w:cs="Arial" w:eastAsia="Arial" w:hAnsi="Arial"/>
          <w:sz w:val="14"/>
          <w:szCs w:val="14"/>
          <w:color w:val="0000FF"/>
        </w:rPr>
        <w:tab/>
        <w:t>Indenture, dated April 12, 2021, between Fortress Transportation and Infrastructure Investors LLC and U.S. Bank National Association, as trustee (incorporated by reference to Exhibit 4.1 to Fortress Transportation and Infrastructure Investors LLC’s Form 8-K, filed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ind w:left="1100"/>
        <w:spacing w:after="0"/>
        <w:tabs>
          <w:tab w:leader="none" w:pos="1520" w:val="left"/>
        </w:tabs>
        <w:rPr>
          <w:rFonts w:ascii="Arial" w:cs="Arial" w:eastAsia="Arial" w:hAnsi="Arial"/>
          <w:sz w:val="14"/>
          <w:szCs w:val="14"/>
          <w:color w:val="0000FF"/>
        </w:rPr>
      </w:pPr>
      <w:hyperlink r:id="rId109">
        <w:r>
          <w:rPr>
            <w:rFonts w:ascii="Arial" w:cs="Arial" w:eastAsia="Arial" w:hAnsi="Arial"/>
            <w:sz w:val="14"/>
            <w:szCs w:val="14"/>
            <w:u w:val="single" w:color="auto"/>
            <w:color w:val="0000FF"/>
          </w:rPr>
          <w:t>4.13</w:t>
        </w:r>
      </w:hyperlink>
      <w:r>
        <w:rPr>
          <w:rFonts w:ascii="Arial" w:cs="Arial" w:eastAsia="Arial" w:hAnsi="Arial"/>
          <w:sz w:val="14"/>
          <w:szCs w:val="14"/>
          <w:color w:val="0000FF"/>
        </w:rPr>
        <w:tab/>
        <w:t>Form of global note representing the Company’s 5.50% senior unsecured notes due 2028 (included in Exhibit 4.12).</w:t>
      </w:r>
    </w:p>
    <w:p>
      <w:pPr>
        <w:spacing w:after="0" w:line="28" w:lineRule="exact"/>
        <w:rPr>
          <w:sz w:val="20"/>
          <w:szCs w:val="20"/>
          <w:color w:val="auto"/>
        </w:rPr>
      </w:pPr>
    </w:p>
    <w:p>
      <w:pPr>
        <w:ind w:left="1540" w:right="460" w:hanging="423"/>
        <w:spacing w:after="0" w:line="229" w:lineRule="auto"/>
        <w:tabs>
          <w:tab w:leader="none" w:pos="152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4.14</w:t>
        </w:r>
      </w:hyperlink>
      <w:r>
        <w:rPr>
          <w:rFonts w:ascii="Arial" w:cs="Arial" w:eastAsia="Arial" w:hAnsi="Arial"/>
          <w:sz w:val="14"/>
          <w:szCs w:val="14"/>
          <w:color w:val="0000FF"/>
        </w:rPr>
        <w:tab/>
        <w:t>Form of certificate representing the 8.25% Fixed-to-Floating Rate Series A Cumulative Perpetual Redeemable Preferred Shares of Fortress Transportation and Infrastructure Investors LLC (incorporated by reference to Exhibit 4.1 of the Company’s Form 8-A, filed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7199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ind w:left="1540" w:right="500" w:hanging="423"/>
        <w:spacing w:after="0" w:line="258" w:lineRule="auto"/>
        <w:tabs>
          <w:tab w:leader="none" w:pos="152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4.15</w:t>
        </w:r>
      </w:hyperlink>
      <w:r>
        <w:rPr>
          <w:rFonts w:ascii="Arial" w:cs="Arial" w:eastAsia="Arial" w:hAnsi="Arial"/>
          <w:sz w:val="14"/>
          <w:szCs w:val="14"/>
          <w:color w:val="0000FF"/>
        </w:rPr>
        <w:tab/>
        <w:t>Form of certificate representing the 8.00% Fixed-to-Floating Rate Series B Cumulative Perpetual Redeemable Preferred Shares of Fortress Transportation and Infrastructure Investors LLC (incorporated by reference to Exhibit 4.1 to the Company’s Form 8-A, filed November 27, 2019).</w:t>
      </w:r>
    </w:p>
    <w:p>
      <w:pPr>
        <w:spacing w:after="0" w:line="32" w:lineRule="exact"/>
        <w:rPr>
          <w:sz w:val="20"/>
          <w:szCs w:val="20"/>
          <w:color w:val="auto"/>
        </w:rPr>
      </w:pPr>
    </w:p>
    <w:p>
      <w:pPr>
        <w:jc w:val="both"/>
        <w:ind w:left="1540" w:right="120" w:hanging="423"/>
        <w:spacing w:after="0" w:line="249" w:lineRule="auto"/>
        <w:tabs>
          <w:tab w:leader="none" w:pos="1520" w:val="left"/>
        </w:tabs>
        <w:rPr>
          <w:rFonts w:ascii="Arial" w:cs="Arial" w:eastAsia="Arial" w:hAnsi="Arial"/>
          <w:sz w:val="14"/>
          <w:szCs w:val="14"/>
          <w:color w:val="0000FF"/>
        </w:rPr>
      </w:pPr>
      <w:hyperlink r:id="rId92">
        <w:r>
          <w:rPr>
            <w:rFonts w:ascii="Arial" w:cs="Arial" w:eastAsia="Arial" w:hAnsi="Arial"/>
            <w:sz w:val="14"/>
            <w:szCs w:val="14"/>
            <w:u w:val="single" w:color="auto"/>
            <w:color w:val="0000FF"/>
          </w:rPr>
          <w:t>4.16</w:t>
        </w:r>
      </w:hyperlink>
      <w:r>
        <w:rPr>
          <w:rFonts w:ascii="Arial" w:cs="Arial" w:eastAsia="Arial" w:hAnsi="Arial"/>
          <w:sz w:val="14"/>
          <w:szCs w:val="14"/>
          <w:color w:val="0000FF"/>
        </w:rPr>
        <w:tab/>
        <w:t>Form of certificate representing the 8.25% Fixed-Rate Reset Series C Cumulative Perpetual Redeemable Preferred Shares of Fortress Transportation and Infrastructure Investors LLC (incorporated by reference to Exhibit 4.1 to Fortress Transportation and Infrastructure Investors LLC’s Form 8-A, filed March 25, 2021).</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76" w:name="page77"/>
    <w:bookmarkEnd w:id="76"/>
    <w:p>
      <w:pPr>
        <w:ind w:left="567"/>
        <w:spacing w:after="0"/>
        <w:tabs>
          <w:tab w:leader="none" w:pos="586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071995" cy="248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071995" cy="248920"/>
                    </a:xfrm>
                    <a:prstGeom prst="rect">
                      <a:avLst/>
                    </a:prstGeom>
                    <a:noFill/>
                  </pic:spPr>
                </pic:pic>
              </a:graphicData>
            </a:graphic>
          </wp:anchor>
        </w:drawing>
      </w:r>
    </w:p>
    <w:p>
      <w:pPr>
        <w:spacing w:after="0" w:line="40" w:lineRule="exact"/>
        <w:rPr>
          <w:sz w:val="20"/>
          <w:szCs w:val="20"/>
          <w:color w:val="auto"/>
        </w:rPr>
      </w:pPr>
    </w:p>
    <w:p>
      <w:pPr>
        <w:ind w:left="1467" w:hanging="423"/>
        <w:spacing w:after="0" w:line="258" w:lineRule="auto"/>
        <w:tabs>
          <w:tab w:leader="none" w:pos="1446" w:val="left"/>
        </w:tabs>
        <w:rPr>
          <w:rFonts w:ascii="Arial" w:cs="Arial" w:eastAsia="Arial" w:hAnsi="Arial"/>
          <w:sz w:val="14"/>
          <w:szCs w:val="14"/>
          <w:color w:val="0000FF"/>
        </w:rPr>
      </w:pPr>
      <w:hyperlink r:id="rId116">
        <w:r>
          <w:rPr>
            <w:rFonts w:ascii="Arial" w:cs="Arial" w:eastAsia="Arial" w:hAnsi="Arial"/>
            <w:sz w:val="14"/>
            <w:szCs w:val="14"/>
            <w:u w:val="single" w:color="auto"/>
            <w:color w:val="0000FF"/>
          </w:rPr>
          <w:t>4.17</w:t>
        </w:r>
      </w:hyperlink>
      <w:r>
        <w:rPr>
          <w:rFonts w:ascii="Arial" w:cs="Arial" w:eastAsia="Arial" w:hAnsi="Arial"/>
          <w:sz w:val="14"/>
          <w:szCs w:val="14"/>
          <w:color w:val="0000FF"/>
        </w:rPr>
        <w:tab/>
        <w:t>Description of Securities Registered under Section 12 of the Exchange Act (incorporated by reference to Exhibit 4.13 to the Company’s Form 10-K, filed February 28, 2020).</w:t>
      </w:r>
    </w:p>
    <w:p>
      <w:pPr>
        <w:spacing w:after="0" w:line="32" w:lineRule="exact"/>
        <w:rPr>
          <w:sz w:val="20"/>
          <w:szCs w:val="20"/>
          <w:color w:val="auto"/>
        </w:rPr>
      </w:pPr>
    </w:p>
    <w:p>
      <w:pPr>
        <w:ind w:left="1467" w:right="180" w:hanging="423"/>
        <w:spacing w:after="0" w:line="229" w:lineRule="auto"/>
        <w:tabs>
          <w:tab w:leader="none" w:pos="1446" w:val="left"/>
        </w:tabs>
        <w:rPr>
          <w:rFonts w:ascii="Arial" w:cs="Arial" w:eastAsia="Arial" w:hAnsi="Arial"/>
          <w:sz w:val="14"/>
          <w:szCs w:val="14"/>
          <w:color w:val="0000FF"/>
        </w:rPr>
      </w:pPr>
      <w:hyperlink r:id="rId117">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467" w:right="380" w:hanging="1467"/>
        <w:spacing w:after="0" w:line="229" w:lineRule="auto"/>
        <w:tabs>
          <w:tab w:leader="none" w:pos="1043" w:val="left"/>
        </w:tabs>
        <w:numPr>
          <w:ilvl w:val="0"/>
          <w:numId w:val="32"/>
        </w:numPr>
        <w:rPr>
          <w:rFonts w:ascii="Arial" w:cs="Arial" w:eastAsia="Arial" w:hAnsi="Arial"/>
          <w:sz w:val="14"/>
          <w:szCs w:val="14"/>
          <w:color w:val="0000FF"/>
        </w:rPr>
      </w:pPr>
      <w:hyperlink r:id="rId119">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6" w:lineRule="exact"/>
        <w:rPr>
          <w:rFonts w:ascii="Arial" w:cs="Arial" w:eastAsia="Arial" w:hAnsi="Arial"/>
          <w:sz w:val="14"/>
          <w:szCs w:val="14"/>
          <w:color w:val="0000FF"/>
        </w:rPr>
      </w:pPr>
    </w:p>
    <w:p>
      <w:pPr>
        <w:ind w:left="1467" w:hanging="1467"/>
        <w:spacing w:after="0" w:line="219" w:lineRule="auto"/>
        <w:tabs>
          <w:tab w:leader="none" w:pos="1043" w:val="left"/>
        </w:tabs>
        <w:numPr>
          <w:ilvl w:val="0"/>
          <w:numId w:val="32"/>
        </w:numPr>
        <w:rPr>
          <w:rFonts w:ascii="Arial" w:cs="Arial" w:eastAsia="Arial" w:hAnsi="Arial"/>
          <w:sz w:val="14"/>
          <w:szCs w:val="14"/>
          <w:color w:val="0000FF"/>
        </w:rPr>
      </w:pPr>
      <w:hyperlink r:id="rId120">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8" w:lineRule="exact"/>
        <w:rPr>
          <w:rFonts w:ascii="Arial" w:cs="Arial" w:eastAsia="Arial" w:hAnsi="Arial"/>
          <w:sz w:val="14"/>
          <w:szCs w:val="14"/>
          <w:color w:val="0000FF"/>
        </w:rPr>
      </w:pPr>
    </w:p>
    <w:p>
      <w:pPr>
        <w:ind w:left="1467" w:right="20" w:hanging="1467"/>
        <w:spacing w:after="0" w:line="229" w:lineRule="auto"/>
        <w:tabs>
          <w:tab w:leader="none" w:pos="1043" w:val="left"/>
        </w:tabs>
        <w:numPr>
          <w:ilvl w:val="0"/>
          <w:numId w:val="32"/>
        </w:numPr>
        <w:rPr>
          <w:rFonts w:ascii="Arial" w:cs="Arial" w:eastAsia="Arial" w:hAnsi="Arial"/>
          <w:sz w:val="14"/>
          <w:szCs w:val="14"/>
          <w:color w:val="0000FF"/>
        </w:rPr>
      </w:pPr>
      <w:hyperlink r:id="rId121">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w:t>
      </w:r>
      <w:r>
        <w:rPr>
          <w:rFonts w:ascii="Arial" w:cs="Arial" w:eastAsia="Arial" w:hAnsi="Arial"/>
          <w:sz w:val="14"/>
          <w:szCs w:val="14"/>
          <w:color w:val="0000FF"/>
        </w:rPr>
        <w:t xml:space="preserve"> </w:t>
      </w:r>
      <w:r>
        <w:rPr>
          <w:rFonts w:ascii="Arial" w:cs="Arial" w:eastAsia="Arial" w:hAnsi="Arial"/>
          <w:sz w:val="14"/>
          <w:szCs w:val="14"/>
          <w:color w:val="000000"/>
        </w:rPr>
        <w:t>of 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707199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ind w:left="1027"/>
        <w:spacing w:after="0" w:line="226" w:lineRule="auto"/>
        <w:tabs>
          <w:tab w:leader="none" w:pos="1446"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ind w:left="1467"/>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8" w:lineRule="exact"/>
        <w:rPr>
          <w:rFonts w:ascii="Arial" w:cs="Arial" w:eastAsia="Arial" w:hAnsi="Arial"/>
          <w:sz w:val="14"/>
          <w:szCs w:val="14"/>
          <w:color w:val="auto"/>
        </w:rPr>
      </w:pPr>
    </w:p>
    <w:p>
      <w:pPr>
        <w:jc w:val="both"/>
        <w:ind w:left="1467" w:right="140" w:hanging="423"/>
        <w:spacing w:after="0" w:line="219" w:lineRule="auto"/>
        <w:tabs>
          <w:tab w:leader="none" w:pos="1446"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18" w:lineRule="exact"/>
        <w:rPr>
          <w:rFonts w:ascii="Arial" w:cs="Arial" w:eastAsia="Arial" w:hAnsi="Arial"/>
          <w:sz w:val="14"/>
          <w:szCs w:val="14"/>
          <w:color w:val="auto"/>
        </w:rPr>
      </w:pPr>
    </w:p>
    <w:p>
      <w:pPr>
        <w:ind w:left="1467" w:right="40" w:hanging="423"/>
        <w:spacing w:after="0"/>
        <w:tabs>
          <w:tab w:leader="none" w:pos="1446"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10.7</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7071995"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91" w:lineRule="exact"/>
        <w:rPr>
          <w:rFonts w:ascii="Arial" w:cs="Arial" w:eastAsia="Arial" w:hAnsi="Arial"/>
          <w:sz w:val="14"/>
          <w:szCs w:val="14"/>
          <w:color w:val="auto"/>
        </w:rPr>
      </w:pPr>
    </w:p>
    <w:p>
      <w:pPr>
        <w:ind w:left="1467" w:right="180" w:hanging="423"/>
        <w:spacing w:after="0" w:line="215" w:lineRule="auto"/>
        <w:tabs>
          <w:tab w:leader="none" w:pos="1446"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10.8</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February 11, 2019).</w:t>
      </w:r>
    </w:p>
    <w:p>
      <w:pPr>
        <w:spacing w:after="0" w:line="17" w:lineRule="exact"/>
        <w:rPr>
          <w:rFonts w:ascii="Arial" w:cs="Arial" w:eastAsia="Arial" w:hAnsi="Arial"/>
          <w:sz w:val="14"/>
          <w:szCs w:val="14"/>
          <w:color w:val="auto"/>
        </w:rPr>
      </w:pPr>
    </w:p>
    <w:p>
      <w:pPr>
        <w:ind w:left="1467" w:right="180" w:hanging="423"/>
        <w:spacing w:after="0" w:line="215" w:lineRule="auto"/>
        <w:tabs>
          <w:tab w:leader="none" w:pos="1446" w:val="left"/>
        </w:tabs>
        <w:rPr>
          <w:rFonts w:ascii="Arial" w:cs="Arial" w:eastAsia="Arial" w:hAnsi="Arial"/>
          <w:sz w:val="14"/>
          <w:szCs w:val="14"/>
          <w:color w:val="0000FF"/>
        </w:rPr>
      </w:pPr>
      <w:hyperlink r:id="rId129">
        <w:r>
          <w:rPr>
            <w:rFonts w:ascii="Arial" w:cs="Arial" w:eastAsia="Arial" w:hAnsi="Arial"/>
            <w:sz w:val="14"/>
            <w:szCs w:val="14"/>
            <w:u w:val="single" w:color="auto"/>
            <w:color w:val="0000FF"/>
          </w:rPr>
          <w:t>10.9</w:t>
        </w:r>
      </w:hyperlink>
      <w:r>
        <w:rPr>
          <w:rFonts w:ascii="Arial" w:cs="Arial" w:eastAsia="Arial" w:hAnsi="Arial"/>
          <w:sz w:val="14"/>
          <w:szCs w:val="14"/>
          <w:color w:val="0000FF"/>
        </w:rPr>
        <w:tab/>
        <w:t>Credit Agreement Amendment No. 3 dated as of August 6,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on August 9,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071995" cy="445770"/>
                    </a:xfrm>
                    <a:prstGeom prst="rect">
                      <a:avLst/>
                    </a:prstGeom>
                    <a:noFill/>
                  </pic:spPr>
                </pic:pic>
              </a:graphicData>
            </a:graphic>
          </wp:anchor>
        </w:drawing>
      </w:r>
    </w:p>
    <w:p>
      <w:pPr>
        <w:ind w:left="1467" w:right="80" w:hanging="503"/>
        <w:spacing w:after="0" w:line="247" w:lineRule="auto"/>
        <w:tabs>
          <w:tab w:leader="none" w:pos="1446" w:val="left"/>
        </w:tabs>
        <w:rPr>
          <w:rFonts w:ascii="Arial" w:cs="Arial" w:eastAsia="Arial" w:hAnsi="Arial"/>
          <w:sz w:val="14"/>
          <w:szCs w:val="14"/>
          <w:color w:val="0000FF"/>
        </w:rPr>
      </w:pPr>
      <w:hyperlink r:id="rId131">
        <w:r>
          <w:rPr>
            <w:rFonts w:ascii="Arial" w:cs="Arial" w:eastAsia="Arial" w:hAnsi="Arial"/>
            <w:sz w:val="14"/>
            <w:szCs w:val="14"/>
            <w:u w:val="single" w:color="auto"/>
            <w:color w:val="0000FF"/>
          </w:rPr>
          <w:t>10.10</w:t>
        </w:r>
      </w:hyperlink>
      <w:r>
        <w:rPr>
          <w:rFonts w:ascii="Arial" w:cs="Arial" w:eastAsia="Arial" w:hAnsi="Arial"/>
          <w:sz w:val="14"/>
          <w:szCs w:val="14"/>
          <w:color w:val="0000FF"/>
        </w:rPr>
        <w:tab/>
        <w:t>Credit Agreement Amendment No. 4 dated as of May 11, 2020,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10.10 of the Company’s Quarterly Report on Form 10-Q, filed on July 31, 2020).</w:t>
      </w:r>
    </w:p>
    <w:p>
      <w:pPr>
        <w:spacing w:after="0" w:line="39" w:lineRule="exact"/>
        <w:rPr>
          <w:rFonts w:ascii="Arial" w:cs="Arial" w:eastAsia="Arial" w:hAnsi="Arial"/>
          <w:sz w:val="14"/>
          <w:szCs w:val="14"/>
          <w:color w:val="auto"/>
        </w:rPr>
      </w:pPr>
    </w:p>
    <w:p>
      <w:pPr>
        <w:ind w:left="1467" w:right="240" w:hanging="1467"/>
        <w:spacing w:after="0" w:line="229" w:lineRule="auto"/>
        <w:tabs>
          <w:tab w:leader="none" w:pos="963" w:val="left"/>
        </w:tabs>
        <w:numPr>
          <w:ilvl w:val="0"/>
          <w:numId w:val="33"/>
        </w:numPr>
        <w:rPr>
          <w:rFonts w:ascii="Arial" w:cs="Arial" w:eastAsia="Arial" w:hAnsi="Arial"/>
          <w:sz w:val="14"/>
          <w:szCs w:val="14"/>
          <w:color w:val="0000FF"/>
        </w:rPr>
      </w:pPr>
      <w:hyperlink r:id="rId132">
        <w:r>
          <w:rPr>
            <w:rFonts w:ascii="Arial" w:cs="Arial" w:eastAsia="Arial" w:hAnsi="Arial"/>
            <w:sz w:val="14"/>
            <w:szCs w:val="14"/>
            <w:u w:val="single" w:color="auto"/>
            <w:color w:val="0000FF"/>
          </w:rPr>
          <w:t>10.11</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 (incorporated by reference to Exhibit 10.17 of the Company’s Quarterly Report on Form 10-Q, filed on May 3, 2019).</w:t>
      </w:r>
    </w:p>
    <w:p>
      <w:pPr>
        <w:spacing w:after="0" w:line="16" w:lineRule="exact"/>
        <w:rPr>
          <w:rFonts w:ascii="Arial" w:cs="Arial" w:eastAsia="Arial" w:hAnsi="Arial"/>
          <w:sz w:val="14"/>
          <w:szCs w:val="14"/>
          <w:color w:val="0000FF"/>
        </w:rPr>
      </w:pPr>
    </w:p>
    <w:p>
      <w:pPr>
        <w:ind w:left="1467" w:right="140" w:hanging="1467"/>
        <w:spacing w:after="0" w:line="219" w:lineRule="auto"/>
        <w:tabs>
          <w:tab w:leader="none" w:pos="963" w:val="left"/>
        </w:tabs>
        <w:numPr>
          <w:ilvl w:val="0"/>
          <w:numId w:val="33"/>
        </w:numPr>
        <w:rPr>
          <w:rFonts w:ascii="Arial" w:cs="Arial" w:eastAsia="Arial" w:hAnsi="Arial"/>
          <w:sz w:val="14"/>
          <w:szCs w:val="14"/>
          <w:color w:val="0000FF"/>
        </w:rPr>
      </w:pPr>
      <w:hyperlink r:id="rId133">
        <w:r>
          <w:rPr>
            <w:rFonts w:ascii="Arial" w:cs="Arial" w:eastAsia="Arial" w:hAnsi="Arial"/>
            <w:sz w:val="14"/>
            <w:szCs w:val="14"/>
            <w:u w:val="single" w:color="auto"/>
            <w:color w:val="0000FF"/>
          </w:rPr>
          <w:t>10.12</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 (incorporated by reference to Exhibit 10.18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707199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67" w:right="100" w:hanging="503"/>
        <w:spacing w:after="0" w:line="219" w:lineRule="auto"/>
        <w:tabs>
          <w:tab w:leader="none" w:pos="1446" w:val="left"/>
        </w:tabs>
        <w:rPr>
          <w:rFonts w:ascii="Arial" w:cs="Arial" w:eastAsia="Arial" w:hAnsi="Arial"/>
          <w:sz w:val="14"/>
          <w:szCs w:val="14"/>
          <w:color w:val="0000FF"/>
        </w:rPr>
      </w:pPr>
      <w:hyperlink r:id="rId135">
        <w:r>
          <w:rPr>
            <w:rFonts w:ascii="Arial" w:cs="Arial" w:eastAsia="Arial" w:hAnsi="Arial"/>
            <w:sz w:val="14"/>
            <w:szCs w:val="14"/>
            <w:u w:val="single" w:color="auto"/>
            <w:color w:val="0000FF"/>
          </w:rPr>
          <w:t>10.13</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 (incorporated by reference to Exhibit 10.19 of the Company’s Quarterly Report on Form 10-Q, filed on May 3, 2019).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ind w:left="1467" w:right="240" w:hanging="503"/>
        <w:spacing w:after="0" w:line="219" w:lineRule="auto"/>
        <w:tabs>
          <w:tab w:leader="none" w:pos="1446" w:val="left"/>
        </w:tabs>
        <w:rPr>
          <w:rFonts w:ascii="Arial" w:cs="Arial" w:eastAsia="Arial" w:hAnsi="Arial"/>
          <w:sz w:val="14"/>
          <w:szCs w:val="14"/>
          <w:color w:val="0000FF"/>
        </w:rPr>
      </w:pPr>
      <w:hyperlink r:id="rId137">
        <w:r>
          <w:rPr>
            <w:rFonts w:ascii="Arial" w:cs="Arial" w:eastAsia="Arial" w:hAnsi="Arial"/>
            <w:sz w:val="14"/>
            <w:szCs w:val="14"/>
            <w:u w:val="single" w:color="auto"/>
            <w:color w:val="0000FF"/>
          </w:rPr>
          <w:t>10.14</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 (incorporated by reference to Exhibit 10.20 of the Company’s Quarterly Report on Form 10-Q, filed on May 3, 2019).</w:t>
      </w:r>
    </w:p>
    <w:p>
      <w:pPr>
        <w:spacing w:after="0" w:line="18" w:lineRule="exact"/>
        <w:rPr>
          <w:rFonts w:ascii="Arial" w:cs="Arial" w:eastAsia="Arial" w:hAnsi="Arial"/>
          <w:sz w:val="14"/>
          <w:szCs w:val="14"/>
          <w:color w:val="auto"/>
        </w:rPr>
      </w:pPr>
    </w:p>
    <w:p>
      <w:pPr>
        <w:ind w:left="1467" w:right="620" w:hanging="1467"/>
        <w:spacing w:after="0" w:line="229" w:lineRule="auto"/>
        <w:tabs>
          <w:tab w:leader="none" w:pos="963" w:val="left"/>
        </w:tabs>
        <w:numPr>
          <w:ilvl w:val="0"/>
          <w:numId w:val="34"/>
        </w:numPr>
        <w:rPr>
          <w:rFonts w:ascii="Arial" w:cs="Arial" w:eastAsia="Arial" w:hAnsi="Arial"/>
          <w:sz w:val="14"/>
          <w:szCs w:val="14"/>
          <w:color w:val="0000FF"/>
        </w:rPr>
      </w:pPr>
      <w:hyperlink r:id="rId138">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071995"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467" w:right="40" w:hanging="503"/>
        <w:spacing w:after="0" w:line="249" w:lineRule="auto"/>
        <w:tabs>
          <w:tab w:leader="none" w:pos="1446" w:val="left"/>
        </w:tabs>
        <w:rPr>
          <w:rFonts w:ascii="Arial" w:cs="Arial" w:eastAsia="Arial" w:hAnsi="Arial"/>
          <w:sz w:val="14"/>
          <w:szCs w:val="14"/>
          <w:color w:val="0000FF"/>
        </w:rPr>
      </w:pPr>
      <w:hyperlink r:id="rId140">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dated as of February 11, 2020, among Jefferson 2020 Bond Borrower LLC, as the borrower and Fortress Transportation and Infrastructure Investors LLC, acting through one or more affiliates, as the lender (incorporated by reference to Exhibit 10.15 of the Company’s Quarterly Report on Form 10-Q, filed on May 1, 2020).</w:t>
      </w:r>
    </w:p>
    <w:p>
      <w:pPr>
        <w:spacing w:after="0" w:line="39" w:lineRule="exact"/>
        <w:rPr>
          <w:rFonts w:ascii="Arial" w:cs="Arial" w:eastAsia="Arial" w:hAnsi="Arial"/>
          <w:sz w:val="14"/>
          <w:szCs w:val="14"/>
          <w:color w:val="auto"/>
        </w:rPr>
      </w:pPr>
    </w:p>
    <w:p>
      <w:pPr>
        <w:ind w:left="1467" w:right="60" w:hanging="503"/>
        <w:spacing w:after="0" w:line="249" w:lineRule="auto"/>
        <w:tabs>
          <w:tab w:leader="none" w:pos="1446" w:val="left"/>
        </w:tabs>
        <w:rPr>
          <w:rFonts w:ascii="Arial" w:cs="Arial" w:eastAsia="Arial" w:hAnsi="Arial"/>
          <w:sz w:val="14"/>
          <w:szCs w:val="14"/>
          <w:color w:val="0000FF"/>
        </w:rPr>
      </w:pPr>
      <w:hyperlink r:id="rId141">
        <w:r>
          <w:rPr>
            <w:rFonts w:ascii="Arial" w:cs="Arial" w:eastAsia="Arial" w:hAnsi="Arial"/>
            <w:sz w:val="14"/>
            <w:szCs w:val="14"/>
            <w:u w:val="single" w:color="auto"/>
            <w:color w:val="0000FF"/>
          </w:rPr>
          <w:t>10.17</w:t>
        </w:r>
      </w:hyperlink>
      <w:r>
        <w:rPr>
          <w:rFonts w:ascii="Arial" w:cs="Arial" w:eastAsia="Arial" w:hAnsi="Arial"/>
          <w:sz w:val="14"/>
          <w:szCs w:val="14"/>
          <w:color w:val="0000FF"/>
        </w:rPr>
        <w:tab/>
        <w:t>Senior Loan Agreement, dated as of February 1, 2020, between Port of Beaumont Navigation District of Jefferson County, Texas, as issuer and Jefferson 2020 Bond Borrower LLC, as borrower (incorporated by reference to Exhibit 10.16 of the Company’s Quarterly Report on Form 10-Q, filed on May 1, 2020).</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7071995"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19" w:lineRule="exact"/>
        <w:rPr>
          <w:rFonts w:ascii="Arial" w:cs="Arial" w:eastAsia="Arial" w:hAnsi="Arial"/>
          <w:sz w:val="14"/>
          <w:szCs w:val="14"/>
          <w:color w:val="auto"/>
        </w:rPr>
      </w:pPr>
    </w:p>
    <w:p>
      <w:pPr>
        <w:ind w:left="1467" w:right="80" w:hanging="503"/>
        <w:spacing w:after="0" w:line="249" w:lineRule="auto"/>
        <w:tabs>
          <w:tab w:leader="none" w:pos="1446" w:val="left"/>
        </w:tabs>
        <w:rPr>
          <w:rFonts w:ascii="Arial" w:cs="Arial" w:eastAsia="Arial" w:hAnsi="Arial"/>
          <w:sz w:val="14"/>
          <w:szCs w:val="14"/>
          <w:color w:val="0000FF"/>
        </w:rPr>
      </w:pPr>
      <w:hyperlink r:id="rId143">
        <w:r>
          <w:rPr>
            <w:rFonts w:ascii="Arial" w:cs="Arial" w:eastAsia="Arial" w:hAnsi="Arial"/>
            <w:sz w:val="14"/>
            <w:szCs w:val="14"/>
            <w:u w:val="single" w:color="auto"/>
            <w:color w:val="0000FF"/>
          </w:rPr>
          <w:t>10.18</w:t>
        </w:r>
      </w:hyperlink>
      <w:r>
        <w:rPr>
          <w:rFonts w:ascii="Arial" w:cs="Arial" w:eastAsia="Arial" w:hAnsi="Arial"/>
          <w:sz w:val="14"/>
          <w:szCs w:val="14"/>
          <w:color w:val="0000FF"/>
        </w:rPr>
        <w:tab/>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the Company’s Quarterly Report on Form 10-Q, filed on May 1, 2020).</w:t>
      </w:r>
    </w:p>
    <w:p>
      <w:pPr>
        <w:spacing w:after="0" w:line="39" w:lineRule="exact"/>
        <w:rPr>
          <w:rFonts w:ascii="Arial" w:cs="Arial" w:eastAsia="Arial" w:hAnsi="Arial"/>
          <w:sz w:val="14"/>
          <w:szCs w:val="14"/>
          <w:color w:val="auto"/>
        </w:rPr>
      </w:pPr>
    </w:p>
    <w:p>
      <w:pPr>
        <w:ind w:left="1467" w:right="140" w:hanging="503"/>
        <w:spacing w:after="0" w:line="249" w:lineRule="auto"/>
        <w:tabs>
          <w:tab w:leader="none" w:pos="1446" w:val="left"/>
        </w:tabs>
        <w:rPr>
          <w:rFonts w:ascii="Arial" w:cs="Arial" w:eastAsia="Arial" w:hAnsi="Arial"/>
          <w:sz w:val="14"/>
          <w:szCs w:val="14"/>
          <w:color w:val="0000FF"/>
        </w:rPr>
      </w:pPr>
      <w:hyperlink r:id="rId144">
        <w:r>
          <w:rPr>
            <w:rFonts w:ascii="Arial" w:cs="Arial" w:eastAsia="Arial" w:hAnsi="Arial"/>
            <w:sz w:val="14"/>
            <w:szCs w:val="14"/>
            <w:u w:val="single" w:color="auto"/>
            <w:color w:val="0000FF"/>
          </w:rPr>
          <w:t>10.19</w:t>
        </w:r>
      </w:hyperlink>
      <w:r>
        <w:rPr>
          <w:rFonts w:ascii="Arial" w:cs="Arial" w:eastAsia="Arial" w:hAnsi="Arial"/>
          <w:sz w:val="14"/>
          <w:szCs w:val="14"/>
          <w:color w:val="0000FF"/>
        </w:rPr>
        <w:tab/>
        <w:t>Amended and Restated Lease and Development Agreement, effective as of January 1, 2020, by and between Port of Beaumont Navigation District of Jefferson County, Texas, as lessor, and Jefferson 2020 Bond Lessee LLC, as lessee (incorporated by reference to Exhibit 10.18 of the Company’s Quarterly Report on Form 10-Q, filed on May 1, 2020).</w:t>
      </w: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jc w:val="center"/>
        <w:ind w:right="-6"/>
        <w:spacing w:after="0"/>
        <w:rPr>
          <w:sz w:val="20"/>
          <w:szCs w:val="20"/>
          <w:color w:val="auto"/>
        </w:rPr>
      </w:pPr>
      <w:r>
        <w:rPr>
          <w:rFonts w:ascii="Arial" w:cs="Arial" w:eastAsia="Arial" w:hAnsi="Arial"/>
          <w:sz w:val="16"/>
          <w:szCs w:val="16"/>
          <w:color w:val="auto"/>
        </w:rPr>
        <w:t>76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-53340</wp:posOffset>
            </wp:positionH>
            <wp:positionV relativeFrom="paragraph">
              <wp:posOffset>212090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7"/>
          </w:cols>
          <w:pgMar w:left="393" w:top="1085" w:right="399" w:bottom="1440" w:gutter="0" w:footer="0" w:header="0"/>
        </w:sectPr>
      </w:pPr>
    </w:p>
    <w:bookmarkStart w:id="77" w:name="page78"/>
    <w:bookmarkEnd w:id="77"/>
    <w:p>
      <w:pPr>
        <w:ind w:left="567"/>
        <w:spacing w:after="0"/>
        <w:tabs>
          <w:tab w:leader="none" w:pos="5866"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07199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40" w:lineRule="exact"/>
        <w:rPr>
          <w:sz w:val="20"/>
          <w:szCs w:val="20"/>
          <w:color w:val="auto"/>
        </w:rPr>
      </w:pPr>
    </w:p>
    <w:p>
      <w:pPr>
        <w:ind w:left="1027"/>
        <w:spacing w:after="0"/>
        <w:tabs>
          <w:tab w:leader="none" w:pos="1446" w:val="left"/>
        </w:tabs>
        <w:rPr>
          <w:rFonts w:ascii="Arial" w:cs="Arial" w:eastAsia="Arial" w:hAnsi="Arial"/>
          <w:sz w:val="14"/>
          <w:szCs w:val="14"/>
          <w:color w:val="0000FF"/>
        </w:rPr>
      </w:pPr>
      <w:hyperlink w:anchor="page80">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28" w:lineRule="exact"/>
        <w:rPr>
          <w:sz w:val="20"/>
          <w:szCs w:val="20"/>
          <w:color w:val="auto"/>
        </w:rPr>
      </w:pPr>
    </w:p>
    <w:p>
      <w:pPr>
        <w:ind w:left="1027"/>
        <w:spacing w:after="0"/>
        <w:tabs>
          <w:tab w:leader="none" w:pos="1446" w:val="left"/>
        </w:tabs>
        <w:rPr>
          <w:rFonts w:ascii="Arial" w:cs="Arial" w:eastAsia="Arial" w:hAnsi="Arial"/>
          <w:sz w:val="14"/>
          <w:szCs w:val="14"/>
          <w:color w:val="0000FF"/>
        </w:rPr>
      </w:pPr>
      <w:hyperlink w:anchor="page81">
        <w:r>
          <w:rPr>
            <w:rFonts w:ascii="Arial" w:cs="Arial" w:eastAsia="Arial" w:hAnsi="Arial"/>
            <w:sz w:val="14"/>
            <w:szCs w:val="14"/>
            <w:u w:val="single" w:color="auto"/>
            <w:color w:val="0000FF"/>
          </w:rPr>
          <w:t>31.2</w:t>
        </w:r>
      </w:hyperlink>
      <w:r>
        <w:rPr>
          <w:rFonts w:ascii="Arial" w:cs="Arial" w:eastAsia="Arial" w:hAnsi="Arial"/>
          <w:sz w:val="14"/>
          <w:szCs w:val="14"/>
          <w:color w:val="0000FF"/>
        </w:rPr>
        <w:tab/>
        <w:t>Certification of Chief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r>
    </w:p>
    <w:p>
      <w:pPr>
        <w:spacing w:after="0" w:line="8" w:lineRule="exact"/>
        <w:rPr>
          <w:sz w:val="20"/>
          <w:szCs w:val="20"/>
          <w:color w:val="auto"/>
        </w:rPr>
      </w:pPr>
    </w:p>
    <w:p>
      <w:pPr>
        <w:ind w:left="1027"/>
        <w:spacing w:after="0"/>
        <w:tabs>
          <w:tab w:leader="none" w:pos="1446" w:val="left"/>
        </w:tabs>
        <w:rPr>
          <w:rFonts w:ascii="Arial" w:cs="Arial" w:eastAsia="Arial" w:hAnsi="Arial"/>
          <w:sz w:val="14"/>
          <w:szCs w:val="14"/>
          <w:color w:val="0000FF"/>
        </w:rPr>
      </w:pPr>
      <w:hyperlink w:anchor="page82">
        <w:r>
          <w:rPr>
            <w:rFonts w:ascii="Arial" w:cs="Arial" w:eastAsia="Arial" w:hAnsi="Arial"/>
            <w:sz w:val="14"/>
            <w:szCs w:val="14"/>
            <w:u w:val="single" w:color="auto"/>
            <w:color w:val="0000FF"/>
          </w:rPr>
          <w:t>32.1</w:t>
        </w:r>
      </w:hyperlink>
      <w:r>
        <w:rPr>
          <w:rFonts w:ascii="Arial" w:cs="Arial" w:eastAsia="Arial" w:hAnsi="Arial"/>
          <w:sz w:val="14"/>
          <w:szCs w:val="14"/>
          <w:color w:val="0000FF"/>
        </w:rPr>
        <w:tab/>
        <w:t>Certification of Chief Executive Officer pursuant to 18 U.S.C. Section 1350, as adopted pursuant to Section 906 of the Sarbanes-Oxley Act of 2002.</w:t>
      </w:r>
    </w:p>
    <w:p>
      <w:pPr>
        <w:spacing w:after="0" w:line="28" w:lineRule="exact"/>
        <w:rPr>
          <w:sz w:val="20"/>
          <w:szCs w:val="20"/>
          <w:color w:val="auto"/>
        </w:rPr>
      </w:pPr>
    </w:p>
    <w:p>
      <w:pPr>
        <w:ind w:left="1027"/>
        <w:spacing w:after="0"/>
        <w:tabs>
          <w:tab w:leader="none" w:pos="1446" w:val="left"/>
        </w:tabs>
        <w:rPr>
          <w:rFonts w:ascii="Arial" w:cs="Arial" w:eastAsia="Arial" w:hAnsi="Arial"/>
          <w:sz w:val="14"/>
          <w:szCs w:val="14"/>
          <w:color w:val="0000FF"/>
        </w:rPr>
      </w:pPr>
      <w:hyperlink w:anchor="page83">
        <w:r>
          <w:rPr>
            <w:rFonts w:ascii="Arial" w:cs="Arial" w:eastAsia="Arial" w:hAnsi="Arial"/>
            <w:sz w:val="14"/>
            <w:szCs w:val="14"/>
            <w:u w:val="single" w:color="auto"/>
            <w:color w:val="0000FF"/>
          </w:rPr>
          <w:t>32.2</w:t>
        </w:r>
      </w:hyperlink>
      <w:r>
        <w:rPr>
          <w:rFonts w:ascii="Arial" w:cs="Arial" w:eastAsia="Arial" w:hAnsi="Arial"/>
          <w:sz w:val="14"/>
          <w:szCs w:val="14"/>
          <w:color w:val="0000FF"/>
        </w:rPr>
        <w:tab/>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071995"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071995" cy="377190"/>
                    </a:xfrm>
                    <a:prstGeom prst="rect">
                      <a:avLst/>
                    </a:prstGeom>
                    <a:noFill/>
                  </pic:spPr>
                </pic:pic>
              </a:graphicData>
            </a:graphic>
          </wp:anchor>
        </w:drawing>
      </w:r>
    </w:p>
    <w:p>
      <w:pPr>
        <w:spacing w:after="0" w:line="8" w:lineRule="exact"/>
        <w:rPr>
          <w:sz w:val="20"/>
          <w:szCs w:val="20"/>
          <w:color w:val="auto"/>
        </w:rPr>
      </w:pPr>
    </w:p>
    <w:p>
      <w:pPr>
        <w:ind w:left="1467" w:hanging="442"/>
        <w:spacing w:after="0" w:line="215" w:lineRule="auto"/>
        <w:tabs>
          <w:tab w:leader="none" w:pos="14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Quarterly Report on Form 10-Q for the quarter ended March 31, 2021,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p>
      <w:pPr>
        <w:spacing w:after="0" w:line="17" w:lineRule="exact"/>
        <w:rPr>
          <w:sz w:val="20"/>
          <w:szCs w:val="20"/>
          <w:color w:val="auto"/>
        </w:rPr>
      </w:pPr>
    </w:p>
    <w:p>
      <w:pPr>
        <w:ind w:left="1467" w:hanging="442"/>
        <w:spacing w:after="0"/>
        <w:tabs>
          <w:tab w:leader="none" w:pos="1467" w:val="left"/>
        </w:tabs>
        <w:numPr>
          <w:ilvl w:val="1"/>
          <w:numId w:val="36"/>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4" w:lineRule="exact"/>
        <w:rPr>
          <w:rFonts w:ascii="Arial" w:cs="Arial" w:eastAsia="Arial" w:hAnsi="Arial"/>
          <w:sz w:val="14"/>
          <w:szCs w:val="14"/>
          <w:color w:val="auto"/>
        </w:rPr>
      </w:pPr>
    </w:p>
    <w:p>
      <w:pPr>
        <w:ind w:left="227" w:hanging="227"/>
        <w:spacing w:after="0"/>
        <w:tabs>
          <w:tab w:leader="none" w:pos="227"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-104140</wp:posOffset>
            </wp:positionV>
            <wp:extent cx="7071995"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spacing w:after="0" w:line="8" w:lineRule="exact"/>
        <w:rPr>
          <w:sz w:val="20"/>
          <w:szCs w:val="20"/>
          <w:color w:val="auto"/>
        </w:rPr>
      </w:pPr>
    </w:p>
    <w:p>
      <w:pPr>
        <w:ind w:left="227" w:hanging="227"/>
        <w:spacing w:after="0"/>
        <w:tabs>
          <w:tab w:leader="none" w:pos="227"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Portions of this exhibit have been omitted.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212090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7"/>
          </w:cols>
          <w:pgMar w:left="393" w:top="1085" w:right="4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c>
          <w:tcPr>
            <w:tcW w:w="4500" w:type="dxa"/>
            <w:vAlign w:val="bottom"/>
          </w:tcPr>
          <w:p>
            <w:pPr>
              <w:ind w:left="382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30, 2021</w:t>
            </w:r>
          </w:p>
        </w:tc>
      </w:tr>
      <w:tr>
        <w:trPr>
          <w:trHeight w:val="206"/>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Joseph P. Adams, Jr.</w:t>
            </w: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Chairman and Chief Executive Officer</w:t>
            </w:r>
          </w:p>
        </w:tc>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70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c>
          <w:tcPr>
            <w:tcW w:w="4500" w:type="dxa"/>
            <w:vAlign w:val="bottom"/>
          </w:tcPr>
          <w:p>
            <w:pPr>
              <w:ind w:left="380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30, 2021</w:t>
            </w:r>
          </w:p>
        </w:tc>
      </w:tr>
      <w:tr>
        <w:trPr>
          <w:trHeight w:val="206"/>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Scott Christopher</w:t>
            </w: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705"/>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Nam</w:t>
            </w:r>
          </w:p>
        </w:tc>
        <w:tc>
          <w:tcPr>
            <w:tcW w:w="4500" w:type="dxa"/>
            <w:vAlign w:val="bottom"/>
          </w:tcPr>
          <w:p>
            <w:pPr>
              <w:ind w:left="3800"/>
              <w:spacing w:after="0"/>
              <w:rPr>
                <w:sz w:val="20"/>
                <w:szCs w:val="20"/>
                <w:color w:val="auto"/>
              </w:rPr>
            </w:pPr>
            <w:r>
              <w:rPr>
                <w:rFonts w:ascii="Arial" w:cs="Arial" w:eastAsia="Arial" w:hAnsi="Arial"/>
                <w:sz w:val="16"/>
                <w:szCs w:val="16"/>
                <w:color w:val="auto"/>
              </w:rPr>
              <w:t>Date:</w:t>
            </w:r>
          </w:p>
        </w:tc>
        <w:tc>
          <w:tcPr>
            <w:tcW w:w="1280" w:type="dxa"/>
            <w:vAlign w:val="bottom"/>
          </w:tcPr>
          <w:p>
            <w:pPr>
              <w:ind w:left="280"/>
              <w:spacing w:after="0"/>
              <w:rPr>
                <w:sz w:val="20"/>
                <w:szCs w:val="20"/>
                <w:color w:val="auto"/>
              </w:rPr>
            </w:pPr>
            <w:r>
              <w:rPr>
                <w:rFonts w:ascii="Arial" w:cs="Arial" w:eastAsia="Arial" w:hAnsi="Arial"/>
                <w:sz w:val="16"/>
                <w:szCs w:val="16"/>
                <w:color w:val="auto"/>
                <w:w w:val="99"/>
              </w:rPr>
              <w:t>April 30, 2021</w:t>
            </w:r>
          </w:p>
        </w:tc>
      </w:tr>
      <w:tr>
        <w:trPr>
          <w:trHeight w:val="206"/>
        </w:trPr>
        <w:tc>
          <w:tcPr>
            <w:tcW w:w="52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Eun Nam</w:t>
            </w:r>
          </w:p>
        </w:tc>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Chief Accounting Officer</w:t>
            </w:r>
          </w:p>
        </w:tc>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932"/>
        </w:trPr>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00" w:type="dxa"/>
            <w:vAlign w:val="bottom"/>
          </w:tcPr>
          <w:p>
            <w:pPr>
              <w:jc w:val="right"/>
              <w:ind w:right="2859"/>
              <w:spacing w:after="0"/>
              <w:rPr>
                <w:sz w:val="20"/>
                <w:szCs w:val="20"/>
                <w:color w:val="auto"/>
              </w:rPr>
            </w:pPr>
            <w:r>
              <w:rPr>
                <w:rFonts w:ascii="Arial" w:cs="Arial" w:eastAsia="Arial" w:hAnsi="Arial"/>
                <w:sz w:val="16"/>
                <w:szCs w:val="16"/>
                <w:color w:val="auto"/>
              </w:rPr>
              <w:t>78</w:t>
            </w:r>
          </w:p>
        </w:tc>
        <w:tc>
          <w:tcPr>
            <w:tcW w:w="128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652"/>
        <w:spacing w:after="0" w:line="260" w:lineRule="auto"/>
        <w:tabs>
          <w:tab w:leader="none" w:pos="37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30, 2021</w:t>
            </w:r>
          </w:p>
        </w:tc>
        <w:tc>
          <w:tcPr>
            <w:tcW w:w="53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6"/>
        </w:trPr>
        <w:tc>
          <w:tcPr>
            <w:tcW w:w="2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left="660" w:hanging="652"/>
        <w:spacing w:after="0" w:line="253" w:lineRule="auto"/>
        <w:tabs>
          <w:tab w:leader="none" w:pos="3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hanging="652"/>
        <w:spacing w:after="0" w:line="260" w:lineRule="auto"/>
        <w:tabs>
          <w:tab w:leader="none" w:pos="41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hanging="652"/>
        <w:spacing w:after="0" w:line="253" w:lineRule="auto"/>
        <w:tabs>
          <w:tab w:leader="none" w:pos="4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hanging="644"/>
        <w:spacing w:after="0" w:line="253" w:lineRule="auto"/>
        <w:tabs>
          <w:tab w:leader="none" w:pos="1042" w:val="left"/>
        </w:tabs>
        <w:numPr>
          <w:ilvl w:val="2"/>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hanging="644"/>
        <w:spacing w:after="0" w:line="253" w:lineRule="auto"/>
        <w:tabs>
          <w:tab w:leader="none" w:pos="1171" w:val="left"/>
        </w:tabs>
        <w:numPr>
          <w:ilvl w:val="2"/>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left="1300" w:hanging="644"/>
        <w:spacing w:after="0" w:line="260" w:lineRule="auto"/>
        <w:tabs>
          <w:tab w:leader="none" w:pos="1109" w:val="left"/>
        </w:tabs>
        <w:numPr>
          <w:ilvl w:val="2"/>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hanging="644"/>
        <w:spacing w:after="0" w:line="253" w:lineRule="auto"/>
        <w:tabs>
          <w:tab w:leader="none" w:pos="1053" w:val="left"/>
        </w:tabs>
        <w:numPr>
          <w:ilvl w:val="2"/>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hanging="571"/>
        <w:spacing w:after="0" w:line="260" w:lineRule="auto"/>
        <w:tabs>
          <w:tab w:leader="none" w:pos="4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644"/>
        <w:spacing w:after="0" w:line="260" w:lineRule="auto"/>
        <w:tabs>
          <w:tab w:leader="none" w:pos="1035" w:val="left"/>
        </w:tabs>
        <w:numPr>
          <w:ilvl w:val="2"/>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0" w:hanging="644"/>
        <w:spacing w:after="0" w:line="260" w:lineRule="auto"/>
        <w:tabs>
          <w:tab w:leader="none" w:pos="1023" w:val="left"/>
        </w:tabs>
        <w:numPr>
          <w:ilvl w:val="2"/>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April 30, 2021</w:t>
            </w:r>
          </w:p>
        </w:tc>
        <w:tc>
          <w:tcPr>
            <w:tcW w:w="5560" w:type="dxa"/>
            <w:vAlign w:val="bottom"/>
          </w:tcPr>
          <w:p>
            <w:pPr>
              <w:spacing w:after="0"/>
              <w:rPr>
                <w:sz w:val="17"/>
                <w:szCs w:val="17"/>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4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16"/>
        </w:trPr>
        <w:tc>
          <w:tcPr>
            <w:tcW w:w="1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1"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2021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30, 2021</w:t>
      </w:r>
    </w:p>
    <w:p>
      <w:pPr>
        <w:sectPr>
          <w:pgSz w:w="11900" w:h="16838" w:orient="portrait"/>
          <w:cols w:equalWidth="0" w:num="1">
            <w:col w:w="11240"/>
          </w:cols>
          <w:pgMar w:left="320" w:top="89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2021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8"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49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April 30,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01"/>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6" Type="http://schemas.openxmlformats.org/officeDocument/2006/relationships/image" Target="media/image85.png"/><Relationship Id="rId99" Type="http://schemas.openxmlformats.org/officeDocument/2006/relationships/image" Target="media/image86.png"/><Relationship Id="rId102" Type="http://schemas.openxmlformats.org/officeDocument/2006/relationships/image" Target="media/image87.png"/><Relationship Id="rId105" Type="http://schemas.openxmlformats.org/officeDocument/2006/relationships/image" Target="media/image88.png"/><Relationship Id="rId107" Type="http://schemas.openxmlformats.org/officeDocument/2006/relationships/image" Target="media/image89.png"/><Relationship Id="rId110" Type="http://schemas.openxmlformats.org/officeDocument/2006/relationships/image" Target="media/image90.png"/><Relationship Id="rId112"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8" Type="http://schemas.openxmlformats.org/officeDocument/2006/relationships/image" Target="media/image94.png"/><Relationship Id="rId122" Type="http://schemas.openxmlformats.org/officeDocument/2006/relationships/image" Target="media/image95.png"/><Relationship Id="rId124" Type="http://schemas.openxmlformats.org/officeDocument/2006/relationships/image" Target="media/image96.png"/><Relationship Id="rId127" Type="http://schemas.openxmlformats.org/officeDocument/2006/relationships/image" Target="media/image97.png"/><Relationship Id="rId130" Type="http://schemas.openxmlformats.org/officeDocument/2006/relationships/image" Target="media/image98.png"/><Relationship Id="rId134" Type="http://schemas.openxmlformats.org/officeDocument/2006/relationships/image" Target="media/image99.png"/><Relationship Id="rId136" Type="http://schemas.openxmlformats.org/officeDocument/2006/relationships/image" Target="media/image100.png"/><Relationship Id="rId139" Type="http://schemas.openxmlformats.org/officeDocument/2006/relationships/image" Target="media/image101.png"/><Relationship Id="rId142"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89" Type="http://schemas.openxmlformats.org/officeDocument/2006/relationships/hyperlink" Target="http://www.sec.gov/Archives/edgar/data/1590364/000114036120000280/ex2_1.htm" TargetMode="External"/><Relationship Id="rId90" Type="http://schemas.openxmlformats.org/officeDocument/2006/relationships/hyperlink" Target="http://www.sec.gov/Archives/edgar/data/1590364/000119312515163776/d616610dex31.htm" TargetMode="External"/><Relationship Id="rId92" Type="http://schemas.openxmlformats.org/officeDocument/2006/relationships/hyperlink" Target="http://www.sec.gov/Archives/edgar/data/1590364/000114036121009916/nt10021826x5_ex3-2.htm" TargetMode="External"/><Relationship Id="rId95" Type="http://schemas.openxmlformats.org/officeDocument/2006/relationships/hyperlink" Target="http://www.sec.gov/Archives/edgar/data/1590364/000095015717000381/ex4-1.htm" TargetMode="External"/><Relationship Id="rId97" Type="http://schemas.openxmlformats.org/officeDocument/2006/relationships/hyperlink" Target="http://www.sec.gov/Archives/edgar/data/1590364/000159036418000003/ftai12312017exhibit43.htm" TargetMode="External"/><Relationship Id="rId98" Type="http://schemas.openxmlformats.org/officeDocument/2006/relationships/hyperlink" Target="http://www.sec.gov/Archives/edgar/data/1590364/000095015717001232/ex4-1.htm" TargetMode="External"/><Relationship Id="rId100" Type="http://schemas.openxmlformats.org/officeDocument/2006/relationships/hyperlink" Target="http://www.sec.gov/Archives/edgar/data/1590364/000114036117046889/s001999x5_ex4-1.htm" TargetMode="External"/><Relationship Id="rId101" Type="http://schemas.openxmlformats.org/officeDocument/2006/relationships/hyperlink" Target="http://www.sec.gov/Archives/edgar/data/1590364/000114036118026546/ex4_1.htm" TargetMode="External"/><Relationship Id="rId103" Type="http://schemas.openxmlformats.org/officeDocument/2006/relationships/hyperlink" Target="http://www.sec.gov/Archives/edgar/data/1590364/000114036119002776/s002571x8_ex4-1.htm" TargetMode="External"/><Relationship Id="rId104" Type="http://schemas.openxmlformats.org/officeDocument/2006/relationships/hyperlink" Target="http://www.sec.gov/Archives/edgar/data/1590364/000114036118038650/ex4_1.htm" TargetMode="External"/><Relationship Id="rId106" Type="http://schemas.openxmlformats.org/officeDocument/2006/relationships/hyperlink" Target="http://www.sec.gov/Archives/edgar/data/1590364/000114036119009546/nc10001919x3_ex4-1.htm" TargetMode="External"/><Relationship Id="rId108" Type="http://schemas.openxmlformats.org/officeDocument/2006/relationships/hyperlink" Target="http://www.sec.gov/Archives/edgar/data/1590364/000114036120029408/brhc10018302_ex4-1.htm" TargetMode="External"/><Relationship Id="rId109" Type="http://schemas.openxmlformats.org/officeDocument/2006/relationships/hyperlink" Target="http://www.sec.gov/Archives/edgar/data/1590364/000114036121012434/nt10022837x5_ex4-1.htm" TargetMode="External"/><Relationship Id="rId111" Type="http://schemas.openxmlformats.org/officeDocument/2006/relationships/hyperlink" Target="http://www.sec.gov/Archives/edgar/data/1590364/000114036119016562/ex3_2.htm#Exhibit4.1" TargetMode="External"/><Relationship Id="rId113" Type="http://schemas.openxmlformats.org/officeDocument/2006/relationships/hyperlink" Target="http://www.sec.gov/Archives/edgar/data/1590364/000114036119021576/nc10006381x2_ex3-2.htm" TargetMode="External"/><Relationship Id="rId116" Type="http://schemas.openxmlformats.org/officeDocument/2006/relationships/hyperlink" Target="http://www.sec.gov/Archives/edgar/data/1590364/000159036420000002/ftai12312019exhibit413.htm" TargetMode="External"/><Relationship Id="rId117" Type="http://schemas.openxmlformats.org/officeDocument/2006/relationships/hyperlink" Target="http://www.sec.gov/Archives/edgar/data/1590364/000119312515197222/d931434dex101.htm" TargetMode="External"/><Relationship Id="rId119" Type="http://schemas.openxmlformats.org/officeDocument/2006/relationships/hyperlink" Target="http://www.sec.gov/Archives/edgar/data/1590364/000119312515197222/d931434dex102.htm" TargetMode="External"/><Relationship Id="rId120" Type="http://schemas.openxmlformats.org/officeDocument/2006/relationships/hyperlink" Target="http://www.sec.gov/Archives/edgar/data/1590364/000119312515163776/d616610dex103.htm" TargetMode="External"/><Relationship Id="rId121" Type="http://schemas.openxmlformats.org/officeDocument/2006/relationships/hyperlink" Target="http://www.sec.gov/Archives/edgar/data/1590364/000119312515197222/d931434dex104.htm" TargetMode="External"/><Relationship Id="rId123" Type="http://schemas.openxmlformats.org/officeDocument/2006/relationships/hyperlink" Target="http://www.sec.gov/Archives/edgar/data/1590364/000119312515163776/d616610dex105.htm" TargetMode="External"/><Relationship Id="rId125" Type="http://schemas.openxmlformats.org/officeDocument/2006/relationships/hyperlink" Target="http://www.sec.gov/Archives/edgar/data/1590364/000156761917001299/s001761x1_ex10-1.htm" TargetMode="External"/><Relationship Id="rId126" Type="http://schemas.openxmlformats.org/officeDocument/2006/relationships/hyperlink" Target="http://www.sec.gov/Archives/edgar/data/1590364/000159036418000010/creditagreement-exhibit1015.htm" TargetMode="External"/><Relationship Id="rId128" Type="http://schemas.openxmlformats.org/officeDocument/2006/relationships/hyperlink" Target="http://www.sec.gov/Archives/edgar/data/1590364/000114036119002813/s002571x9_ex10-1.htm" TargetMode="External"/><Relationship Id="rId129" Type="http://schemas.openxmlformats.org/officeDocument/2006/relationships/hyperlink" Target="http://www.sec.gov/Archives/edgar/data/1590364/000114036119014758/ex10_1.htm" TargetMode="External"/><Relationship Id="rId131" Type="http://schemas.openxmlformats.org/officeDocument/2006/relationships/hyperlink" Target="http://www.sec.gov/Archives/edgar/data/1590364/000159036420000007/ftaifourthamendment2020.htm" TargetMode="External"/><Relationship Id="rId132" Type="http://schemas.openxmlformats.org/officeDocument/2006/relationships/hyperlink" Target="http://www.sec.gov/Archives/edgar/data/1590364/000159036419000004/epccontract-exhibit1017.htm" TargetMode="External"/><Relationship Id="rId133" Type="http://schemas.openxmlformats.org/officeDocument/2006/relationships/hyperlink" Target="http://www.sec.gov/Archives/edgar/data/1590364/000159036419000004/geequipmentsupplyagreement.htm" TargetMode="External"/><Relationship Id="rId135" Type="http://schemas.openxmlformats.org/officeDocument/2006/relationships/hyperlink" Target="http://www.sec.gov/Archives/edgar/data/1590364/000159036419000004/firstliencreditagreement-e.htm" TargetMode="External"/><Relationship Id="rId137" Type="http://schemas.openxmlformats.org/officeDocument/2006/relationships/hyperlink" Target="http://www.sec.gov/Archives/edgar/data/1590364/000159036419000004/secondliencreditagreement-.htm" TargetMode="External"/><Relationship Id="rId138" Type="http://schemas.openxmlformats.org/officeDocument/2006/relationships/hyperlink" Target="http://www.sec.gov/Archives/edgar/data/1590364/000114036118002262/s002014x3_ex10-1.htm" TargetMode="External"/><Relationship Id="rId140" Type="http://schemas.openxmlformats.org/officeDocument/2006/relationships/hyperlink" Target="http://www.sec.gov/Archives/edgar/data/1590364/000159036420000005/jeffersonintercompanyr.htm" TargetMode="External"/><Relationship Id="rId141" Type="http://schemas.openxmlformats.org/officeDocument/2006/relationships/hyperlink" Target="http://www.sec.gov/Archives/edgar/data/1590364/000159036420000005/jeffersonseniorloanagr.htm" TargetMode="External"/><Relationship Id="rId143" Type="http://schemas.openxmlformats.org/officeDocument/2006/relationships/hyperlink" Target="http://www.sec.gov/Archives/edgar/data/1590364/000159036420000005/jeffersondeedoftrust.htm" TargetMode="External"/><Relationship Id="rId144" Type="http://schemas.openxmlformats.org/officeDocument/2006/relationships/hyperlink" Target="http://www.sec.gov/Archives/edgar/data/1590364/000159036420000005/jeffersonfacilities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2021-04-30T15:34:09Z</dcterms:created>
  <dcterms:modified xsi:type="dcterms:W3CDTF">2021-04-30T15:34:09Z</dcterms:modified>
</cp:coreProperties>
</file>