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4"/>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9080" w:type="dxa"/>
            <w:vAlign w:val="bottom"/>
          </w:tcPr>
          <w:p>
            <w:pPr>
              <w:jc w:val="center"/>
              <w:ind w:left="54"/>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406"/>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4"/>
              <w:spacing w:after="0"/>
              <w:rPr>
                <w:sz w:val="20"/>
                <w:szCs w:val="20"/>
                <w:color w:val="auto"/>
              </w:rPr>
            </w:pPr>
            <w:r>
              <w:rPr>
                <w:rFonts w:ascii="Arial" w:cs="Arial" w:eastAsia="Arial" w:hAnsi="Arial"/>
                <w:sz w:val="25"/>
                <w:szCs w:val="25"/>
                <w:b w:val="1"/>
                <w:bCs w:val="1"/>
                <w:color w:val="auto"/>
                <w:w w:val="99"/>
              </w:rPr>
              <w:t>FORM 10-Q</w:t>
            </w:r>
          </w:p>
        </w:tc>
        <w:tc>
          <w:tcPr>
            <w:tcW w:w="0" w:type="dxa"/>
            <w:vAlign w:val="bottom"/>
          </w:tcPr>
          <w:p>
            <w:pPr>
              <w:spacing w:after="0"/>
              <w:rPr>
                <w:sz w:val="1"/>
                <w:szCs w:val="1"/>
                <w:color w:val="auto"/>
              </w:rPr>
            </w:pPr>
          </w:p>
        </w:tc>
      </w:tr>
      <w:tr>
        <w:trPr>
          <w:trHeight w:val="268"/>
        </w:trPr>
        <w:tc>
          <w:tcPr>
            <w:tcW w:w="1000" w:type="dxa"/>
            <w:vAlign w:val="bottom"/>
            <w:vMerge w:val="continue"/>
          </w:tcPr>
          <w:p>
            <w:pPr>
              <w:spacing w:after="0"/>
              <w:rPr>
                <w:sz w:val="23"/>
                <w:szCs w:val="23"/>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473"/>
        </w:trPr>
        <w:tc>
          <w:tcPr>
            <w:tcW w:w="1000" w:type="dxa"/>
            <w:vAlign w:val="bottom"/>
          </w:tcPr>
          <w:p>
            <w:pPr>
              <w:spacing w:after="0"/>
              <w:rPr>
                <w:sz w:val="24"/>
                <w:szCs w:val="24"/>
                <w:color w:val="auto"/>
              </w:rPr>
            </w:pPr>
          </w:p>
        </w:tc>
        <w:tc>
          <w:tcPr>
            <w:tcW w:w="9080" w:type="dxa"/>
            <w:vAlign w:val="bottom"/>
          </w:tcPr>
          <w:p>
            <w:pPr>
              <w:jc w:val="center"/>
              <w:ind w:left="54"/>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4"/>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69"/>
        </w:trPr>
        <w:tc>
          <w:tcPr>
            <w:tcW w:w="1000" w:type="dxa"/>
            <w:vAlign w:val="bottom"/>
            <w:vMerge w:val="continue"/>
          </w:tcPr>
          <w:p>
            <w:pPr>
              <w:spacing w:after="0"/>
              <w:rPr>
                <w:sz w:val="23"/>
                <w:szCs w:val="23"/>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28"/>
        </w:trPr>
        <w:tc>
          <w:tcPr>
            <w:tcW w:w="1000" w:type="dxa"/>
            <w:vAlign w:val="bottom"/>
          </w:tcPr>
          <w:p>
            <w:pPr>
              <w:spacing w:after="0"/>
              <w:rPr>
                <w:sz w:val="24"/>
                <w:szCs w:val="24"/>
                <w:color w:val="auto"/>
              </w:rPr>
            </w:pPr>
          </w:p>
        </w:tc>
        <w:tc>
          <w:tcPr>
            <w:tcW w:w="9080" w:type="dxa"/>
            <w:vAlign w:val="bottom"/>
          </w:tcPr>
          <w:p>
            <w:pPr>
              <w:jc w:val="center"/>
              <w:ind w:left="34"/>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9080" w:type="dxa"/>
            <w:vAlign w:val="bottom"/>
          </w:tcPr>
          <w:p>
            <w:pPr>
              <w:jc w:val="center"/>
              <w:ind w:left="34"/>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149860</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3740" w:type="dxa"/>
            <w:vAlign w:val="bottom"/>
            <w:gridSpan w:val="3"/>
          </w:tcPr>
          <w:p>
            <w:pPr>
              <w:ind w:left="40"/>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483"/>
        </w:trPr>
        <w:tc>
          <w:tcPr>
            <w:tcW w:w="3740" w:type="dxa"/>
            <w:vAlign w:val="bottom"/>
            <w:tcBorders>
              <w:bottom w:val="single" w:sz="8" w:color="auto"/>
            </w:tcBorders>
          </w:tcPr>
          <w:p>
            <w:pPr>
              <w:jc w:val="center"/>
              <w:ind w:left="2359"/>
              <w:spacing w:after="0"/>
              <w:rPr>
                <w:sz w:val="20"/>
                <w:szCs w:val="20"/>
                <w:color w:val="auto"/>
              </w:rPr>
            </w:pPr>
            <w:r>
              <w:rPr>
                <w:rFonts w:ascii="Arial" w:cs="Arial" w:eastAsia="Arial" w:hAnsi="Arial"/>
                <w:sz w:val="16"/>
                <w:szCs w:val="16"/>
                <w:b w:val="1"/>
                <w:bCs w:val="1"/>
                <w:color w:val="auto"/>
                <w:w w:val="99"/>
              </w:rPr>
              <w:t>Delaware</w:t>
            </w:r>
          </w:p>
        </w:tc>
        <w:tc>
          <w:tcPr>
            <w:tcW w:w="2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32-0434238</w:t>
            </w:r>
          </w:p>
        </w:tc>
      </w:tr>
      <w:tr>
        <w:trPr>
          <w:trHeight w:val="207"/>
        </w:trPr>
        <w:tc>
          <w:tcPr>
            <w:tcW w:w="628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200" w:type="dxa"/>
            <w:vAlign w:val="bottom"/>
          </w:tcPr>
          <w:p>
            <w:pPr>
              <w:spacing w:after="0"/>
              <w:rPr>
                <w:sz w:val="17"/>
                <w:szCs w:val="17"/>
                <w:color w:val="auto"/>
              </w:rPr>
            </w:pPr>
          </w:p>
        </w:tc>
        <w:tc>
          <w:tcPr>
            <w:tcW w:w="3740" w:type="dxa"/>
            <w:vAlign w:val="bottom"/>
            <w:gridSpan w:val="3"/>
          </w:tcPr>
          <w:p>
            <w:pPr>
              <w:jc w:val="center"/>
              <w:ind w:right="1139"/>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3740" w:type="dxa"/>
            <w:vAlign w:val="bottom"/>
          </w:tcPr>
          <w:p>
            <w:pPr>
              <w:ind w:left="580"/>
              <w:spacing w:after="0"/>
              <w:rPr>
                <w:sz w:val="20"/>
                <w:szCs w:val="20"/>
                <w:color w:val="auto"/>
              </w:rPr>
            </w:pPr>
            <w:r>
              <w:rPr>
                <w:rFonts w:ascii="Arial" w:cs="Arial" w:eastAsia="Arial" w:hAnsi="Arial"/>
                <w:sz w:val="16"/>
                <w:szCs w:val="16"/>
                <w:b w:val="1"/>
                <w:bCs w:val="1"/>
                <w:color w:val="auto"/>
              </w:rPr>
              <w:t>1345 Avenue of the Americas, 45th Floor</w:t>
            </w:r>
          </w:p>
        </w:tc>
        <w:tc>
          <w:tcPr>
            <w:tcW w:w="2540" w:type="dxa"/>
            <w:vAlign w:val="bottom"/>
            <w:gridSpan w:val="2"/>
          </w:tcPr>
          <w:p>
            <w:pPr>
              <w:ind w:left="1180"/>
              <w:spacing w:after="0"/>
              <w:rPr>
                <w:sz w:val="20"/>
                <w:szCs w:val="20"/>
                <w:color w:val="auto"/>
              </w:rPr>
            </w:pPr>
            <w:r>
              <w:rPr>
                <w:rFonts w:ascii="Arial" w:cs="Arial" w:eastAsia="Arial" w:hAnsi="Arial"/>
                <w:sz w:val="16"/>
                <w:szCs w:val="16"/>
                <w:b w:val="1"/>
                <w:bCs w:val="1"/>
                <w:color w:val="auto"/>
              </w:rPr>
              <w:t>New York</w:t>
            </w:r>
          </w:p>
        </w:tc>
        <w:tc>
          <w:tcPr>
            <w:tcW w:w="120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7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06"/>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7"/>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shares, $0.01 par value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A</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8.00% Fixed-to-Floating Rate Series B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B</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1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780" w:type="dxa"/>
        <w:tblCellMar>
          <w:top w:w="0" w:type="dxa"/>
          <w:left w:w="0" w:type="dxa"/>
          <w:bottom w:w="0" w:type="dxa"/>
          <w:right w:w="0" w:type="dxa"/>
        </w:tblCellMar>
      </w:tblPr>
      <w:tr>
        <w:trPr>
          <w:trHeight w:val="20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0"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right="220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85,617,146 common shares representing limited liability company interests outstanding at October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43" w:lineRule="exact"/>
        <w:rPr>
          <w:sz w:val="20"/>
          <w:szCs w:val="20"/>
          <w:color w:val="auto"/>
        </w:rPr>
      </w:pPr>
    </w:p>
    <w:p>
      <w:pPr>
        <w:jc w:val="both"/>
        <w:ind w:left="820" w:right="20" w:hanging="326"/>
        <w:spacing w:after="0" w:line="257"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ongoing COVID-19 pandemic and other public health crises, and any related responses or actions by businesses and governments;</w:t>
      </w:r>
    </w:p>
    <w:p>
      <w:pPr>
        <w:spacing w:after="0" w:line="226"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8820" w:type="dxa"/>
            <w:vAlign w:val="bottom"/>
          </w:tcPr>
          <w:p>
            <w:pPr>
              <w:ind w:left="3860"/>
              <w:spacing w:after="0"/>
              <w:rPr>
                <w:sz w:val="20"/>
                <w:szCs w:val="20"/>
                <w:color w:val="auto"/>
              </w:rPr>
            </w:pPr>
            <w:r>
              <w:rPr>
                <w:rFonts w:ascii="Arial" w:cs="Arial" w:eastAsia="Arial" w:hAnsi="Arial"/>
                <w:sz w:val="14"/>
                <w:szCs w:val="14"/>
                <w:b w:val="1"/>
                <w:bCs w:val="1"/>
                <w:color w:val="006EBF"/>
              </w:rPr>
              <w:t>PART I - FINANCIAL INFORMATION</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vMerge w:val="continue"/>
          </w:tcPr>
          <w:p>
            <w:pPr>
              <w:spacing w:after="0"/>
              <w:rPr>
                <w:sz w:val="16"/>
                <w:szCs w:val="16"/>
                <w:color w:val="auto"/>
              </w:rPr>
            </w:pPr>
          </w:p>
        </w:tc>
        <w:tc>
          <w:tcPr>
            <w:tcW w:w="882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Unaudited Consolidated Financial Statements of Fortress Transportation and Infrastructure Investors LLC:</w:t>
              </w:r>
            </w:hyperlink>
          </w:p>
        </w:tc>
        <w:tc>
          <w:tcPr>
            <w:tcW w:w="1520" w:type="dxa"/>
            <w:vAlign w:val="bottom"/>
          </w:tcPr>
          <w:p>
            <w:pPr>
              <w:jc w:val="center"/>
              <w:ind w:left="128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Balance Sheets as of September 30, 2020 and December 31, 2019</w:t>
              </w:r>
            </w:hyperlink>
          </w:p>
        </w:tc>
        <w:tc>
          <w:tcPr>
            <w:tcW w:w="1520" w:type="dxa"/>
            <w:vAlign w:val="bottom"/>
          </w:tcPr>
          <w:p>
            <w:pPr>
              <w:jc w:val="center"/>
              <w:ind w:left="128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Operations for the three and nine months ended September 30, 2020 and 2019</w:t>
              </w:r>
            </w:hyperlink>
          </w:p>
        </w:tc>
        <w:tc>
          <w:tcPr>
            <w:tcW w:w="1520" w:type="dxa"/>
            <w:vAlign w:val="bottom"/>
          </w:tcPr>
          <w:p>
            <w:pPr>
              <w:jc w:val="center"/>
              <w:ind w:left="1288"/>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8820" w:type="dxa"/>
            <w:vAlign w:val="bottom"/>
          </w:tcPr>
          <w:p>
            <w:pPr>
              <w:ind w:left="220"/>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Comprehensive (Loss) Income for the three and nine months ended</w:t>
              </w:r>
            </w:hyperlink>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8820" w:type="dxa"/>
            <w:vAlign w:val="bottom"/>
          </w:tcPr>
          <w:p>
            <w:pPr>
              <w:ind w:left="220"/>
              <w:spacing w:after="0"/>
              <w:rPr>
                <w:rFonts w:ascii="Arial" w:cs="Arial" w:eastAsia="Arial" w:hAnsi="Arial"/>
                <w:sz w:val="14"/>
                <w:szCs w:val="14"/>
                <w:color w:val="0000FF"/>
              </w:rPr>
            </w:pPr>
            <w:hyperlink w:anchor="page6">
              <w:r>
                <w:rPr>
                  <w:rFonts w:ascii="Arial" w:cs="Arial" w:eastAsia="Arial" w:hAnsi="Arial"/>
                  <w:sz w:val="14"/>
                  <w:szCs w:val="14"/>
                  <w:color w:val="0000FF"/>
                </w:rPr>
                <w:t>September 30, 2020 and 2019</w:t>
              </w:r>
            </w:hyperlink>
          </w:p>
        </w:tc>
        <w:tc>
          <w:tcPr>
            <w:tcW w:w="1520" w:type="dxa"/>
            <w:vAlign w:val="bottom"/>
          </w:tcPr>
          <w:p>
            <w:pPr>
              <w:jc w:val="center"/>
              <w:ind w:left="1288"/>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220"/>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Statement of Changes in Equity for the three and nine months ended September 30, 2020 and 2019</w:t>
              </w:r>
            </w:hyperlink>
          </w:p>
        </w:tc>
        <w:tc>
          <w:tcPr>
            <w:tcW w:w="1520" w:type="dxa"/>
            <w:vAlign w:val="bottom"/>
          </w:tcPr>
          <w:p>
            <w:pPr>
              <w:jc w:val="center"/>
              <w:ind w:left="1288"/>
              <w:spacing w:after="0"/>
              <w:rPr>
                <w:rFonts w:ascii="Arial" w:cs="Arial" w:eastAsia="Arial" w:hAnsi="Arial"/>
                <w:sz w:val="14"/>
                <w:szCs w:val="14"/>
                <w:color w:val="0000FF"/>
              </w:rPr>
            </w:pPr>
            <w:hyperlink w:anchor="page8">
              <w:r>
                <w:rPr>
                  <w:rFonts w:ascii="Arial" w:cs="Arial" w:eastAsia="Arial" w:hAnsi="Arial"/>
                  <w:sz w:val="14"/>
                  <w:szCs w:val="14"/>
                  <w:color w:val="0000FF"/>
                </w:rPr>
                <w:t>8</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220"/>
              <w:spacing w:after="0"/>
              <w:rPr>
                <w:rFonts w:ascii="Arial" w:cs="Arial" w:eastAsia="Arial" w:hAnsi="Arial"/>
                <w:sz w:val="14"/>
                <w:szCs w:val="14"/>
                <w:color w:val="0000FF"/>
              </w:rPr>
            </w:pPr>
            <w:hyperlink w:anchor="page9">
              <w:r>
                <w:rPr>
                  <w:rFonts w:ascii="Arial" w:cs="Arial" w:eastAsia="Arial" w:hAnsi="Arial"/>
                  <w:sz w:val="14"/>
                  <w:szCs w:val="14"/>
                  <w:color w:val="0000FF"/>
                </w:rPr>
                <w:t>Consolidated Statements of Cash Flows for the nine months ended September 30, 2020 and 2019</w:t>
              </w:r>
            </w:hyperlink>
          </w:p>
        </w:tc>
        <w:tc>
          <w:tcPr>
            <w:tcW w:w="1520" w:type="dxa"/>
            <w:vAlign w:val="bottom"/>
          </w:tcPr>
          <w:p>
            <w:pPr>
              <w:jc w:val="center"/>
              <w:ind w:left="1288"/>
              <w:spacing w:after="0"/>
              <w:rPr>
                <w:rFonts w:ascii="Arial" w:cs="Arial" w:eastAsia="Arial" w:hAnsi="Arial"/>
                <w:sz w:val="14"/>
                <w:szCs w:val="14"/>
                <w:color w:val="0000FF"/>
              </w:rPr>
            </w:pPr>
            <w:hyperlink w:anchor="page9">
              <w:r>
                <w:rPr>
                  <w:rFonts w:ascii="Arial" w:cs="Arial" w:eastAsia="Arial" w:hAnsi="Arial"/>
                  <w:sz w:val="14"/>
                  <w:szCs w:val="14"/>
                  <w:color w:val="0000FF"/>
                </w:rPr>
                <w:t>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220"/>
              <w:spacing w:after="0"/>
              <w:rPr>
                <w:rFonts w:ascii="Arial" w:cs="Arial" w:eastAsia="Arial" w:hAnsi="Arial"/>
                <w:sz w:val="14"/>
                <w:szCs w:val="14"/>
                <w:color w:val="0000FF"/>
              </w:rPr>
            </w:pPr>
            <w:hyperlink w:anchor="page11">
              <w:r>
                <w:rPr>
                  <w:rFonts w:ascii="Arial" w:cs="Arial" w:eastAsia="Arial" w:hAnsi="Arial"/>
                  <w:sz w:val="14"/>
                  <w:szCs w:val="14"/>
                  <w:color w:val="0000FF"/>
                </w:rPr>
                <w:t>Notes to Consolidated Financial Statements</w:t>
              </w:r>
            </w:hyperlink>
          </w:p>
        </w:tc>
        <w:tc>
          <w:tcPr>
            <w:tcW w:w="1520" w:type="dxa"/>
            <w:vAlign w:val="bottom"/>
          </w:tcPr>
          <w:p>
            <w:pPr>
              <w:jc w:val="center"/>
              <w:ind w:left="1288"/>
              <w:spacing w:after="0"/>
              <w:rPr>
                <w:rFonts w:ascii="Arial" w:cs="Arial" w:eastAsia="Arial" w:hAnsi="Arial"/>
                <w:sz w:val="14"/>
                <w:szCs w:val="14"/>
                <w:color w:val="0000FF"/>
              </w:rPr>
            </w:pPr>
            <w:hyperlink w:anchor="page11">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12">
              <w:r>
                <w:rPr>
                  <w:rFonts w:ascii="Arial" w:cs="Arial" w:eastAsia="Arial" w:hAnsi="Arial"/>
                  <w:sz w:val="14"/>
                  <w:szCs w:val="14"/>
                  <w:color w:val="0000FF"/>
                </w:rPr>
                <w:t>Note 1: Organization</w:t>
              </w:r>
            </w:hyperlink>
          </w:p>
        </w:tc>
        <w:tc>
          <w:tcPr>
            <w:tcW w:w="1520" w:type="dxa"/>
            <w:vAlign w:val="bottom"/>
          </w:tcPr>
          <w:p>
            <w:pPr>
              <w:jc w:val="center"/>
              <w:ind w:left="128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12">
              <w:r>
                <w:rPr>
                  <w:rFonts w:ascii="Arial" w:cs="Arial" w:eastAsia="Arial" w:hAnsi="Arial"/>
                  <w:sz w:val="14"/>
                  <w:szCs w:val="14"/>
                  <w:color w:val="0000FF"/>
                </w:rPr>
                <w:t>Note 2: Summary of Significant Accounting Policies</w:t>
              </w:r>
            </w:hyperlink>
          </w:p>
        </w:tc>
        <w:tc>
          <w:tcPr>
            <w:tcW w:w="1520" w:type="dxa"/>
            <w:vAlign w:val="bottom"/>
          </w:tcPr>
          <w:p>
            <w:pPr>
              <w:jc w:val="center"/>
              <w:ind w:left="128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16">
              <w:r>
                <w:rPr>
                  <w:rFonts w:ascii="Arial" w:cs="Arial" w:eastAsia="Arial" w:hAnsi="Arial"/>
                  <w:sz w:val="14"/>
                  <w:szCs w:val="14"/>
                  <w:color w:val="0000FF"/>
                </w:rPr>
                <w:t>Note 3: Discontinued Operations</w:t>
              </w:r>
            </w:hyperlink>
          </w:p>
        </w:tc>
        <w:tc>
          <w:tcPr>
            <w:tcW w:w="1520" w:type="dxa"/>
            <w:vAlign w:val="bottom"/>
          </w:tcPr>
          <w:p>
            <w:pPr>
              <w:jc w:val="center"/>
              <w:ind w:left="1288"/>
              <w:spacing w:after="0"/>
              <w:rPr>
                <w:rFonts w:ascii="Arial" w:cs="Arial" w:eastAsia="Arial" w:hAnsi="Arial"/>
                <w:sz w:val="14"/>
                <w:szCs w:val="14"/>
                <w:color w:val="0000FF"/>
              </w:rPr>
            </w:pPr>
            <w:hyperlink w:anchor="page16">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16">
              <w:r>
                <w:rPr>
                  <w:rFonts w:ascii="Arial" w:cs="Arial" w:eastAsia="Arial" w:hAnsi="Arial"/>
                  <w:sz w:val="14"/>
                  <w:szCs w:val="14"/>
                  <w:color w:val="0000FF"/>
                </w:rPr>
                <w:t>Note 4: Leasing Equipment, net</w:t>
              </w:r>
            </w:hyperlink>
          </w:p>
        </w:tc>
        <w:tc>
          <w:tcPr>
            <w:tcW w:w="1520" w:type="dxa"/>
            <w:vAlign w:val="bottom"/>
          </w:tcPr>
          <w:p>
            <w:pPr>
              <w:jc w:val="center"/>
              <w:ind w:left="1288"/>
              <w:spacing w:after="0"/>
              <w:rPr>
                <w:rFonts w:ascii="Arial" w:cs="Arial" w:eastAsia="Arial" w:hAnsi="Arial"/>
                <w:sz w:val="14"/>
                <w:szCs w:val="14"/>
                <w:color w:val="0000FF"/>
              </w:rPr>
            </w:pPr>
            <w:hyperlink w:anchor="page16">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17">
              <w:r>
                <w:rPr>
                  <w:rFonts w:ascii="Arial" w:cs="Arial" w:eastAsia="Arial" w:hAnsi="Arial"/>
                  <w:sz w:val="14"/>
                  <w:szCs w:val="14"/>
                  <w:color w:val="0000FF"/>
                </w:rPr>
                <w:t>Note 5: Finance Leases, net</w:t>
              </w:r>
            </w:hyperlink>
          </w:p>
        </w:tc>
        <w:tc>
          <w:tcPr>
            <w:tcW w:w="1520" w:type="dxa"/>
            <w:vAlign w:val="bottom"/>
          </w:tcPr>
          <w:p>
            <w:pPr>
              <w:jc w:val="center"/>
              <w:ind w:left="1288"/>
              <w:spacing w:after="0"/>
              <w:rPr>
                <w:rFonts w:ascii="Arial" w:cs="Arial" w:eastAsia="Arial" w:hAnsi="Arial"/>
                <w:sz w:val="14"/>
                <w:szCs w:val="14"/>
                <w:color w:val="0000FF"/>
              </w:rPr>
            </w:pPr>
            <w:hyperlink w:anchor="page17">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17">
              <w:r>
                <w:rPr>
                  <w:rFonts w:ascii="Arial" w:cs="Arial" w:eastAsia="Arial" w:hAnsi="Arial"/>
                  <w:sz w:val="14"/>
                  <w:szCs w:val="14"/>
                  <w:color w:val="0000FF"/>
                </w:rPr>
                <w:t>Note 6: Property, Plant and Equipment, net</w:t>
              </w:r>
            </w:hyperlink>
          </w:p>
        </w:tc>
        <w:tc>
          <w:tcPr>
            <w:tcW w:w="1520" w:type="dxa"/>
            <w:vAlign w:val="bottom"/>
          </w:tcPr>
          <w:p>
            <w:pPr>
              <w:jc w:val="center"/>
              <w:ind w:left="1288"/>
              <w:spacing w:after="0"/>
              <w:rPr>
                <w:rFonts w:ascii="Arial" w:cs="Arial" w:eastAsia="Arial" w:hAnsi="Arial"/>
                <w:sz w:val="14"/>
                <w:szCs w:val="14"/>
                <w:color w:val="0000FF"/>
              </w:rPr>
            </w:pPr>
            <w:hyperlink w:anchor="page17">
              <w:r>
                <w:rPr>
                  <w:rFonts w:ascii="Arial" w:cs="Arial" w:eastAsia="Arial" w:hAnsi="Arial"/>
                  <w:sz w:val="14"/>
                  <w:szCs w:val="14"/>
                  <w:color w:val="0000FF"/>
                </w:rPr>
                <w:t>17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18">
              <w:r>
                <w:rPr>
                  <w:rFonts w:ascii="Arial" w:cs="Arial" w:eastAsia="Arial" w:hAnsi="Arial"/>
                  <w:sz w:val="14"/>
                  <w:szCs w:val="14"/>
                  <w:color w:val="0000FF"/>
                </w:rPr>
                <w:t>Note 7: Investments</w:t>
              </w:r>
            </w:hyperlink>
          </w:p>
        </w:tc>
        <w:tc>
          <w:tcPr>
            <w:tcW w:w="1520" w:type="dxa"/>
            <w:vAlign w:val="bottom"/>
          </w:tcPr>
          <w:p>
            <w:pPr>
              <w:jc w:val="center"/>
              <w:ind w:left="1288"/>
              <w:spacing w:after="0"/>
              <w:rPr>
                <w:rFonts w:ascii="Arial" w:cs="Arial" w:eastAsia="Arial" w:hAnsi="Arial"/>
                <w:sz w:val="14"/>
                <w:szCs w:val="14"/>
                <w:color w:val="0000FF"/>
              </w:rPr>
            </w:pPr>
            <w:hyperlink w:anchor="page18">
              <w:r>
                <w:rPr>
                  <w:rFonts w:ascii="Arial" w:cs="Arial" w:eastAsia="Arial" w:hAnsi="Arial"/>
                  <w:sz w:val="14"/>
                  <w:szCs w:val="14"/>
                  <w:color w:val="0000FF"/>
                </w:rPr>
                <w:t>17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19">
              <w:r>
                <w:rPr>
                  <w:rFonts w:ascii="Arial" w:cs="Arial" w:eastAsia="Arial" w:hAnsi="Arial"/>
                  <w:sz w:val="14"/>
                  <w:szCs w:val="14"/>
                  <w:color w:val="0000FF"/>
                </w:rPr>
                <w:t>Note 8: Intangible Assets and Liabilities, net</w:t>
              </w:r>
            </w:hyperlink>
          </w:p>
        </w:tc>
        <w:tc>
          <w:tcPr>
            <w:tcW w:w="1520" w:type="dxa"/>
            <w:vAlign w:val="bottom"/>
          </w:tcPr>
          <w:p>
            <w:pPr>
              <w:jc w:val="center"/>
              <w:ind w:left="1288"/>
              <w:spacing w:after="0"/>
              <w:rPr>
                <w:rFonts w:ascii="Arial" w:cs="Arial" w:eastAsia="Arial" w:hAnsi="Arial"/>
                <w:sz w:val="14"/>
                <w:szCs w:val="14"/>
                <w:color w:val="0000FF"/>
              </w:rPr>
            </w:pPr>
            <w:hyperlink w:anchor="page19">
              <w:r>
                <w:rPr>
                  <w:rFonts w:ascii="Arial" w:cs="Arial" w:eastAsia="Arial" w:hAnsi="Arial"/>
                  <w:sz w:val="14"/>
                  <w:szCs w:val="14"/>
                  <w:color w:val="0000FF"/>
                </w:rPr>
                <w:t>19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21">
              <w:r>
                <w:rPr>
                  <w:rFonts w:ascii="Arial" w:cs="Arial" w:eastAsia="Arial" w:hAnsi="Arial"/>
                  <w:sz w:val="14"/>
                  <w:szCs w:val="14"/>
                  <w:color w:val="0000FF"/>
                </w:rPr>
                <w:t>Note 9: Debt, net</w:t>
              </w:r>
            </w:hyperlink>
          </w:p>
        </w:tc>
        <w:tc>
          <w:tcPr>
            <w:tcW w:w="1520" w:type="dxa"/>
            <w:vAlign w:val="bottom"/>
          </w:tcPr>
          <w:p>
            <w:pPr>
              <w:jc w:val="center"/>
              <w:ind w:left="1288"/>
              <w:spacing w:after="0"/>
              <w:rPr>
                <w:rFonts w:ascii="Arial" w:cs="Arial" w:eastAsia="Arial" w:hAnsi="Arial"/>
                <w:sz w:val="14"/>
                <w:szCs w:val="14"/>
                <w:color w:val="0000FF"/>
              </w:rPr>
            </w:pPr>
            <w:hyperlink w:anchor="page21">
              <w:r>
                <w:rPr>
                  <w:rFonts w:ascii="Arial" w:cs="Arial" w:eastAsia="Arial" w:hAnsi="Arial"/>
                  <w:sz w:val="14"/>
                  <w:szCs w:val="14"/>
                  <w:color w:val="0000FF"/>
                </w:rPr>
                <w:t>20</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23">
              <w:r>
                <w:rPr>
                  <w:rFonts w:ascii="Arial" w:cs="Arial" w:eastAsia="Arial" w:hAnsi="Arial"/>
                  <w:sz w:val="14"/>
                  <w:szCs w:val="14"/>
                  <w:color w:val="0000FF"/>
                </w:rPr>
                <w:t>Note 10: Fair Value Measurements</w:t>
              </w:r>
            </w:hyperlink>
          </w:p>
        </w:tc>
        <w:tc>
          <w:tcPr>
            <w:tcW w:w="1520" w:type="dxa"/>
            <w:vAlign w:val="bottom"/>
          </w:tcPr>
          <w:p>
            <w:pPr>
              <w:jc w:val="center"/>
              <w:ind w:left="1288"/>
              <w:spacing w:after="0"/>
              <w:rPr>
                <w:rFonts w:ascii="Arial" w:cs="Arial" w:eastAsia="Arial" w:hAnsi="Arial"/>
                <w:sz w:val="14"/>
                <w:szCs w:val="14"/>
                <w:color w:val="0000FF"/>
              </w:rPr>
            </w:pPr>
            <w:hyperlink w:anchor="page23">
              <w:r>
                <w:rPr>
                  <w:rFonts w:ascii="Arial" w:cs="Arial" w:eastAsia="Arial" w:hAnsi="Arial"/>
                  <w:sz w:val="14"/>
                  <w:szCs w:val="14"/>
                  <w:color w:val="0000FF"/>
                </w:rPr>
                <w:t>22</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25">
              <w:r>
                <w:rPr>
                  <w:rFonts w:ascii="Arial" w:cs="Arial" w:eastAsia="Arial" w:hAnsi="Arial"/>
                  <w:sz w:val="14"/>
                  <w:szCs w:val="14"/>
                  <w:color w:val="0000FF"/>
                </w:rPr>
                <w:t>Note 11: Derivative Financial Instruments</w:t>
              </w:r>
            </w:hyperlink>
          </w:p>
        </w:tc>
        <w:tc>
          <w:tcPr>
            <w:tcW w:w="1520" w:type="dxa"/>
            <w:vAlign w:val="bottom"/>
          </w:tcPr>
          <w:p>
            <w:pPr>
              <w:jc w:val="center"/>
              <w:ind w:left="1288"/>
              <w:spacing w:after="0"/>
              <w:rPr>
                <w:rFonts w:ascii="Arial" w:cs="Arial" w:eastAsia="Arial" w:hAnsi="Arial"/>
                <w:sz w:val="14"/>
                <w:szCs w:val="14"/>
                <w:color w:val="0000FF"/>
              </w:rPr>
            </w:pPr>
            <w:hyperlink w:anchor="page25">
              <w:r>
                <w:rPr>
                  <w:rFonts w:ascii="Arial" w:cs="Arial" w:eastAsia="Arial" w:hAnsi="Arial"/>
                  <w:sz w:val="14"/>
                  <w:szCs w:val="14"/>
                  <w:color w:val="0000FF"/>
                </w:rPr>
                <w:t>24</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25">
              <w:r>
                <w:rPr>
                  <w:rFonts w:ascii="Arial" w:cs="Arial" w:eastAsia="Arial" w:hAnsi="Arial"/>
                  <w:sz w:val="14"/>
                  <w:szCs w:val="14"/>
                  <w:color w:val="0000FF"/>
                </w:rPr>
                <w:t>Note 12: Revenues</w:t>
              </w:r>
            </w:hyperlink>
          </w:p>
        </w:tc>
        <w:tc>
          <w:tcPr>
            <w:tcW w:w="1520" w:type="dxa"/>
            <w:vAlign w:val="bottom"/>
          </w:tcPr>
          <w:p>
            <w:pPr>
              <w:jc w:val="center"/>
              <w:ind w:left="1288"/>
              <w:spacing w:after="0"/>
              <w:rPr>
                <w:rFonts w:ascii="Arial" w:cs="Arial" w:eastAsia="Arial" w:hAnsi="Arial"/>
                <w:sz w:val="14"/>
                <w:szCs w:val="14"/>
                <w:color w:val="0000FF"/>
              </w:rPr>
            </w:pPr>
            <w:hyperlink w:anchor="page25">
              <w:r>
                <w:rPr>
                  <w:rFonts w:ascii="Arial" w:cs="Arial" w:eastAsia="Arial" w:hAnsi="Arial"/>
                  <w:sz w:val="14"/>
                  <w:szCs w:val="14"/>
                  <w:color w:val="0000FF"/>
                </w:rPr>
                <w:t>24</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28">
              <w:r>
                <w:rPr>
                  <w:rFonts w:ascii="Arial" w:cs="Arial" w:eastAsia="Arial" w:hAnsi="Arial"/>
                  <w:sz w:val="14"/>
                  <w:szCs w:val="14"/>
                  <w:color w:val="0000FF"/>
                </w:rPr>
                <w:t>Note 13: Leases</w:t>
              </w:r>
            </w:hyperlink>
          </w:p>
        </w:tc>
        <w:tc>
          <w:tcPr>
            <w:tcW w:w="1520" w:type="dxa"/>
            <w:vAlign w:val="bottom"/>
          </w:tcPr>
          <w:p>
            <w:pPr>
              <w:jc w:val="center"/>
              <w:ind w:left="1288"/>
              <w:spacing w:after="0"/>
              <w:rPr>
                <w:rFonts w:ascii="Arial" w:cs="Arial" w:eastAsia="Arial" w:hAnsi="Arial"/>
                <w:sz w:val="14"/>
                <w:szCs w:val="14"/>
                <w:color w:val="0000FF"/>
              </w:rPr>
            </w:pPr>
            <w:hyperlink w:anchor="page28">
              <w:r>
                <w:rPr>
                  <w:rFonts w:ascii="Arial" w:cs="Arial" w:eastAsia="Arial" w:hAnsi="Arial"/>
                  <w:sz w:val="14"/>
                  <w:szCs w:val="14"/>
                  <w:color w:val="0000FF"/>
                </w:rPr>
                <w:t>27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29">
              <w:r>
                <w:rPr>
                  <w:rFonts w:ascii="Arial" w:cs="Arial" w:eastAsia="Arial" w:hAnsi="Arial"/>
                  <w:sz w:val="14"/>
                  <w:szCs w:val="14"/>
                  <w:color w:val="0000FF"/>
                </w:rPr>
                <w:t>Note 14: Equity-Based Compensation</w:t>
              </w:r>
            </w:hyperlink>
          </w:p>
        </w:tc>
        <w:tc>
          <w:tcPr>
            <w:tcW w:w="1520" w:type="dxa"/>
            <w:vAlign w:val="bottom"/>
          </w:tcPr>
          <w:p>
            <w:pPr>
              <w:jc w:val="center"/>
              <w:ind w:left="1288"/>
              <w:spacing w:after="0"/>
              <w:rPr>
                <w:rFonts w:ascii="Arial" w:cs="Arial" w:eastAsia="Arial" w:hAnsi="Arial"/>
                <w:sz w:val="14"/>
                <w:szCs w:val="14"/>
                <w:color w:val="0000FF"/>
              </w:rPr>
            </w:pPr>
            <w:hyperlink w:anchor="page29">
              <w:r>
                <w:rPr>
                  <w:rFonts w:ascii="Arial" w:cs="Arial" w:eastAsia="Arial" w:hAnsi="Arial"/>
                  <w:sz w:val="14"/>
                  <w:szCs w:val="14"/>
                  <w:color w:val="0000FF"/>
                </w:rPr>
                <w:t>28</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30">
              <w:r>
                <w:rPr>
                  <w:rFonts w:ascii="Arial" w:cs="Arial" w:eastAsia="Arial" w:hAnsi="Arial"/>
                  <w:sz w:val="14"/>
                  <w:szCs w:val="14"/>
                  <w:color w:val="0000FF"/>
                </w:rPr>
                <w:t>Note 15: Income Taxes</w:t>
              </w:r>
            </w:hyperlink>
          </w:p>
        </w:tc>
        <w:tc>
          <w:tcPr>
            <w:tcW w:w="1520" w:type="dxa"/>
            <w:vAlign w:val="bottom"/>
          </w:tcPr>
          <w:p>
            <w:pPr>
              <w:jc w:val="center"/>
              <w:ind w:left="1288"/>
              <w:spacing w:after="0"/>
              <w:rPr>
                <w:rFonts w:ascii="Arial" w:cs="Arial" w:eastAsia="Arial" w:hAnsi="Arial"/>
                <w:sz w:val="14"/>
                <w:szCs w:val="14"/>
                <w:color w:val="0000FF"/>
              </w:rPr>
            </w:pPr>
            <w:hyperlink w:anchor="page30">
              <w:r>
                <w:rPr>
                  <w:rFonts w:ascii="Arial" w:cs="Arial" w:eastAsia="Arial" w:hAnsi="Arial"/>
                  <w:sz w:val="14"/>
                  <w:szCs w:val="14"/>
                  <w:color w:val="0000FF"/>
                </w:rPr>
                <w:t>29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30">
              <w:r>
                <w:rPr>
                  <w:rFonts w:ascii="Arial" w:cs="Arial" w:eastAsia="Arial" w:hAnsi="Arial"/>
                  <w:sz w:val="14"/>
                  <w:szCs w:val="14"/>
                  <w:color w:val="0000FF"/>
                </w:rPr>
                <w:t>Note 16: Management Agreement and Affiliate Transactions</w:t>
              </w:r>
            </w:hyperlink>
          </w:p>
        </w:tc>
        <w:tc>
          <w:tcPr>
            <w:tcW w:w="1520" w:type="dxa"/>
            <w:vAlign w:val="bottom"/>
          </w:tcPr>
          <w:p>
            <w:pPr>
              <w:jc w:val="center"/>
              <w:ind w:left="1288"/>
              <w:spacing w:after="0"/>
              <w:rPr>
                <w:rFonts w:ascii="Arial" w:cs="Arial" w:eastAsia="Arial" w:hAnsi="Arial"/>
                <w:sz w:val="14"/>
                <w:szCs w:val="14"/>
                <w:color w:val="0000FF"/>
              </w:rPr>
            </w:pPr>
            <w:hyperlink w:anchor="page30">
              <w:r>
                <w:rPr>
                  <w:rFonts w:ascii="Arial" w:cs="Arial" w:eastAsia="Arial" w:hAnsi="Arial"/>
                  <w:sz w:val="14"/>
                  <w:szCs w:val="14"/>
                  <w:color w:val="0000FF"/>
                </w:rPr>
                <w:t>29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33">
              <w:r>
                <w:rPr>
                  <w:rFonts w:ascii="Arial" w:cs="Arial" w:eastAsia="Arial" w:hAnsi="Arial"/>
                  <w:sz w:val="14"/>
                  <w:szCs w:val="14"/>
                  <w:color w:val="0000FF"/>
                </w:rPr>
                <w:t>Note 17: Segment Information</w:t>
              </w:r>
            </w:hyperlink>
          </w:p>
        </w:tc>
        <w:tc>
          <w:tcPr>
            <w:tcW w:w="1520" w:type="dxa"/>
            <w:vAlign w:val="bottom"/>
          </w:tcPr>
          <w:p>
            <w:pPr>
              <w:jc w:val="center"/>
              <w:ind w:left="1288"/>
              <w:spacing w:after="0"/>
              <w:rPr>
                <w:rFonts w:ascii="Arial" w:cs="Arial" w:eastAsia="Arial" w:hAnsi="Arial"/>
                <w:sz w:val="14"/>
                <w:szCs w:val="14"/>
                <w:color w:val="0000FF"/>
              </w:rPr>
            </w:pPr>
            <w:hyperlink w:anchor="page33">
              <w:r>
                <w:rPr>
                  <w:rFonts w:ascii="Arial" w:cs="Arial" w:eastAsia="Arial" w:hAnsi="Arial"/>
                  <w:sz w:val="14"/>
                  <w:szCs w:val="14"/>
                  <w:color w:val="0000FF"/>
                </w:rPr>
                <w:t>32</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44">
              <w:r>
                <w:rPr>
                  <w:rFonts w:ascii="Arial" w:cs="Arial" w:eastAsia="Arial" w:hAnsi="Arial"/>
                  <w:sz w:val="14"/>
                  <w:szCs w:val="14"/>
                  <w:color w:val="0000FF"/>
                </w:rPr>
                <w:t>Note 18: Earnings per Share and Equity</w:t>
              </w:r>
            </w:hyperlink>
          </w:p>
        </w:tc>
        <w:tc>
          <w:tcPr>
            <w:tcW w:w="1520" w:type="dxa"/>
            <w:vAlign w:val="bottom"/>
          </w:tcPr>
          <w:p>
            <w:pPr>
              <w:jc w:val="center"/>
              <w:ind w:left="1288"/>
              <w:spacing w:after="0"/>
              <w:rPr>
                <w:rFonts w:ascii="Arial" w:cs="Arial" w:eastAsia="Arial" w:hAnsi="Arial"/>
                <w:sz w:val="14"/>
                <w:szCs w:val="14"/>
                <w:color w:val="0000FF"/>
              </w:rPr>
            </w:pPr>
            <w:hyperlink w:anchor="page44">
              <w:r>
                <w:rPr>
                  <w:rFonts w:ascii="Arial" w:cs="Arial" w:eastAsia="Arial" w:hAnsi="Arial"/>
                  <w:sz w:val="14"/>
                  <w:szCs w:val="14"/>
                  <w:color w:val="0000FF"/>
                </w:rPr>
                <w:t>44</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20" w:type="dxa"/>
            <w:vAlign w:val="bottom"/>
          </w:tcPr>
          <w:p>
            <w:pPr>
              <w:ind w:left="300"/>
              <w:spacing w:after="0"/>
              <w:rPr>
                <w:rFonts w:ascii="Arial" w:cs="Arial" w:eastAsia="Arial" w:hAnsi="Arial"/>
                <w:sz w:val="14"/>
                <w:szCs w:val="14"/>
                <w:color w:val="0000FF"/>
              </w:rPr>
            </w:pPr>
            <w:hyperlink w:anchor="page45">
              <w:r>
                <w:rPr>
                  <w:rFonts w:ascii="Arial" w:cs="Arial" w:eastAsia="Arial" w:hAnsi="Arial"/>
                  <w:sz w:val="14"/>
                  <w:szCs w:val="14"/>
                  <w:color w:val="0000FF"/>
                </w:rPr>
                <w:t>Note 19: Commitments and Contingencies</w:t>
              </w:r>
            </w:hyperlink>
          </w:p>
        </w:tc>
        <w:tc>
          <w:tcPr>
            <w:tcW w:w="1520" w:type="dxa"/>
            <w:vAlign w:val="bottom"/>
          </w:tcPr>
          <w:p>
            <w:pPr>
              <w:jc w:val="center"/>
              <w:ind w:left="1288"/>
              <w:spacing w:after="0"/>
              <w:rPr>
                <w:rFonts w:ascii="Arial" w:cs="Arial" w:eastAsia="Arial" w:hAnsi="Arial"/>
                <w:sz w:val="14"/>
                <w:szCs w:val="14"/>
                <w:color w:val="0000FF"/>
              </w:rPr>
            </w:pPr>
            <w:hyperlink w:anchor="page45">
              <w:r>
                <w:rPr>
                  <w:rFonts w:ascii="Arial" w:cs="Arial" w:eastAsia="Arial" w:hAnsi="Arial"/>
                  <w:sz w:val="14"/>
                  <w:szCs w:val="14"/>
                  <w:color w:val="0000FF"/>
                </w:rPr>
                <w:t>44</w:t>
              </w:r>
            </w:hyperlink>
          </w:p>
        </w:tc>
        <w:tc>
          <w:tcPr>
            <w:tcW w:w="0" w:type="dxa"/>
            <w:vAlign w:val="bottom"/>
          </w:tcPr>
          <w:p>
            <w:pPr>
              <w:spacing w:after="0"/>
              <w:rPr>
                <w:sz w:val="1"/>
                <w:szCs w:val="1"/>
                <w:color w:val="auto"/>
              </w:rPr>
            </w:pPr>
          </w:p>
        </w:tc>
      </w:tr>
      <w:tr>
        <w:trPr>
          <w:trHeight w:val="18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006EBF"/>
              </w:rPr>
              <w:t>Item 2.</w:t>
            </w:r>
          </w:p>
        </w:tc>
        <w:tc>
          <w:tcPr>
            <w:tcW w:w="8820" w:type="dxa"/>
            <w:vAlign w:val="bottom"/>
          </w:tcPr>
          <w:p>
            <w:pPr>
              <w:ind w:left="300"/>
              <w:spacing w:after="0"/>
              <w:rPr>
                <w:rFonts w:ascii="Arial" w:cs="Arial" w:eastAsia="Arial" w:hAnsi="Arial"/>
                <w:sz w:val="14"/>
                <w:szCs w:val="14"/>
                <w:color w:val="0000FF"/>
              </w:rPr>
            </w:pPr>
            <w:hyperlink w:anchor="page46">
              <w:r>
                <w:rPr>
                  <w:rFonts w:ascii="Arial" w:cs="Arial" w:eastAsia="Arial" w:hAnsi="Arial"/>
                  <w:sz w:val="14"/>
                  <w:szCs w:val="14"/>
                  <w:color w:val="0000FF"/>
                </w:rPr>
                <w:t>Note 20: Subsequent Events</w:t>
              </w:r>
            </w:hyperlink>
          </w:p>
        </w:tc>
        <w:tc>
          <w:tcPr>
            <w:tcW w:w="1520" w:type="dxa"/>
            <w:vAlign w:val="bottom"/>
          </w:tcPr>
          <w:p>
            <w:pPr>
              <w:jc w:val="center"/>
              <w:ind w:left="1288"/>
              <w:spacing w:after="0"/>
              <w:rPr>
                <w:rFonts w:ascii="Arial" w:cs="Arial" w:eastAsia="Arial" w:hAnsi="Arial"/>
                <w:sz w:val="14"/>
                <w:szCs w:val="14"/>
                <w:color w:val="0000FF"/>
              </w:rPr>
            </w:pPr>
            <w:hyperlink w:anchor="page46">
              <w:r>
                <w:rPr>
                  <w:rFonts w:ascii="Arial" w:cs="Arial" w:eastAsia="Arial" w:hAnsi="Arial"/>
                  <w:sz w:val="14"/>
                  <w:szCs w:val="14"/>
                  <w:color w:val="0000FF"/>
                </w:rPr>
                <w:t>45</w:t>
              </w:r>
            </w:hyperlink>
          </w:p>
        </w:tc>
        <w:tc>
          <w:tcPr>
            <w:tcW w:w="0" w:type="dxa"/>
            <w:vAlign w:val="bottom"/>
          </w:tcPr>
          <w:p>
            <w:pPr>
              <w:spacing w:after="0"/>
              <w:rPr>
                <w:sz w:val="1"/>
                <w:szCs w:val="1"/>
                <w:color w:val="auto"/>
              </w:rPr>
            </w:pPr>
          </w:p>
        </w:tc>
      </w:tr>
      <w:tr>
        <w:trPr>
          <w:trHeight w:val="188"/>
        </w:trPr>
        <w:tc>
          <w:tcPr>
            <w:tcW w:w="660" w:type="dxa"/>
            <w:vAlign w:val="bottom"/>
            <w:vMerge w:val="continue"/>
          </w:tcPr>
          <w:p>
            <w:pPr>
              <w:spacing w:after="0"/>
              <w:rPr>
                <w:sz w:val="16"/>
                <w:szCs w:val="16"/>
                <w:color w:val="auto"/>
              </w:rPr>
            </w:pPr>
          </w:p>
        </w:tc>
        <w:tc>
          <w:tcPr>
            <w:tcW w:w="8820" w:type="dxa"/>
            <w:vAlign w:val="bottom"/>
          </w:tcPr>
          <w:p>
            <w:pPr>
              <w:ind w:left="200"/>
              <w:spacing w:after="0"/>
              <w:rPr>
                <w:rFonts w:ascii="Arial" w:cs="Arial" w:eastAsia="Arial" w:hAnsi="Arial"/>
                <w:sz w:val="14"/>
                <w:szCs w:val="14"/>
                <w:color w:val="0000FF"/>
              </w:rPr>
            </w:pPr>
            <w:hyperlink w:anchor="page46">
              <w:r>
                <w:rPr>
                  <w:rFonts w:ascii="Arial" w:cs="Arial" w:eastAsia="Arial" w:hAnsi="Arial"/>
                  <w:sz w:val="14"/>
                  <w:szCs w:val="14"/>
                  <w:color w:val="0000FF"/>
                </w:rPr>
                <w:t>Management’s Discussion and Analysis of Financial Condition and Results of Operations</w:t>
              </w:r>
            </w:hyperlink>
          </w:p>
        </w:tc>
        <w:tc>
          <w:tcPr>
            <w:tcW w:w="1520" w:type="dxa"/>
            <w:vAlign w:val="bottom"/>
          </w:tcPr>
          <w:p>
            <w:pPr>
              <w:jc w:val="center"/>
              <w:ind w:left="1288"/>
              <w:spacing w:after="0"/>
              <w:rPr>
                <w:rFonts w:ascii="Arial" w:cs="Arial" w:eastAsia="Arial" w:hAnsi="Arial"/>
                <w:sz w:val="14"/>
                <w:szCs w:val="14"/>
                <w:color w:val="0000FF"/>
              </w:rPr>
            </w:pPr>
            <w:hyperlink w:anchor="page46">
              <w:r>
                <w:rPr>
                  <w:rFonts w:ascii="Arial" w:cs="Arial" w:eastAsia="Arial" w:hAnsi="Arial"/>
                  <w:sz w:val="14"/>
                  <w:szCs w:val="14"/>
                  <w:color w:val="0000FF"/>
                </w:rPr>
                <w:t>46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820" w:type="dxa"/>
            <w:vAlign w:val="bottom"/>
          </w:tcPr>
          <w:p>
            <w:pPr>
              <w:ind w:left="200"/>
              <w:spacing w:after="0"/>
              <w:rPr>
                <w:rFonts w:ascii="Arial" w:cs="Arial" w:eastAsia="Arial" w:hAnsi="Arial"/>
                <w:sz w:val="14"/>
                <w:szCs w:val="14"/>
                <w:color w:val="0000FF"/>
              </w:rPr>
            </w:pPr>
            <w:hyperlink w:anchor="page66">
              <w:r>
                <w:rPr>
                  <w:rFonts w:ascii="Arial" w:cs="Arial" w:eastAsia="Arial" w:hAnsi="Arial"/>
                  <w:sz w:val="14"/>
                  <w:szCs w:val="14"/>
                  <w:color w:val="0000FF"/>
                </w:rPr>
                <w:t>Quantitative and Qualitative Disclosures About Market Risk</w:t>
              </w:r>
            </w:hyperlink>
          </w:p>
        </w:tc>
        <w:tc>
          <w:tcPr>
            <w:tcW w:w="1520" w:type="dxa"/>
            <w:vAlign w:val="bottom"/>
          </w:tcPr>
          <w:p>
            <w:pPr>
              <w:jc w:val="center"/>
              <w:ind w:left="1288"/>
              <w:spacing w:after="0"/>
              <w:rPr>
                <w:rFonts w:ascii="Arial" w:cs="Arial" w:eastAsia="Arial" w:hAnsi="Arial"/>
                <w:sz w:val="14"/>
                <w:szCs w:val="14"/>
                <w:color w:val="0000FF"/>
              </w:rPr>
            </w:pPr>
            <w:hyperlink w:anchor="page66">
              <w:r>
                <w:rPr>
                  <w:rFonts w:ascii="Arial" w:cs="Arial" w:eastAsia="Arial" w:hAnsi="Arial"/>
                  <w:sz w:val="14"/>
                  <w:szCs w:val="14"/>
                  <w:color w:val="0000FF"/>
                </w:rPr>
                <w:t>66</w:t>
              </w:r>
            </w:hyperlink>
          </w:p>
        </w:tc>
        <w:tc>
          <w:tcPr>
            <w:tcW w:w="0" w:type="dxa"/>
            <w:vAlign w:val="bottom"/>
          </w:tcPr>
          <w:p>
            <w:pPr>
              <w:spacing w:after="0"/>
              <w:rPr>
                <w:sz w:val="1"/>
                <w:szCs w:val="1"/>
                <w:color w:val="auto"/>
              </w:rPr>
            </w:pPr>
          </w:p>
        </w:tc>
      </w:tr>
      <w:tr>
        <w:trPr>
          <w:trHeight w:val="190"/>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820" w:type="dxa"/>
            <w:vAlign w:val="bottom"/>
          </w:tcPr>
          <w:p>
            <w:pPr>
              <w:ind w:left="200"/>
              <w:spacing w:after="0"/>
              <w:rPr>
                <w:rFonts w:ascii="Arial" w:cs="Arial" w:eastAsia="Arial" w:hAnsi="Arial"/>
                <w:sz w:val="14"/>
                <w:szCs w:val="14"/>
                <w:color w:val="0000FF"/>
              </w:rPr>
            </w:pPr>
            <w:hyperlink w:anchor="page67">
              <w:r>
                <w:rPr>
                  <w:rFonts w:ascii="Arial" w:cs="Arial" w:eastAsia="Arial" w:hAnsi="Arial"/>
                  <w:sz w:val="14"/>
                  <w:szCs w:val="14"/>
                  <w:color w:val="0000FF"/>
                </w:rPr>
                <w:t>Controls and Procedures</w:t>
              </w:r>
            </w:hyperlink>
          </w:p>
        </w:tc>
        <w:tc>
          <w:tcPr>
            <w:tcW w:w="1520" w:type="dxa"/>
            <w:vAlign w:val="bottom"/>
          </w:tcPr>
          <w:p>
            <w:pPr>
              <w:jc w:val="center"/>
              <w:ind w:left="1288"/>
              <w:spacing w:after="0"/>
              <w:rPr>
                <w:rFonts w:ascii="Arial" w:cs="Arial" w:eastAsia="Arial" w:hAnsi="Arial"/>
                <w:sz w:val="14"/>
                <w:szCs w:val="14"/>
                <w:color w:val="0000FF"/>
              </w:rPr>
            </w:pPr>
            <w:hyperlink w:anchor="page67">
              <w:r>
                <w:rPr>
                  <w:rFonts w:ascii="Arial" w:cs="Arial" w:eastAsia="Arial" w:hAnsi="Arial"/>
                  <w:sz w:val="14"/>
                  <w:szCs w:val="14"/>
                  <w:color w:val="0000FF"/>
                </w:rPr>
                <w:t>66</w:t>
              </w:r>
            </w:hyperlink>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8100" w:type="dxa"/>
            <w:vAlign w:val="bottom"/>
          </w:tcPr>
          <w:p>
            <w:pPr>
              <w:ind w:left="3920"/>
              <w:spacing w:after="0"/>
              <w:rPr>
                <w:sz w:val="20"/>
                <w:szCs w:val="20"/>
                <w:color w:val="auto"/>
              </w:rPr>
            </w:pPr>
            <w:r>
              <w:rPr>
                <w:rFonts w:ascii="Arial" w:cs="Arial" w:eastAsia="Arial" w:hAnsi="Arial"/>
                <w:sz w:val="14"/>
                <w:szCs w:val="14"/>
                <w:b w:val="1"/>
                <w:bCs w:val="1"/>
                <w:color w:val="006EBF"/>
              </w:rPr>
              <w:t>PART II - OTHER INFORMATION</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vMerge w:val="continue"/>
          </w:tcPr>
          <w:p>
            <w:pPr>
              <w:spacing w:after="0"/>
              <w:rPr>
                <w:sz w:val="16"/>
                <w:szCs w:val="16"/>
                <w:color w:val="auto"/>
              </w:rPr>
            </w:pPr>
          </w:p>
        </w:tc>
        <w:tc>
          <w:tcPr>
            <w:tcW w:w="8100" w:type="dxa"/>
            <w:vAlign w:val="bottom"/>
          </w:tcPr>
          <w:p>
            <w:pPr>
              <w:ind w:left="140"/>
              <w:spacing w:after="0"/>
              <w:rPr>
                <w:rFonts w:ascii="Arial" w:cs="Arial" w:eastAsia="Arial" w:hAnsi="Arial"/>
                <w:sz w:val="14"/>
                <w:szCs w:val="14"/>
                <w:color w:val="0000FF"/>
              </w:rPr>
            </w:pPr>
            <w:hyperlink w:anchor="page67">
              <w:r>
                <w:rPr>
                  <w:rFonts w:ascii="Arial" w:cs="Arial" w:eastAsia="Arial" w:hAnsi="Arial"/>
                  <w:sz w:val="14"/>
                  <w:szCs w:val="14"/>
                  <w:color w:val="0000FF"/>
                </w:rPr>
                <w:t>Legal Proceedings</w:t>
              </w:r>
            </w:hyperlink>
          </w:p>
        </w:tc>
        <w:tc>
          <w:tcPr>
            <w:tcW w:w="2180" w:type="dxa"/>
            <w:vAlign w:val="bottom"/>
          </w:tcPr>
          <w:p>
            <w:pPr>
              <w:jc w:val="right"/>
              <w:spacing w:after="0"/>
              <w:rPr>
                <w:rFonts w:ascii="Arial" w:cs="Arial" w:eastAsia="Arial" w:hAnsi="Arial"/>
                <w:sz w:val="14"/>
                <w:szCs w:val="14"/>
                <w:color w:val="0000FF"/>
              </w:rPr>
            </w:pPr>
            <w:hyperlink w:anchor="page67">
              <w:r>
                <w:rPr>
                  <w:rFonts w:ascii="Arial" w:cs="Arial" w:eastAsia="Arial" w:hAnsi="Arial"/>
                  <w:sz w:val="14"/>
                  <w:szCs w:val="14"/>
                  <w:color w:val="0000FF"/>
                </w:rPr>
                <w:t>66</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100" w:type="dxa"/>
            <w:vAlign w:val="bottom"/>
          </w:tcPr>
          <w:p>
            <w:pPr>
              <w:ind w:left="140"/>
              <w:spacing w:after="0"/>
              <w:rPr>
                <w:rFonts w:ascii="Arial" w:cs="Arial" w:eastAsia="Arial" w:hAnsi="Arial"/>
                <w:sz w:val="14"/>
                <w:szCs w:val="14"/>
                <w:color w:val="0000FF"/>
              </w:rPr>
            </w:pPr>
            <w:hyperlink w:anchor="page68">
              <w:r>
                <w:rPr>
                  <w:rFonts w:ascii="Arial" w:cs="Arial" w:eastAsia="Arial" w:hAnsi="Arial"/>
                  <w:sz w:val="14"/>
                  <w:szCs w:val="14"/>
                  <w:color w:val="0000FF"/>
                </w:rPr>
                <w:t>Risk Factors</w:t>
              </w:r>
            </w:hyperlink>
          </w:p>
        </w:tc>
        <w:tc>
          <w:tcPr>
            <w:tcW w:w="2180" w:type="dxa"/>
            <w:vAlign w:val="bottom"/>
          </w:tcPr>
          <w:p>
            <w:pPr>
              <w:jc w:val="right"/>
              <w:spacing w:after="0"/>
              <w:rPr>
                <w:rFonts w:ascii="Arial" w:cs="Arial" w:eastAsia="Arial" w:hAnsi="Arial"/>
                <w:sz w:val="14"/>
                <w:szCs w:val="14"/>
                <w:color w:val="0000FF"/>
              </w:rPr>
            </w:pPr>
            <w:hyperlink w:anchor="page68">
              <w:r>
                <w:rPr>
                  <w:rFonts w:ascii="Arial" w:cs="Arial" w:eastAsia="Arial" w:hAnsi="Arial"/>
                  <w:sz w:val="14"/>
                  <w:szCs w:val="14"/>
                  <w:color w:val="0000FF"/>
                </w:rPr>
                <w:t>67</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100" w:type="dxa"/>
            <w:vAlign w:val="bottom"/>
          </w:tcPr>
          <w:p>
            <w:pPr>
              <w:ind w:left="140"/>
              <w:spacing w:after="0"/>
              <w:rPr>
                <w:rFonts w:ascii="Arial" w:cs="Arial" w:eastAsia="Arial" w:hAnsi="Arial"/>
                <w:sz w:val="14"/>
                <w:szCs w:val="14"/>
                <w:color w:val="0000FF"/>
              </w:rPr>
            </w:pPr>
            <w:hyperlink w:anchor="page89">
              <w:r>
                <w:rPr>
                  <w:rFonts w:ascii="Arial" w:cs="Arial" w:eastAsia="Arial" w:hAnsi="Arial"/>
                  <w:sz w:val="14"/>
                  <w:szCs w:val="14"/>
                  <w:color w:val="0000FF"/>
                </w:rPr>
                <w:t>Unregistered Sales of Equity Securities and Use of Proceeds</w:t>
              </w:r>
            </w:hyperlink>
          </w:p>
        </w:tc>
        <w:tc>
          <w:tcPr>
            <w:tcW w:w="2180" w:type="dxa"/>
            <w:vAlign w:val="bottom"/>
          </w:tcPr>
          <w:p>
            <w:pPr>
              <w:jc w:val="right"/>
              <w:spacing w:after="0"/>
              <w:rPr>
                <w:rFonts w:ascii="Arial" w:cs="Arial" w:eastAsia="Arial" w:hAnsi="Arial"/>
                <w:sz w:val="14"/>
                <w:szCs w:val="14"/>
                <w:color w:val="0000FF"/>
              </w:rPr>
            </w:pPr>
            <w:hyperlink w:anchor="page89">
              <w:r>
                <w:rPr>
                  <w:rFonts w:ascii="Arial" w:cs="Arial" w:eastAsia="Arial" w:hAnsi="Arial"/>
                  <w:sz w:val="14"/>
                  <w:szCs w:val="14"/>
                  <w:color w:val="0000FF"/>
                </w:rPr>
                <w:t>88</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100" w:type="dxa"/>
            <w:vAlign w:val="bottom"/>
          </w:tcPr>
          <w:p>
            <w:pPr>
              <w:ind w:left="140"/>
              <w:spacing w:after="0"/>
              <w:rPr>
                <w:rFonts w:ascii="Arial" w:cs="Arial" w:eastAsia="Arial" w:hAnsi="Arial"/>
                <w:sz w:val="14"/>
                <w:szCs w:val="14"/>
                <w:color w:val="0000FF"/>
              </w:rPr>
            </w:pPr>
            <w:hyperlink w:anchor="page89">
              <w:r>
                <w:rPr>
                  <w:rFonts w:ascii="Arial" w:cs="Arial" w:eastAsia="Arial" w:hAnsi="Arial"/>
                  <w:sz w:val="14"/>
                  <w:szCs w:val="14"/>
                  <w:color w:val="0000FF"/>
                </w:rPr>
                <w:t>Defaults Upon Senior Securities</w:t>
              </w:r>
            </w:hyperlink>
          </w:p>
        </w:tc>
        <w:tc>
          <w:tcPr>
            <w:tcW w:w="2180" w:type="dxa"/>
            <w:vAlign w:val="bottom"/>
          </w:tcPr>
          <w:p>
            <w:pPr>
              <w:jc w:val="right"/>
              <w:spacing w:after="0"/>
              <w:rPr>
                <w:rFonts w:ascii="Arial" w:cs="Arial" w:eastAsia="Arial" w:hAnsi="Arial"/>
                <w:sz w:val="14"/>
                <w:szCs w:val="14"/>
                <w:color w:val="0000FF"/>
              </w:rPr>
            </w:pPr>
            <w:hyperlink w:anchor="page89">
              <w:r>
                <w:rPr>
                  <w:rFonts w:ascii="Arial" w:cs="Arial" w:eastAsia="Arial" w:hAnsi="Arial"/>
                  <w:sz w:val="14"/>
                  <w:szCs w:val="14"/>
                  <w:color w:val="0000FF"/>
                </w:rPr>
                <w:t>88</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100" w:type="dxa"/>
            <w:vAlign w:val="bottom"/>
          </w:tcPr>
          <w:p>
            <w:pPr>
              <w:ind w:left="140"/>
              <w:spacing w:after="0"/>
              <w:rPr>
                <w:rFonts w:ascii="Arial" w:cs="Arial" w:eastAsia="Arial" w:hAnsi="Arial"/>
                <w:sz w:val="14"/>
                <w:szCs w:val="14"/>
                <w:color w:val="0000FF"/>
              </w:rPr>
            </w:pPr>
            <w:hyperlink w:anchor="page89">
              <w:r>
                <w:rPr>
                  <w:rFonts w:ascii="Arial" w:cs="Arial" w:eastAsia="Arial" w:hAnsi="Arial"/>
                  <w:sz w:val="14"/>
                  <w:szCs w:val="14"/>
                  <w:color w:val="0000FF"/>
                </w:rPr>
                <w:t>Mine Safety Disclosures</w:t>
              </w:r>
            </w:hyperlink>
          </w:p>
        </w:tc>
        <w:tc>
          <w:tcPr>
            <w:tcW w:w="2180" w:type="dxa"/>
            <w:vAlign w:val="bottom"/>
          </w:tcPr>
          <w:p>
            <w:pPr>
              <w:jc w:val="right"/>
              <w:spacing w:after="0"/>
              <w:rPr>
                <w:rFonts w:ascii="Arial" w:cs="Arial" w:eastAsia="Arial" w:hAnsi="Arial"/>
                <w:sz w:val="14"/>
                <w:szCs w:val="14"/>
                <w:color w:val="0000FF"/>
              </w:rPr>
            </w:pPr>
            <w:hyperlink w:anchor="page89">
              <w:r>
                <w:rPr>
                  <w:rFonts w:ascii="Arial" w:cs="Arial" w:eastAsia="Arial" w:hAnsi="Arial"/>
                  <w:sz w:val="14"/>
                  <w:szCs w:val="14"/>
                  <w:color w:val="0000FF"/>
                </w:rPr>
                <w:t>88</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8100" w:type="dxa"/>
            <w:vAlign w:val="bottom"/>
          </w:tcPr>
          <w:p>
            <w:pPr>
              <w:ind w:left="140"/>
              <w:spacing w:after="0"/>
              <w:rPr>
                <w:rFonts w:ascii="Arial" w:cs="Arial" w:eastAsia="Arial" w:hAnsi="Arial"/>
                <w:sz w:val="14"/>
                <w:szCs w:val="14"/>
                <w:color w:val="0000FF"/>
              </w:rPr>
            </w:pPr>
            <w:hyperlink w:anchor="page89">
              <w:r>
                <w:rPr>
                  <w:rFonts w:ascii="Arial" w:cs="Arial" w:eastAsia="Arial" w:hAnsi="Arial"/>
                  <w:sz w:val="14"/>
                  <w:szCs w:val="14"/>
                  <w:color w:val="0000FF"/>
                </w:rPr>
                <w:t>Other Information</w:t>
              </w:r>
            </w:hyperlink>
          </w:p>
        </w:tc>
        <w:tc>
          <w:tcPr>
            <w:tcW w:w="2180" w:type="dxa"/>
            <w:vAlign w:val="bottom"/>
          </w:tcPr>
          <w:p>
            <w:pPr>
              <w:jc w:val="right"/>
              <w:spacing w:after="0"/>
              <w:rPr>
                <w:rFonts w:ascii="Arial" w:cs="Arial" w:eastAsia="Arial" w:hAnsi="Arial"/>
                <w:sz w:val="14"/>
                <w:szCs w:val="14"/>
                <w:color w:val="0000FF"/>
              </w:rPr>
            </w:pPr>
            <w:hyperlink w:anchor="page89">
              <w:r>
                <w:rPr>
                  <w:rFonts w:ascii="Arial" w:cs="Arial" w:eastAsia="Arial" w:hAnsi="Arial"/>
                  <w:sz w:val="14"/>
                  <w:szCs w:val="14"/>
                  <w:color w:val="0000FF"/>
                </w:rPr>
                <w:t>88</w:t>
              </w:r>
            </w:hyperlink>
          </w:p>
        </w:tc>
        <w:tc>
          <w:tcPr>
            <w:tcW w:w="0" w:type="dxa"/>
            <w:vAlign w:val="bottom"/>
          </w:tcPr>
          <w:p>
            <w:pPr>
              <w:spacing w:after="0"/>
              <w:rPr>
                <w:sz w:val="1"/>
                <w:szCs w:val="1"/>
                <w:color w:val="auto"/>
              </w:rPr>
            </w:pPr>
          </w:p>
        </w:tc>
      </w:tr>
      <w:tr>
        <w:trPr>
          <w:trHeight w:val="190"/>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8100" w:type="dxa"/>
            <w:vAlign w:val="bottom"/>
          </w:tcPr>
          <w:p>
            <w:pPr>
              <w:ind w:left="140"/>
              <w:spacing w:after="0"/>
              <w:rPr>
                <w:rFonts w:ascii="Arial" w:cs="Arial" w:eastAsia="Arial" w:hAnsi="Arial"/>
                <w:sz w:val="14"/>
                <w:szCs w:val="14"/>
                <w:color w:val="0000FF"/>
              </w:rPr>
            </w:pPr>
            <w:hyperlink w:anchor="page89">
              <w:r>
                <w:rPr>
                  <w:rFonts w:ascii="Arial" w:cs="Arial" w:eastAsia="Arial" w:hAnsi="Arial"/>
                  <w:sz w:val="14"/>
                  <w:szCs w:val="14"/>
                  <w:color w:val="0000FF"/>
                </w:rPr>
                <w:t>Exhibits</w:t>
              </w:r>
            </w:hyperlink>
          </w:p>
        </w:tc>
        <w:tc>
          <w:tcPr>
            <w:tcW w:w="2180" w:type="dxa"/>
            <w:vAlign w:val="bottom"/>
          </w:tcPr>
          <w:p>
            <w:pPr>
              <w:jc w:val="right"/>
              <w:spacing w:after="0"/>
              <w:rPr>
                <w:rFonts w:ascii="Arial" w:cs="Arial" w:eastAsia="Arial" w:hAnsi="Arial"/>
                <w:sz w:val="14"/>
                <w:szCs w:val="14"/>
                <w:color w:val="0000FF"/>
              </w:rPr>
            </w:pPr>
            <w:hyperlink w:anchor="page89">
              <w:r>
                <w:rPr>
                  <w:rFonts w:ascii="Arial" w:cs="Arial" w:eastAsia="Arial" w:hAnsi="Arial"/>
                  <w:sz w:val="14"/>
                  <w:szCs w:val="14"/>
                  <w:color w:val="0000FF"/>
                </w:rPr>
                <w:t>89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40" w:top="1025" w:right="5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119,799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226,512</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43,607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16,005</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78,054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49,470</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1,703,498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1,707,059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62,588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37,466</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8,315</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40" w:type="dxa"/>
            <w:vAlign w:val="bottom"/>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917,872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732,109</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158,215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180,550</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21,142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27,692</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122,735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122,639</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134,631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129,105</w:t>
            </w:r>
          </w:p>
        </w:tc>
        <w:tc>
          <w:tcPr>
            <w:tcW w:w="0" w:type="dxa"/>
            <w:vAlign w:val="bottom"/>
          </w:tcPr>
          <w:p>
            <w:pPr>
              <w:spacing w:after="0"/>
              <w:rPr>
                <w:sz w:val="1"/>
                <w:szCs w:val="1"/>
                <w:color w:val="auto"/>
              </w:rPr>
            </w:pPr>
          </w:p>
        </w:tc>
      </w:tr>
      <w:tr>
        <w:trPr>
          <w:trHeight w:val="20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3,375,330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88,050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144,855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1,801,573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1,420,928</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Maintenance deposits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154,661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208,944</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45,252</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74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62,209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36,968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32,154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2,174,483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1,898,065</w:t>
            </w:r>
          </w:p>
        </w:tc>
        <w:tc>
          <w:tcPr>
            <w:tcW w:w="0" w:type="dxa"/>
            <w:vAlign w:val="bottom"/>
          </w:tcPr>
          <w:p>
            <w:pPr>
              <w:spacing w:after="0"/>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4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shares ($0.01 par value per share; 2,000,000,000 shares authorized; 85,617,146 and</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84,917,448 shares issued and outstanding as of September 30, 2020 and December 31, 2019,</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856</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9,120,000 and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4"/>
                <w:szCs w:val="14"/>
                <w:color w:val="auto"/>
              </w:rPr>
              <w:t>8,050,000 shares issued and outstanding as of September 30, 2020 and December 31, 2019,</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vMerge w:val="restart"/>
          </w:tcPr>
          <w:p>
            <w:pPr>
              <w:jc w:val="right"/>
              <w:ind w:right="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1,130,121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1,110,122</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60,760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190,453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income</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(16,450)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1,175,378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1,301,877</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25,469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36,980</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1,200,847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1,338,857</w:t>
            </w:r>
          </w:p>
        </w:tc>
        <w:tc>
          <w:tcPr>
            <w:tcW w:w="0" w:type="dxa"/>
            <w:vAlign w:val="bottom"/>
          </w:tcPr>
          <w:p>
            <w:pPr>
              <w:spacing w:after="0"/>
              <w:rPr>
                <w:sz w:val="1"/>
                <w:szCs w:val="1"/>
                <w:color w:val="auto"/>
              </w:rPr>
            </w:pPr>
          </w:p>
        </w:tc>
      </w:tr>
      <w:tr>
        <w:trPr>
          <w:trHeight w:val="207"/>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3,375,330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 w:name="page6"/>
    <w:bookmarkEnd w:id="5"/>
    <w:p>
      <w:pPr>
        <w:ind w:right="490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Notes</w:t>
            </w:r>
          </w:p>
        </w:tc>
        <w:tc>
          <w:tcPr>
            <w:tcW w:w="1340" w:type="dxa"/>
            <w:vAlign w:val="bottom"/>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69,799</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87,259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236,082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238,911</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13,910</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65,441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54,776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178,531</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83,709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152,700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290,858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417,442</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23,128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82,719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81,144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222,812</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4,241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13,270</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2,442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9,297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9,125</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4,591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16,926</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jc w:val="center"/>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42,626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43,265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126,543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124,180</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3,915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26,904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25,190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71,559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71,318</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107,847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330,339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457,631</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(1,114)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37,060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(2,165)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61,400</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58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3,465</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(3,557)</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37,338</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(12,181)</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63,790</w:t>
            </w: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(Loss) income from continuing operations before</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(27,695)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20,608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(51,662)</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23,601</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(6,334)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income from continuing operations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(25,209)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(45,328)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24,790</w:t>
            </w:r>
          </w:p>
        </w:tc>
        <w:tc>
          <w:tcPr>
            <w:tcW w:w="0" w:type="dxa"/>
            <w:vAlign w:val="bottom"/>
          </w:tcPr>
          <w:p>
            <w:pPr>
              <w:spacing w:after="0"/>
              <w:rPr>
                <w:sz w:val="1"/>
                <w:szCs w:val="1"/>
                <w:color w:val="auto"/>
              </w:rPr>
            </w:pPr>
          </w:p>
        </w:tc>
      </w:tr>
      <w:tr>
        <w:trPr>
          <w:trHeight w:val="153"/>
        </w:trPr>
        <w:tc>
          <w:tcPr>
            <w:tcW w:w="3860" w:type="dxa"/>
            <w:vAlign w:val="bottom"/>
          </w:tcPr>
          <w:p>
            <w:pPr>
              <w:ind w:left="120"/>
              <w:spacing w:after="0" w:line="153" w:lineRule="exact"/>
              <w:rPr>
                <w:sz w:val="20"/>
                <w:szCs w:val="20"/>
                <w:color w:val="auto"/>
              </w:rPr>
            </w:pPr>
            <w:r>
              <w:rPr>
                <w:rFonts w:ascii="Arial" w:cs="Arial" w:eastAsia="Arial" w:hAnsi="Arial"/>
                <w:sz w:val="14"/>
                <w:szCs w:val="14"/>
                <w:color w:val="auto"/>
              </w:rPr>
              <w:t>Net income from discontinued operations, net of income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1,331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1,883</w:t>
            </w:r>
          </w:p>
        </w:tc>
        <w:tc>
          <w:tcPr>
            <w:tcW w:w="0" w:type="dxa"/>
            <w:vAlign w:val="bottom"/>
          </w:tcPr>
          <w:p>
            <w:pPr>
              <w:spacing w:after="0"/>
              <w:rPr>
                <w:sz w:val="1"/>
                <w:szCs w:val="1"/>
                <w:color w:val="auto"/>
              </w:rPr>
            </w:pPr>
          </w:p>
        </w:tc>
      </w:tr>
      <w:tr>
        <w:trPr>
          <w:trHeight w:val="171"/>
        </w:trPr>
        <w:tc>
          <w:tcPr>
            <w:tcW w:w="3860" w:type="dxa"/>
            <w:vAlign w:val="bottom"/>
          </w:tcPr>
          <w:p>
            <w:pPr>
              <w:ind w:left="120"/>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(25,209)</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(43,997)</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26,673</w:t>
            </w:r>
          </w:p>
        </w:tc>
        <w:tc>
          <w:tcPr>
            <w:tcW w:w="0" w:type="dxa"/>
            <w:vAlign w:val="bottom"/>
          </w:tcPr>
          <w:p>
            <w:pPr>
              <w:spacing w:after="0"/>
              <w:rPr>
                <w:sz w:val="1"/>
                <w:szCs w:val="1"/>
                <w:color w:val="auto"/>
              </w:rPr>
            </w:pPr>
          </w:p>
        </w:tc>
      </w:tr>
      <w:tr>
        <w:trPr>
          <w:trHeight w:val="133"/>
        </w:trPr>
        <w:tc>
          <w:tcPr>
            <w:tcW w:w="3860" w:type="dxa"/>
            <w:vAlign w:val="bottom"/>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ind w:left="20"/>
              <w:spacing w:after="0"/>
              <w:rPr>
                <w:sz w:val="20"/>
                <w:szCs w:val="20"/>
                <w:color w:val="auto"/>
              </w:rPr>
            </w:pPr>
            <w:r>
              <w:rPr>
                <w:rFonts w:ascii="Arial" w:cs="Arial" w:eastAsia="Arial" w:hAnsi="Arial"/>
                <w:sz w:val="14"/>
                <w:szCs w:val="14"/>
                <w:color w:val="auto"/>
              </w:rPr>
              <w:t>interests in consolidated subsidiaries: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(12,724)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(13,051)</w:t>
            </w:r>
          </w:p>
        </w:tc>
        <w:tc>
          <w:tcPr>
            <w:tcW w:w="0" w:type="dxa"/>
            <w:vAlign w:val="bottom"/>
          </w:tcPr>
          <w:p>
            <w:pPr>
              <w:spacing w:after="0"/>
              <w:rPr>
                <w:sz w:val="1"/>
                <w:szCs w:val="1"/>
                <w:color w:val="auto"/>
              </w:rPr>
            </w:pPr>
          </w:p>
        </w:tc>
      </w:tr>
      <w:tr>
        <w:trPr>
          <w:trHeight w:val="189"/>
        </w:trPr>
        <w:tc>
          <w:tcPr>
            <w:tcW w:w="386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4,625</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13,243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(25,958)</w:t>
            </w:r>
          </w:p>
        </w:tc>
        <w:tc>
          <w:tcPr>
            <w:tcW w:w="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25,671</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(44,516)</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39,623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6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(0.30)</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(0.53)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89"/>
        </w:trPr>
        <w:tc>
          <w:tcPr>
            <w:tcW w:w="386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Basic</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86,022,302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85,996,067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86,013,485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85,990,131</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86,022,302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86,005,604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86,013,485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86,013,539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ind w:right="41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INCOME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(43,997)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26,673</w:t>
            </w: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comprehensive (loss) income related to equity method</w:t>
            </w:r>
          </w:p>
        </w:tc>
        <w:tc>
          <w:tcPr>
            <w:tcW w:w="9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(13,468)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(8,584)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(16,822)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25,474</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140"/>
              <w:spacing w:after="0" w:line="176" w:lineRule="exact"/>
              <w:rPr>
                <w:sz w:val="20"/>
                <w:szCs w:val="20"/>
                <w:color w:val="auto"/>
              </w:rPr>
            </w:pPr>
            <w:r>
              <w:rPr>
                <w:rFonts w:ascii="Arial" w:cs="Arial" w:eastAsia="Arial" w:hAnsi="Arial"/>
                <w:sz w:val="14"/>
                <w:szCs w:val="14"/>
                <w:color w:val="auto"/>
              </w:rPr>
              <w:t xml:space="preserve">investees, net </w:t>
            </w:r>
            <w:r>
              <w:rPr>
                <w:rFonts w:ascii="Arial" w:cs="Arial" w:eastAsia="Arial" w:hAnsi="Arial"/>
                <w:sz w:val="18"/>
                <w:szCs w:val="18"/>
                <w:color w:val="auto"/>
                <w:vertAlign w:val="superscript"/>
              </w:rPr>
              <w:t>(1)</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Comprehensive (loss) income</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(38,677)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12,092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(60,819)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52,147</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(3,876)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(12,724)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(13,051)</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Comprehensive (loss) income attributable to shareholders</w:t>
            </w: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(34,801)</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17,087</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(48,095)</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65,097</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right="20" w:hanging="172"/>
        <w:spacing w:after="0" w:line="228" w:lineRule="auto"/>
        <w:tabs>
          <w:tab w:leader="none" w:pos="177"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Net of deferred tax (benefit) expense of $(3,580) and $(2,282) for the three months ended September 30, 2020 and 2019, respectively, and $(4,474) and $3,904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18" w:right="33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9"/>
          </w:tcPr>
          <w:p>
            <w:pPr>
              <w:ind w:left="640"/>
              <w:spacing w:after="0"/>
              <w:rPr>
                <w:sz w:val="20"/>
                <w:szCs w:val="20"/>
                <w:color w:val="auto"/>
              </w:rPr>
            </w:pPr>
            <w:r>
              <w:rPr>
                <w:rFonts w:ascii="Arial" w:cs="Arial" w:eastAsia="Arial" w:hAnsi="Arial"/>
                <w:sz w:val="13"/>
                <w:szCs w:val="13"/>
                <w:b w:val="1"/>
                <w:bCs w:val="1"/>
                <w:color w:val="auto"/>
              </w:rPr>
              <w:t>Three and Nine Months Ended September 30, 2020</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88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w w:val="96"/>
              </w:rPr>
              <w:t>Preferred</w:t>
            </w: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 Paid</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8"/>
              </w:rPr>
              <w:t>Retained Earnings</w:t>
            </w:r>
          </w:p>
        </w:tc>
        <w:tc>
          <w:tcPr>
            <w:tcW w:w="15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Comprehensive Income</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4"/>
                <w:szCs w:val="14"/>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5"/>
              </w:rPr>
              <w:t>In Capital</w:t>
            </w: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Subsidiaries</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81</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1,110,122</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190,453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36,980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1,338,857</w:t>
            </w:r>
          </w:p>
        </w:tc>
        <w:tc>
          <w:tcPr>
            <w:tcW w:w="0" w:type="dxa"/>
            <w:vAlign w:val="bottom"/>
          </w:tcPr>
          <w:p>
            <w:pPr>
              <w:spacing w:after="0"/>
              <w:rPr>
                <w:sz w:val="1"/>
                <w:szCs w:val="1"/>
                <w:color w:val="auto"/>
              </w:rPr>
            </w:pPr>
          </w:p>
        </w:tc>
      </w:tr>
      <w:tr>
        <w:trPr>
          <w:trHeight w:val="172"/>
        </w:trPr>
        <w:tc>
          <w:tcPr>
            <w:tcW w:w="2740" w:type="dxa"/>
            <w:vAlign w:val="bottom"/>
            <w:gridSpan w:val="2"/>
          </w:tcPr>
          <w:p>
            <w:pPr>
              <w:ind w:left="12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(9,940)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(8,848)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(18,788)</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(3,354)</w:t>
            </w: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Total comprehensive loss</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(9,940)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(3,354)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(8,848)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(22,142)</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Settlement of equity-based compensation</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r>
        <w:trPr>
          <w:trHeight w:val="172"/>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Issuance of common shares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311</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Conversion of participating securities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0" w:type="dxa"/>
            <w:vAlign w:val="bottom"/>
          </w:tcPr>
          <w:p>
            <w:pPr>
              <w:spacing w:after="0"/>
              <w:rPr>
                <w:sz w:val="1"/>
                <w:szCs w:val="1"/>
                <w:color w:val="auto"/>
              </w:rPr>
            </w:pPr>
          </w:p>
        </w:tc>
      </w:tr>
      <w:tr>
        <w:trPr>
          <w:trHeight w:val="172"/>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Dividends declared - common shares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(56,782)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(56,782)</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costs of preferred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(788)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(788)</w:t>
            </w:r>
          </w:p>
        </w:tc>
        <w:tc>
          <w:tcPr>
            <w:tcW w:w="0" w:type="dxa"/>
            <w:vAlign w:val="bottom"/>
          </w:tcPr>
          <w:p>
            <w:pPr>
              <w:spacing w:after="0"/>
              <w:rPr>
                <w:sz w:val="1"/>
                <w:szCs w:val="1"/>
                <w:color w:val="auto"/>
              </w:rPr>
            </w:pPr>
          </w:p>
        </w:tc>
      </w:tr>
      <w:tr>
        <w:trPr>
          <w:trHeight w:val="172"/>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Dividends declared - preferred shares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(8,618)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(8,618)</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Equity-based compensation</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702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702</w:t>
            </w:r>
          </w:p>
        </w:tc>
        <w:tc>
          <w:tcPr>
            <w:tcW w:w="0" w:type="dxa"/>
            <w:vAlign w:val="bottom"/>
          </w:tcPr>
          <w:p>
            <w:pPr>
              <w:spacing w:after="0"/>
              <w:rPr>
                <w:sz w:val="1"/>
                <w:szCs w:val="1"/>
                <w:color w:val="auto"/>
              </w:rPr>
            </w:pPr>
          </w:p>
        </w:tc>
      </w:tr>
      <w:tr>
        <w:trPr>
          <w:trHeight w:val="165"/>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Equity - June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81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1,109,631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115,113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28,792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1,251,491</w:t>
            </w:r>
          </w:p>
        </w:tc>
        <w:tc>
          <w:tcPr>
            <w:tcW w:w="0" w:type="dxa"/>
            <w:vAlign w:val="bottom"/>
          </w:tcPr>
          <w:p>
            <w:pPr>
              <w:spacing w:after="0"/>
              <w:rPr>
                <w:sz w:val="1"/>
                <w:szCs w:val="1"/>
                <w:color w:val="auto"/>
              </w:rPr>
            </w:pPr>
          </w:p>
        </w:tc>
      </w:tr>
      <w:tr>
        <w:trPr>
          <w:trHeight w:val="173"/>
        </w:trPr>
        <w:tc>
          <w:tcPr>
            <w:tcW w:w="2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(21,333)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(25,209)</w:t>
            </w:r>
          </w:p>
        </w:tc>
        <w:tc>
          <w:tcPr>
            <w:tcW w:w="0" w:type="dxa"/>
            <w:vAlign w:val="bottom"/>
          </w:tcPr>
          <w:p>
            <w:pPr>
              <w:spacing w:after="0"/>
              <w:rPr>
                <w:sz w:val="1"/>
                <w:szCs w:val="1"/>
                <w:color w:val="auto"/>
              </w:rPr>
            </w:pPr>
          </w:p>
        </w:tc>
      </w:tr>
      <w:tr>
        <w:trPr>
          <w:trHeight w:val="172"/>
        </w:trPr>
        <w:tc>
          <w:tcPr>
            <w:tcW w:w="2740" w:type="dxa"/>
            <w:vAlign w:val="bottom"/>
            <w:gridSpan w:val="2"/>
          </w:tcPr>
          <w:p>
            <w:pPr>
              <w:ind w:left="12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(13,468)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(13,468)</w:t>
            </w:r>
          </w:p>
        </w:tc>
        <w:tc>
          <w:tcPr>
            <w:tcW w:w="0" w:type="dxa"/>
            <w:vAlign w:val="bottom"/>
          </w:tcPr>
          <w:p>
            <w:pPr>
              <w:spacing w:after="0"/>
              <w:rPr>
                <w:sz w:val="1"/>
                <w:szCs w:val="1"/>
                <w:color w:val="auto"/>
              </w:rPr>
            </w:pPr>
          </w:p>
        </w:tc>
      </w:tr>
      <w:tr>
        <w:trPr>
          <w:trHeight w:val="173"/>
        </w:trPr>
        <w:tc>
          <w:tcPr>
            <w:tcW w:w="2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comprehensive loss</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(21,333)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(13,468)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(3,876)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(38,677)</w:t>
            </w:r>
          </w:p>
        </w:tc>
        <w:tc>
          <w:tcPr>
            <w:tcW w:w="0" w:type="dxa"/>
            <w:vAlign w:val="bottom"/>
          </w:tcPr>
          <w:p>
            <w:pPr>
              <w:spacing w:after="0"/>
              <w:rPr>
                <w:sz w:val="1"/>
                <w:szCs w:val="1"/>
                <w:color w:val="auto"/>
              </w:rPr>
            </w:pPr>
          </w:p>
        </w:tc>
      </w:tr>
      <w:tr>
        <w:trPr>
          <w:trHeight w:val="172"/>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Settlement of equity-based compensation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(68)</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(28,395)</w:t>
            </w:r>
          </w:p>
        </w:tc>
        <w:tc>
          <w:tcPr>
            <w:tcW w:w="0" w:type="dxa"/>
            <w:vAlign w:val="bottom"/>
          </w:tcPr>
          <w:p>
            <w:pPr>
              <w:spacing w:after="0"/>
              <w:rPr>
                <w:sz w:val="1"/>
                <w:szCs w:val="1"/>
                <w:color w:val="auto"/>
              </w:rPr>
            </w:pPr>
          </w:p>
        </w:tc>
      </w:tr>
      <w:tr>
        <w:trPr>
          <w:trHeight w:val="172"/>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Issuance of preferred shares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560"/>
              <w:spacing w:after="0"/>
              <w:rPr>
                <w:sz w:val="20"/>
                <w:szCs w:val="20"/>
                <w:color w:val="auto"/>
              </w:rPr>
            </w:pPr>
            <w:r>
              <w:rPr>
                <w:rFonts w:ascii="Arial" w:cs="Arial" w:eastAsia="Arial" w:hAnsi="Arial"/>
                <w:sz w:val="13"/>
                <w:szCs w:val="13"/>
                <w:b w:val="1"/>
                <w:bCs w:val="1"/>
                <w:color w:val="auto"/>
              </w:rPr>
              <w:t>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20,490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20,500</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(4,625)</w:t>
            </w:r>
          </w:p>
        </w:tc>
        <w:tc>
          <w:tcPr>
            <w:tcW w:w="0" w:type="dxa"/>
            <w:vAlign w:val="bottom"/>
          </w:tcPr>
          <w:p>
            <w:pPr>
              <w:spacing w:after="0"/>
              <w:rPr>
                <w:sz w:val="1"/>
                <w:szCs w:val="1"/>
                <w:color w:val="auto"/>
              </w:rPr>
            </w:pPr>
          </w:p>
        </w:tc>
      </w:tr>
      <w:tr>
        <w:trPr>
          <w:trHeight w:val="172"/>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Equity-based compensation</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621</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Equity -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b w:val="1"/>
                <w:bCs w:val="1"/>
                <w:color w:val="auto"/>
              </w:rPr>
              <w:t>91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1,130,121</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60,760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(16,450)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25,469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1,200,847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ind w:left="620"/>
              <w:spacing w:after="0"/>
              <w:rPr>
                <w:sz w:val="20"/>
                <w:szCs w:val="20"/>
                <w:color w:val="auto"/>
              </w:rPr>
            </w:pPr>
            <w:r>
              <w:rPr>
                <w:rFonts w:ascii="Arial" w:cs="Arial" w:eastAsia="Arial" w:hAnsi="Arial"/>
                <w:sz w:val="13"/>
                <w:szCs w:val="13"/>
                <w:b w:val="1"/>
                <w:bCs w:val="1"/>
                <w:color w:val="auto"/>
              </w:rPr>
              <w:t>Three and Nine Months Ended September 30, 2019</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0"/>
                <w:szCs w:val="10"/>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88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w w:val="96"/>
              </w:rPr>
              <w:t>Preferred</w:t>
            </w: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 Paid</w:t>
            </w: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Deficit) Retained</w:t>
            </w:r>
          </w:p>
        </w:tc>
        <w:tc>
          <w:tcPr>
            <w:tcW w:w="15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Comprehensive Income</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9"/>
              </w:rPr>
              <w:t>In Capital</w:t>
            </w:r>
          </w:p>
        </w:tc>
        <w:tc>
          <w:tcPr>
            <w:tcW w:w="12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Earnings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Subsidiaries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2018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4"/>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1,029,376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56,383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1,053,782</w:t>
            </w:r>
          </w:p>
        </w:tc>
        <w:tc>
          <w:tcPr>
            <w:tcW w:w="0" w:type="dxa"/>
            <w:vAlign w:val="bottom"/>
          </w:tcPr>
          <w:p>
            <w:pPr>
              <w:spacing w:after="0"/>
              <w:rPr>
                <w:sz w:val="1"/>
                <w:szCs w:val="1"/>
                <w:color w:val="auto"/>
              </w:rPr>
            </w:pPr>
          </w:p>
        </w:tc>
      </w:tr>
      <w:tr>
        <w:trPr>
          <w:trHeight w:val="168"/>
        </w:trPr>
        <w:tc>
          <w:tcPr>
            <w:tcW w:w="2740" w:type="dxa"/>
            <w:vAlign w:val="bottom"/>
            <w:gridSpan w:val="2"/>
          </w:tcPr>
          <w:p>
            <w:pPr>
              <w:ind w:left="1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13,952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(7,955)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5,997</w:t>
            </w: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34,058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34,058</w:t>
            </w:r>
          </w:p>
        </w:tc>
        <w:tc>
          <w:tcPr>
            <w:tcW w:w="0" w:type="dxa"/>
            <w:vAlign w:val="bottom"/>
          </w:tcPr>
          <w:p>
            <w:pPr>
              <w:spacing w:after="0"/>
              <w:rPr>
                <w:sz w:val="1"/>
                <w:szCs w:val="1"/>
                <w:color w:val="auto"/>
              </w:rPr>
            </w:pPr>
          </w:p>
        </w:tc>
      </w:tr>
      <w:tr>
        <w:trPr>
          <w:trHeight w:val="168"/>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Total comprehensive income (loss)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13,952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34,058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(7,955)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40,055</w:t>
            </w:r>
          </w:p>
        </w:tc>
        <w:tc>
          <w:tcPr>
            <w:tcW w:w="0" w:type="dxa"/>
            <w:vAlign w:val="bottom"/>
          </w:tcPr>
          <w:p>
            <w:pPr>
              <w:spacing w:after="0"/>
              <w:rPr>
                <w:sz w:val="1"/>
                <w:szCs w:val="1"/>
                <w:color w:val="auto"/>
              </w:rPr>
            </w:pPr>
          </w:p>
        </w:tc>
      </w:tr>
      <w:tr>
        <w:trPr>
          <w:trHeight w:val="18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68"/>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Conversion of participating securities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(56,767)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(56,767)</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928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June 30, 2019</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972,836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34,058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49,356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1,038,233</w:t>
            </w:r>
          </w:p>
        </w:tc>
        <w:tc>
          <w:tcPr>
            <w:tcW w:w="0" w:type="dxa"/>
            <w:vAlign w:val="bottom"/>
          </w:tcPr>
          <w:p>
            <w:pPr>
              <w:spacing w:after="0"/>
              <w:rPr>
                <w:sz w:val="1"/>
                <w:szCs w:val="1"/>
                <w:color w:val="auto"/>
              </w:rPr>
            </w:pPr>
          </w:p>
        </w:tc>
      </w:tr>
      <w:tr>
        <w:trPr>
          <w:trHeight w:val="168"/>
        </w:trPr>
        <w:tc>
          <w:tcPr>
            <w:tcW w:w="2740" w:type="dxa"/>
            <w:vAlign w:val="bottom"/>
            <w:gridSpan w:val="2"/>
          </w:tcPr>
          <w:p>
            <w:pPr>
              <w:ind w:left="1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25,671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(4,995)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20,676</w:t>
            </w: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(8,584)</w:t>
            </w:r>
          </w:p>
        </w:tc>
        <w:tc>
          <w:tcPr>
            <w:tcW w:w="0" w:type="dxa"/>
            <w:vAlign w:val="bottom"/>
          </w:tcPr>
          <w:p>
            <w:pPr>
              <w:spacing w:after="0"/>
              <w:rPr>
                <w:sz w:val="1"/>
                <w:szCs w:val="1"/>
                <w:color w:val="auto"/>
              </w:rPr>
            </w:pPr>
          </w:p>
        </w:tc>
      </w:tr>
      <w:tr>
        <w:trPr>
          <w:trHeight w:val="168"/>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Total comprehensive income (loss)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25,671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(8,584)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(4,995)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12,092</w:t>
            </w:r>
          </w:p>
        </w:tc>
        <w:tc>
          <w:tcPr>
            <w:tcW w:w="0" w:type="dxa"/>
            <w:vAlign w:val="bottom"/>
          </w:tcPr>
          <w:p>
            <w:pPr>
              <w:spacing w:after="0"/>
              <w:rPr>
                <w:sz w:val="1"/>
                <w:szCs w:val="1"/>
                <w:color w:val="auto"/>
              </w:rPr>
            </w:pPr>
          </w:p>
        </w:tc>
      </w:tr>
      <w:tr>
        <w:trPr>
          <w:trHeight w:val="184"/>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67"/>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Conversion of participating securities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4"/>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(28,387)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(28,387)</w:t>
            </w:r>
          </w:p>
        </w:tc>
        <w:tc>
          <w:tcPr>
            <w:tcW w:w="0" w:type="dxa"/>
            <w:vAlign w:val="bottom"/>
          </w:tcPr>
          <w:p>
            <w:pPr>
              <w:spacing w:after="0"/>
              <w:rPr>
                <w:sz w:val="1"/>
                <w:szCs w:val="1"/>
                <w:color w:val="auto"/>
              </w:rPr>
            </w:pPr>
          </w:p>
        </w:tc>
      </w:tr>
      <w:tr>
        <w:trPr>
          <w:trHeight w:val="167"/>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Issuance of preferred shares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540"/>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82,853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82,888</w:t>
            </w: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676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75"/>
        </w:trPr>
        <w:tc>
          <w:tcPr>
            <w:tcW w:w="2740" w:type="dxa"/>
            <w:vAlign w:val="bottom"/>
            <w:gridSpan w:val="2"/>
          </w:tcPr>
          <w:p>
            <w:pPr>
              <w:ind w:left="20"/>
              <w:spacing w:after="0"/>
              <w:rPr>
                <w:sz w:val="20"/>
                <w:szCs w:val="20"/>
                <w:color w:val="auto"/>
              </w:rPr>
            </w:pPr>
            <w:r>
              <w:rPr>
                <w:rFonts w:ascii="Arial" w:cs="Arial" w:eastAsia="Arial" w:hAnsi="Arial"/>
                <w:sz w:val="13"/>
                <w:szCs w:val="13"/>
                <w:b w:val="1"/>
                <w:bCs w:val="1"/>
                <w:color w:val="auto"/>
              </w:rPr>
              <w:t>Equity - September 30, 2019</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849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ind w:left="540"/>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jc w:val="right"/>
              <w:ind w:right="2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1,027,451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6,806</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25,474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45,037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1,105,652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(43,997)</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26,673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5,445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2,165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(61,416)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(12,275)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(3,863)</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4,724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126,543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125,877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14,391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 current and deferred income taxes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(7,374)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(1,906)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23,394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24,008</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6,156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5,995</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Bad debt expense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3,139</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(43,014)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(16,002)</w:t>
            </w:r>
          </w:p>
        </w:tc>
      </w:tr>
      <w:tr>
        <w:trPr>
          <w:trHeight w:val="189"/>
        </w:trPr>
        <w:tc>
          <w:tcPr>
            <w:tcW w:w="7840" w:type="dxa"/>
            <w:vAlign w:val="bottom"/>
          </w:tcPr>
          <w:p>
            <w:pPr>
              <w:ind w:left="16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(15,128)</w:t>
            </w:r>
          </w:p>
        </w:tc>
      </w:tr>
      <w:tr>
        <w:trPr>
          <w:trHeight w:val="189"/>
        </w:trPr>
        <w:tc>
          <w:tcPr>
            <w:tcW w:w="7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(32,415)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w:t>
            </w:r>
          </w:p>
        </w:tc>
      </w:tr>
      <w:tr>
        <w:trPr>
          <w:trHeight w:val="189"/>
        </w:trPr>
        <w:tc>
          <w:tcPr>
            <w:tcW w:w="7840" w:type="dxa"/>
            <w:vAlign w:val="bottom"/>
          </w:tcPr>
          <w:p>
            <w:pPr>
              <w:ind w:left="160"/>
              <w:spacing w:after="0"/>
              <w:rPr>
                <w:sz w:val="20"/>
                <w:szCs w:val="20"/>
                <w:color w:val="auto"/>
              </w:rPr>
            </w:pPr>
            <w:r>
              <w:rPr>
                <w:rFonts w:ascii="Arial" w:cs="Arial" w:eastAsia="Arial" w:hAnsi="Arial"/>
                <w:sz w:val="14"/>
                <w:szCs w:val="14"/>
                <w:color w:val="auto"/>
              </w:rPr>
              <w:t>Management fees payable to affiliate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(20,965)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8,961</w:t>
            </w:r>
          </w:p>
        </w:tc>
      </w:tr>
      <w:tr>
        <w:trPr>
          <w:trHeight w:val="189"/>
        </w:trPr>
        <w:tc>
          <w:tcPr>
            <w:tcW w:w="7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(13,735)</w:t>
            </w:r>
          </w:p>
        </w:tc>
      </w:tr>
      <w:tr>
        <w:trPr>
          <w:trHeight w:val="18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28,393</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92,713</w:t>
            </w:r>
          </w:p>
        </w:tc>
      </w:tr>
      <w:tr>
        <w:trPr>
          <w:trHeight w:val="196"/>
        </w:trPr>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7,001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13,094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(252,859)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(287,508)</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(209,662)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(243,707)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Purchase deposits for acquisitions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(5,320)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(45,852)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53,707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166,290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capital distributions from unconsolidated entities</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Return of deposit on sale of engine</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(407,193)</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(409,853)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883,981</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568,704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(495,991)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(218,934)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(20,416)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(31,585)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(3,815)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25,102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49,356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(12,429)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(23,822)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20,223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82,888</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Purchase of non-controlling interest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common shares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(85,177)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(85,154)</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dividends - preferred shares</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(13,243)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299,689</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346,887</w:t>
            </w:r>
          </w:p>
        </w:tc>
      </w:tr>
      <w:tr>
        <w:trPr>
          <w:trHeight w:val="196"/>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(79,111)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29,747</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242,517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120,837</w:t>
            </w:r>
          </w:p>
        </w:tc>
      </w:tr>
      <w:tr>
        <w:trPr>
          <w:trHeight w:val="20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163,406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150,584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59,056</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3,386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(9,406)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Settled and assumed security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(6,215)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(34,253)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 fair value of cash flow hedge</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25,474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(16,822)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84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and (iii) an equity method investment in a multi-modal terminal located along the Ohio River with multiple industrial development opportunities, including a power plant under construction (“Long Ridge”). Additionally, we own and lease offshore energy equipment and shipping containers. We have three reportable segments, (i) Aviation Leasing, (ii) Jefferson Terminal and (iii) Ports and Terminals, which operate in two primary businesses, Equipment Leasing and Infrastructure (see Note 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9)</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Commodities inventory is carried at the lower of cost or net realizable value on our balance sheet. Commodities are removed from inventory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based on the average cost at the time of sale. We had commodities inventory of $1.5 million and $5.6 million as of September 30, 2020 and December 31, 2019, respectively, which is included in Other assets in the Consolidated Balance Sheets.</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$31.3 million and $18.1 million as of September 30, 2020 and December 31, 2019, respectively, are recorded as a component of debt in the Consolidated Balance Sheets.</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$2.0 million and $1.7 million as of September 30, 2020 and December 31, 2019, respectively, which are included in Other assets in the Consolidated Balance Sheets.</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Amortization expense was $2.1 million and $1.9 million for the three months ended September 30, 2020 and 2019, respectively, and $6.2 million and $6.0 million for the nine months ended September 30, 2020 and 2019, respectively, and is included in interest expense in the Consolidated Statements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fair value of the aircraft and lease. The fair value of the lease may include a lease premium or discount.</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April 2020, the FASB Staff issued a question-and-answer document (the “Q&amp;A”) regarding accounting for lease concessions related to the effects of the COVID-19 pandemic. The Q&amp;A permits an entity to elect to forgo the evaluation of the enforceable rights and obligations of a lease contract required under ASC 842, </w:t>
      </w:r>
      <w:r>
        <w:rPr>
          <w:rFonts w:ascii="Arial" w:cs="Arial" w:eastAsia="Arial" w:hAnsi="Arial"/>
          <w:sz w:val="16"/>
          <w:szCs w:val="16"/>
          <w:i w:val="1"/>
          <w:iCs w:val="1"/>
          <w:color w:val="auto"/>
        </w:rPr>
        <w:t>Leases</w:t>
      </w:r>
      <w:r>
        <w:rPr>
          <w:rFonts w:ascii="Arial" w:cs="Arial" w:eastAsia="Arial" w:hAnsi="Arial"/>
          <w:sz w:val="16"/>
          <w:szCs w:val="16"/>
          <w:color w:val="auto"/>
        </w:rPr>
        <w:t>, as long as the total rent payments after the lease concessions are substantially the same, or less than, the total rent payments in the existing lease. The impact of the COVID-19 related lease concessions granted above did not have a material impact on our results of operations during the three and nine months ended September 30, 2020.</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w:t>
      </w:r>
      <w:r>
        <w:rPr>
          <w:rFonts w:ascii="Arial" w:cs="Arial" w:eastAsia="Arial" w:hAnsi="Arial"/>
          <w:sz w:val="16"/>
          <w:szCs w:val="16"/>
          <w:color w:val="000000"/>
          <w:strike w:val="1"/>
        </w:rPr>
        <w: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relevant lease agreement.</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consists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During the three months ended September 30, 2020, one customer in the Aviation Leasing segment accounted for approximately 11% of total revenue. During the three months ended September 30, 2019, one customer in the Jefferson Terminal segment accounted for approximately 17% of total revenue. During the nine months ended September 30, 2020, one customer in the Aviation segment accounted for approximately 11% of total revenue. During the nine months ended September 30, 2019, one customer in the Jefferson Terminal segment accounted for approximately 19% of total revenue.</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2020, there were two customers in the Aviation Leasing segment that represented 32% and 14% of total accounts receivable, net, respectively. As of December 31, 2019, accounts receivable from one customer in the Jefferson Terminal segment represented 16% of total accounts receivable, net.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$2.8 million and $1.3 million as of September 30, 2020 and December 31, 2019, respectively. Bad debt expense was $0.2 million and $0.0 million for the three months ended September 30, 2020 and 2019, respectively, and $2.0 million and $3.0 million for the nine months ended September 30, 2020 and 2019, respectively, and is included in operating expenses in the Consolidated Statements of Operations.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related to other comprehensive income related to our equity method investees.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related to equity method investees in our Consolidated Statements of Comprehensive (Loss) Income and recorded in Accumulated other comprehensive (loss) income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Equity in earnings (losses) in unconsolidated entities in the Consolidated Statements of Operations. The cash flow impact of derivative contracts that are not designated as hedging instruments is recognized in Investment in unconsolidated entities in our Consolidated Statements of Cash Flows.</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See Note 11 for additional details.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the extent that we have outstanding derivatives, they are not used for speculative purposes. We record all derivative assets and liabilities on a gross basis at fair value and are included in Other assets and Other liabilities, respectively, in our Consolidated Balance Sheets.</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$48.5 million and $45.3 million, prepaid expenses of $6.0 million and $4.1 million,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receivable of $7.8 million and $2.4 million and maintenance right assets of $13.6 million and $24.5 million as of September 30, 2020 and December 31, 2019, respectively.</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nine months ended September 30, 2020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2019, the Board of Directors declared a cash dividend of $0.33 and $0.99 per common share.</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quarter ended September 30, 2020, the Board of Directors declared a cash dividend on the Series A Preferred Shares and Series B Preferred Shares of $0.52 and $0.50 per share, respectively.</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June 2016, the FASB issued ASU 2016-13,</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Financial Instruments—Credit Losses (Topic 326): Measurement of</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Credit Losses on Financial Instruments (“ASU 2016-13”)</w:t>
      </w:r>
      <w:r>
        <w:rPr>
          <w:rFonts w:ascii="Arial" w:cs="Arial" w:eastAsia="Arial" w:hAnsi="Arial"/>
          <w:sz w:val="16"/>
          <w:szCs w:val="16"/>
          <w:color w:val="000000"/>
        </w:rPr>
        <w:t>. For assets held at amortized cost basis, ASU 2016-13 eliminates the probable initial recognition</w:t>
      </w:r>
      <w:r>
        <w:rPr>
          <w:rFonts w:ascii="Arial" w:cs="Arial" w:eastAsia="Arial" w:hAnsi="Arial"/>
          <w:sz w:val="16"/>
          <w:szCs w:val="16"/>
          <w:i w:val="1"/>
          <w:iCs w:val="1"/>
          <w:color w:val="000000"/>
        </w:rPr>
        <w:t xml:space="preserve"> </w:t>
      </w:r>
      <w:r>
        <w:rPr>
          <w:rFonts w:ascii="Arial" w:cs="Arial" w:eastAsia="Arial" w:hAnsi="Arial"/>
          <w:sz w:val="16"/>
          <w:szCs w:val="16"/>
          <w:color w:val="000000"/>
        </w:rPr>
        <w:t>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We adopted this ASU in the first quarter of 2020 and adoption did not have a material impact on our consolidated financial statements.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We adopted this ASU in the first quarter of 2020 and adoption did not have a material impact on our consolidated financial statements.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We adopted this ASU in the first quarter of 2020 and adoption did not have a material impact on our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 which temporarily simplifies the accounting for contract modifications, including hedging relationships, due to the transition from LIBOR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The new standard was effective upon issuance and generally can be applied to applicable contract modifications through December 31, 2022. Adoption did not have a material impact on our consolidated financial statements.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December 2019, the FASB issued ASU 2019-12,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Simplifying the Accounting for Income Taxes (Topic 740)</w:t>
      </w:r>
      <w:r>
        <w:rPr>
          <w:rFonts w:ascii="Arial" w:cs="Arial" w:eastAsia="Arial" w:hAnsi="Arial"/>
          <w:sz w:val="16"/>
          <w:szCs w:val="16"/>
          <w:color w:val="000000"/>
        </w:rPr>
        <w: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This standard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The standard is effective for public companies for fiscal years, and interim periods within those fiscal years, beginning after December 15, 2020 and early adoption is permitted. We are currently assessing the impact this guidance will have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2019, we completed the sale of substantially all of our railroad business (“CMQR”), which was previously reported as our Railroad segment. Under ASC 205-20, this disposition met the criteria to be reported as discontinued operations. Accordingly, the results of operations of CMQR have been reported as discontinued operations for all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components of net income from discontinued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00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9,521</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28,411</w:t>
            </w:r>
          </w:p>
        </w:tc>
        <w:tc>
          <w:tcPr>
            <w:tcW w:w="0" w:type="dxa"/>
            <w:vAlign w:val="bottom"/>
          </w:tcPr>
          <w:p>
            <w:pPr>
              <w:spacing w:after="0"/>
              <w:rPr>
                <w:sz w:val="1"/>
                <w:szCs w:val="1"/>
                <w:color w:val="auto"/>
              </w:rPr>
            </w:pPr>
          </w:p>
        </w:tc>
      </w:tr>
      <w:tr>
        <w:trPr>
          <w:trHeight w:val="16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16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23,280</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16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1,697</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26,197</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1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0" w:type="dxa"/>
            <w:vAlign w:val="bottom"/>
          </w:tcPr>
          <w:p>
            <w:pPr>
              <w:spacing w:after="0"/>
              <w:rPr>
                <w:sz w:val="1"/>
                <w:szCs w:val="1"/>
                <w:color w:val="auto"/>
              </w:rPr>
            </w:pPr>
          </w:p>
        </w:tc>
      </w:tr>
      <w:tr>
        <w:trPr>
          <w:trHeight w:val="133"/>
        </w:trPr>
        <w:tc>
          <w:tcPr>
            <w:tcW w:w="4620" w:type="dxa"/>
            <w:vAlign w:val="bottom"/>
          </w:tcPr>
          <w:p>
            <w:pPr>
              <w:ind w:left="20"/>
              <w:spacing w:after="0" w:line="133" w:lineRule="exact"/>
              <w:rPr>
                <w:sz w:val="20"/>
                <w:szCs w:val="20"/>
                <w:color w:val="auto"/>
              </w:rPr>
            </w:pPr>
            <w:r>
              <w:rPr>
                <w:rFonts w:ascii="Arial" w:cs="Arial" w:eastAsia="Arial" w:hAnsi="Arial"/>
                <w:sz w:val="14"/>
                <w:szCs w:val="14"/>
                <w:color w:val="auto"/>
              </w:rPr>
              <w:t>Less: Net income (loss) attributable to non-controlling interests in</w:t>
            </w:r>
          </w:p>
        </w:tc>
        <w:tc>
          <w:tcPr>
            <w:tcW w:w="1160" w:type="dxa"/>
            <w:vAlign w:val="bottom"/>
          </w:tcPr>
          <w:p>
            <w:pPr>
              <w:spacing w:after="0"/>
              <w:rPr>
                <w:sz w:val="11"/>
                <w:szCs w:val="11"/>
                <w:color w:val="auto"/>
              </w:rPr>
            </w:pPr>
          </w:p>
        </w:tc>
        <w:tc>
          <w:tcPr>
            <w:tcW w:w="4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subsidiaries</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capital expenditures from discontinued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6"/>
                <w:szCs w:val="16"/>
                <w:color w:val="auto"/>
              </w:rPr>
            </w:pPr>
          </w:p>
        </w:tc>
      </w:tr>
      <w:tr>
        <w:trPr>
          <w:trHeight w:val="183"/>
        </w:trPr>
        <w:tc>
          <w:tcPr>
            <w:tcW w:w="79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r>
      <w:tr>
        <w:trPr>
          <w:trHeight w:val="169"/>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89"/>
        </w:trPr>
        <w:tc>
          <w:tcPr>
            <w:tcW w:w="79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1,697</w:t>
            </w:r>
          </w:p>
        </w:tc>
      </w:tr>
      <w:tr>
        <w:trPr>
          <w:trHeight w:val="189"/>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Bad debt expense</w:t>
            </w:r>
          </w:p>
        </w:tc>
        <w:tc>
          <w:tcPr>
            <w:tcW w:w="1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189"/>
        </w:trPr>
        <w:tc>
          <w:tcPr>
            <w:tcW w:w="796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16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189"/>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4,500</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LEASING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6"/>
                <w:szCs w:val="16"/>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2,099,803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2,019,773</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(396,305)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(312,714)</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1,703,498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1,707,059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During the nine months ended September 30, 2020, we performed impairment analyses over certain of our leasing equipment and determined that the carrying amount of certain assets were not recoverable. To determine fair value, we used both a market approach, using quoted market prices for the same or similar assets, and an income approach, using discounted cash flows and an estimated discount rate. As a result, we adjusted the carrying value of these assets to fair value and recognized transactional impairment charges of $14.4 million, net of redelivery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 during the nine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5320" w:type="dxa"/>
            <w:vAlign w:val="bottom"/>
            <w:shd w:val="clear" w:color="auto" w:fill="CCEEFF"/>
          </w:tcPr>
          <w:p>
            <w:pPr>
              <w:spacing w:after="0"/>
              <w:rPr>
                <w:sz w:val="16"/>
                <w:szCs w:val="16"/>
                <w:color w:val="auto"/>
              </w:rPr>
            </w:pPr>
          </w:p>
        </w:tc>
      </w:tr>
      <w:tr>
        <w:trPr>
          <w:trHeight w:val="189"/>
        </w:trPr>
        <w:tc>
          <w:tcPr>
            <w:tcW w:w="5920" w:type="dxa"/>
            <w:vAlign w:val="bottom"/>
          </w:tcPr>
          <w:p>
            <w:pPr>
              <w:ind w:left="120"/>
              <w:spacing w:after="0"/>
              <w:rPr>
                <w:sz w:val="20"/>
                <w:szCs w:val="20"/>
                <w:color w:val="auto"/>
              </w:rPr>
            </w:pPr>
            <w:r>
              <w:rPr>
                <w:rFonts w:ascii="Arial" w:cs="Arial" w:eastAsia="Arial" w:hAnsi="Arial"/>
                <w:sz w:val="14"/>
                <w:szCs w:val="14"/>
                <w:color w:val="auto"/>
              </w:rPr>
              <w:t>Aircraft</w:t>
            </w:r>
          </w:p>
        </w:tc>
        <w:tc>
          <w:tcPr>
            <w:tcW w:w="5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Engines</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592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5320" w:type="dxa"/>
            <w:vAlign w:val="bottom"/>
          </w:tcPr>
          <w:p>
            <w:pPr>
              <w:spacing w:after="0"/>
              <w:rPr>
                <w:sz w:val="16"/>
                <w:szCs w:val="16"/>
                <w:color w:val="auto"/>
              </w:rPr>
            </w:pPr>
          </w:p>
        </w:tc>
      </w:tr>
      <w:tr>
        <w:trPr>
          <w:trHeight w:val="189"/>
        </w:trPr>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Aircraft</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5920" w:type="dxa"/>
            <w:vAlign w:val="bottom"/>
          </w:tcPr>
          <w:p>
            <w:pPr>
              <w:ind w:left="120"/>
              <w:spacing w:after="0"/>
              <w:rPr>
                <w:sz w:val="20"/>
                <w:szCs w:val="20"/>
                <w:color w:val="auto"/>
              </w:rPr>
            </w:pPr>
            <w:r>
              <w:rPr>
                <w:rFonts w:ascii="Arial" w:cs="Arial" w:eastAsia="Arial" w:hAnsi="Arial"/>
                <w:sz w:val="14"/>
                <w:szCs w:val="14"/>
                <w:color w:val="auto"/>
              </w:rPr>
              <w:t>Engines</w:t>
            </w:r>
          </w:p>
        </w:tc>
        <w:tc>
          <w:tcPr>
            <w:tcW w:w="5320" w:type="dxa"/>
            <w:vAlign w:val="bottom"/>
          </w:tcPr>
          <w:p>
            <w:pPr>
              <w:jc w:val="right"/>
              <w:spacing w:after="0"/>
              <w:rPr>
                <w:sz w:val="20"/>
                <w:szCs w:val="20"/>
                <w:color w:val="auto"/>
              </w:rPr>
            </w:pPr>
            <w:r>
              <w:rPr>
                <w:rFonts w:ascii="Arial" w:cs="Arial" w:eastAsia="Arial" w:hAnsi="Arial"/>
                <w:sz w:val="14"/>
                <w:szCs w:val="14"/>
                <w:color w:val="auto"/>
              </w:rPr>
              <w:t>20</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35,104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104,121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103,080</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FINANCE LEASES,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6"/>
                <w:szCs w:val="16"/>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16,748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12,388</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(3,559)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(4,073)</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We entered into a 15 month sales-type lease agreement for three of our engines during the nine months ended September 30, 2020.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PROPERTY, PLANT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52,045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393,111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211,110</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3,783</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536,664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519,603</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4,823</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2,322</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5,888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r>
      <w:tr>
        <w:trPr>
          <w:trHeight w:val="183"/>
        </w:trPr>
        <w:tc>
          <w:tcPr>
            <w:tcW w:w="7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1,007,620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802,044</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(89,748)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(69,935)</w:t>
            </w:r>
          </w:p>
        </w:tc>
      </w:tr>
      <w:tr>
        <w:trPr>
          <w:trHeight w:val="183"/>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917,872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732,109</w:t>
            </w:r>
          </w:p>
        </w:tc>
      </w:tr>
      <w:tr>
        <w:trPr>
          <w:trHeight w:val="21"/>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nine months ended September 30, 2020, we added property, plant and equipment of $205.6 million, which primarily consists of terminal machinery and equipment placed in service or under development at Jefferson Terminal and Repauno.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6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1040" w:type="dxa"/>
            <w:vAlign w:val="bottom"/>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6,634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6,343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19,757</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18,435</w:t>
            </w:r>
          </w:p>
        </w:tc>
      </w:tr>
      <w:tr>
        <w:trPr>
          <w:trHeight w:val="189"/>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10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6,634</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6,822</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19,757</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20,117</w:t>
            </w:r>
          </w:p>
        </w:tc>
      </w:tr>
      <w:tr>
        <w:trPr>
          <w:trHeight w:val="20"/>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3080" w:type="dxa"/>
            <w:vAlign w:val="bottom"/>
            <w:tcBorders>
              <w:bottom w:val="single" w:sz="8" w:color="CCEEFF"/>
            </w:tcBorders>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24,652</w:t>
            </w: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133,688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155,397</w:t>
            </w:r>
          </w:p>
        </w:tc>
      </w:tr>
      <w:tr>
        <w:trPr>
          <w:trHeight w:val="18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FYX Trust Holdco LLC</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w:t>
            </w:r>
          </w:p>
        </w:tc>
        <w:tc>
          <w:tcPr>
            <w:tcW w:w="2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p>
        </w:tc>
        <w:tc>
          <w:tcPr>
            <w:tcW w:w="1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158,215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180,550</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and nine months ended September 30, 2020 or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Long Ridge Terminal LLC</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(2,286)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(3,962)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 Energy Partners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was governed by a designated operating committee selected by the members in proportion to their equity interests. JGP was solely reliant on its members to finance its activities and therefore was a VIE. Initially, we concluded that we were not the primary beneficiary of JGP as the members shared equally in the risks and rewards and decision making authority of the entity and, therefore, we did not consolidate JGP and instead accounted for this investment in accordance with the equity method.</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2019, we purchased the remaining 50% interest in JGP from the joint venture partner for a purchase price of approximately $30 million, consolidated JGP and no longer account for this as an equity method investment.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Intermodal Finance I, Ltd.</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therefore, we do not consolidate Intermodal but account for this investment in accordance with the equity method. We do not have a variable interest in this investment as none of the criteria of ASC 810-10-15-14 were met.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Intermodal owns a portfolio of approximately 2,000 shipping containers subject to multiple operating leases.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FYX Trust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2020, we invested $1.3 million for a 14% interest in an operating company that provides roadside assistance services for the intermodal and over-the-road trucking industries. FYX Trust Holdco LLC (“FYX”) has developed a mobile and web-based application that connects fleet managers, owner-operators, and drivers with repair vendors to efficiently and reliably quote, dispatch, monitor, and bill roadside repair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INTANGIBLE ASSETS AND LIABILITIES,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September 30, 2020</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 Terminal</w:t>
            </w:r>
          </w:p>
        </w:tc>
        <w:tc>
          <w:tcPr>
            <w:tcW w:w="34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35,349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35,349</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(28,124)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(28,124)</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7,225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7,225</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35,513</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(21,596)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(21,596)</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13,917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13,917</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7,225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13,917</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21,142</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7,151</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(3,868)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(3,868)</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49"/>
        </w:trPr>
        <w:tc>
          <w:tcPr>
            <w:tcW w:w="6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 Terminal</w:t>
            </w:r>
          </w:p>
        </w:tc>
        <w:tc>
          <w:tcPr>
            <w:tcW w:w="34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49,762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49,762</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(38,652)</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11,110</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(18,931)</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16,582</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11,110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16,582</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27,692</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5,170</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(3,014)</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2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Classification in Consolidated</w:t>
            </w:r>
          </w:p>
        </w:tc>
        <w:tc>
          <w:tcPr>
            <w:tcW w:w="240" w:type="dxa"/>
            <w:vAlign w:val="bottom"/>
          </w:tcPr>
          <w:p>
            <w:pPr>
              <w:spacing w:after="0"/>
              <w:rPr>
                <w:sz w:val="16"/>
                <w:szCs w:val="16"/>
                <w:color w:val="auto"/>
              </w:rPr>
            </w:pPr>
          </w:p>
        </w:tc>
        <w:tc>
          <w:tcPr>
            <w:tcW w:w="31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9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75"/>
        </w:trPr>
        <w:tc>
          <w:tcPr>
            <w:tcW w:w="1940" w:type="dxa"/>
            <w:vAlign w:val="bottom"/>
          </w:tcPr>
          <w:p>
            <w:pPr>
              <w:spacing w:after="0"/>
              <w:rPr>
                <w:sz w:val="6"/>
                <w:szCs w:val="6"/>
                <w:color w:val="auto"/>
              </w:rPr>
            </w:pPr>
          </w:p>
        </w:tc>
        <w:tc>
          <w:tcPr>
            <w:tcW w:w="2700" w:type="dxa"/>
            <w:vAlign w:val="bottom"/>
            <w:gridSpan w:val="2"/>
            <w:vMerge w:val="continue"/>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1940" w:type="dxa"/>
            <w:vAlign w:val="bottom"/>
            <w:tcBorders>
              <w:bottom w:val="single" w:sz="8" w:color="CCEEFF"/>
            </w:tcBorders>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0" w:type="dxa"/>
            <w:vAlign w:val="bottom"/>
          </w:tcPr>
          <w:p>
            <w:pPr>
              <w:spacing w:after="0"/>
              <w:rPr>
                <w:sz w:val="1"/>
                <w:szCs w:val="1"/>
                <w:color w:val="auto"/>
              </w:rPr>
            </w:pPr>
          </w:p>
        </w:tc>
      </w:tr>
      <w:tr>
        <w:trPr>
          <w:trHeight w:val="189"/>
        </w:trPr>
        <w:tc>
          <w:tcPr>
            <w:tcW w:w="1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70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2,665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89"/>
        </w:trPr>
        <w:tc>
          <w:tcPr>
            <w:tcW w:w="194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8"/>
        </w:trPr>
        <w:tc>
          <w:tcPr>
            <w:tcW w:w="1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8,416</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estimated net annual amortization of intangibles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2020</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2021</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6,295</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3,343</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17,859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DEBT,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b w:val="1"/>
                <w:bCs w:val="1"/>
                <w:color w:val="auto"/>
              </w:rPr>
              <w:t>September 30, 2020</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4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5"/>
                <w:szCs w:val="15"/>
                <w:color w:val="auto"/>
              </w:rPr>
            </w:pPr>
          </w:p>
        </w:tc>
        <w:tc>
          <w:tcPr>
            <w:tcW w:w="44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2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4"/>
                <w:szCs w:val="14"/>
                <w:color w:val="auto"/>
              </w:rPr>
              <w:t>FTAI Pride Credit Agreement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40" w:type="dxa"/>
            <w:vAlign w:val="bottom"/>
            <w:gridSpan w:val="2"/>
          </w:tcPr>
          <w:p>
            <w:pPr>
              <w:jc w:val="center"/>
              <w:ind w:right="80"/>
              <w:spacing w:after="0"/>
              <w:rPr>
                <w:sz w:val="20"/>
                <w:szCs w:val="20"/>
                <w:color w:val="auto"/>
              </w:rPr>
            </w:pPr>
            <w:r>
              <w:rPr>
                <w:rFonts w:ascii="Arial" w:cs="Arial" w:eastAsia="Arial" w:hAnsi="Arial"/>
                <w:sz w:val="14"/>
                <w:szCs w:val="14"/>
                <w:color w:val="auto"/>
              </w:rPr>
              <w:t>N/A</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36,009</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w:t>
            </w:r>
          </w:p>
        </w:tc>
        <w:tc>
          <w:tcPr>
            <w:tcW w:w="24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4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 Base Rate + 2.00%; or</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1/31/2022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color w:val="auto"/>
              </w:rPr>
              <w:t>Jefferson Revolver</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440" w:type="dxa"/>
            <w:vAlign w:val="bottom"/>
            <w:gridSpan w:val="2"/>
          </w:tcPr>
          <w:p>
            <w:pPr>
              <w:jc w:val="center"/>
              <w:ind w:right="80"/>
              <w:spacing w:after="0"/>
              <w:rPr>
                <w:sz w:val="20"/>
                <w:szCs w:val="20"/>
                <w:color w:val="auto"/>
              </w:rPr>
            </w:pPr>
            <w:r>
              <w:rPr>
                <w:rFonts w:ascii="Arial" w:cs="Arial" w:eastAsia="Arial" w:hAnsi="Arial"/>
                <w:sz w:val="14"/>
                <w:szCs w:val="14"/>
                <w:color w:val="auto"/>
              </w:rPr>
              <w:t>N/A</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53"/>
        </w:trPr>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3"/>
                <w:szCs w:val="13"/>
                <w:color w:val="auto"/>
              </w:rPr>
            </w:pPr>
          </w:p>
        </w:tc>
        <w:tc>
          <w:tcPr>
            <w:tcW w:w="444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Base Rate + 1.50%; or</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11/5/2021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060" w:type="dxa"/>
            <w:vAlign w:val="bottom"/>
            <w:vMerge w:val="continue"/>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Base Rate + 2.50% (Eurodollar)</w:t>
            </w:r>
          </w:p>
        </w:tc>
        <w:tc>
          <w:tcPr>
            <w:tcW w:w="11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111,009</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(3)</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440" w:type="dxa"/>
            <w:vAlign w:val="bottom"/>
            <w:gridSpan w:val="2"/>
          </w:tcPr>
          <w:p>
            <w:pPr>
              <w:jc w:val="center"/>
              <w:ind w:right="80"/>
              <w:spacing w:after="0"/>
              <w:rPr>
                <w:sz w:val="20"/>
                <w:szCs w:val="20"/>
                <w:color w:val="auto"/>
              </w:rPr>
            </w:pPr>
            <w:r>
              <w:rPr>
                <w:rFonts w:ascii="Arial" w:cs="Arial" w:eastAsia="Arial" w:hAnsi="Arial"/>
                <w:sz w:val="14"/>
                <w:szCs w:val="14"/>
                <w:color w:val="auto"/>
              </w:rPr>
              <w:t>N/A</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41,059</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2016 Bonds</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4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N/A</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N/A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263,980</w:t>
            </w:r>
          </w:p>
        </w:tc>
        <w:tc>
          <w:tcPr>
            <w:tcW w:w="100" w:type="dxa"/>
            <w:vAlign w:val="bottom"/>
          </w:tcPr>
          <w:p>
            <w:pPr>
              <w:spacing w:after="0"/>
              <w:rPr>
                <w:sz w:val="18"/>
                <w:szCs w:val="18"/>
                <w:color w:val="auto"/>
              </w:rPr>
            </w:pPr>
          </w:p>
        </w:tc>
        <w:tc>
          <w:tcPr>
            <w:tcW w:w="4440" w:type="dxa"/>
            <w:vAlign w:val="bottom"/>
            <w:gridSpan w:val="2"/>
          </w:tcPr>
          <w:p>
            <w:pPr>
              <w:jc w:val="center"/>
              <w:ind w:right="80"/>
              <w:spacing w:after="0"/>
              <w:rPr>
                <w:sz w:val="20"/>
                <w:szCs w:val="20"/>
                <w:color w:val="auto"/>
              </w:rPr>
            </w:pPr>
            <w:r>
              <w:rPr>
                <w:rFonts w:ascii="Arial" w:cs="Arial" w:eastAsia="Arial" w:hAnsi="Arial"/>
                <w:sz w:val="14"/>
                <w:szCs w:val="14"/>
                <w:color w:val="auto"/>
              </w:rPr>
              <w:t>See below</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See below</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2022 </w:t>
            </w:r>
            <w:r>
              <w:rPr>
                <w:rFonts w:ascii="Arial" w:cs="Arial" w:eastAsia="Arial" w:hAnsi="Arial"/>
                <w:sz w:val="18"/>
                <w:szCs w:val="18"/>
                <w:color w:val="auto"/>
                <w:vertAlign w:val="superscript"/>
              </w:rPr>
              <w:t>(4)</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698,413</w:t>
            </w:r>
          </w:p>
        </w:tc>
        <w:tc>
          <w:tcPr>
            <w:tcW w:w="44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3/15/2022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697,814</w:t>
            </w:r>
          </w:p>
        </w:tc>
        <w:tc>
          <w:tcPr>
            <w:tcW w:w="0" w:type="dxa"/>
            <w:vAlign w:val="bottom"/>
          </w:tcPr>
          <w:p>
            <w:pPr>
              <w:spacing w:after="0"/>
              <w:rPr>
                <w:sz w:val="1"/>
                <w:szCs w:val="1"/>
                <w:color w:val="auto"/>
              </w:rPr>
            </w:pPr>
          </w:p>
        </w:tc>
      </w:tr>
      <w:tr>
        <w:trPr>
          <w:trHeight w:val="185"/>
        </w:trPr>
        <w:tc>
          <w:tcPr>
            <w:tcW w:w="2060" w:type="dxa"/>
            <w:vAlign w:val="bottom"/>
          </w:tcPr>
          <w:p>
            <w:pPr>
              <w:ind w:left="20"/>
              <w:spacing w:after="0"/>
              <w:rPr>
                <w:sz w:val="20"/>
                <w:szCs w:val="20"/>
                <w:color w:val="auto"/>
              </w:rPr>
            </w:pPr>
            <w:r>
              <w:rPr>
                <w:rFonts w:ascii="Arial" w:cs="Arial" w:eastAsia="Arial" w:hAnsi="Arial"/>
                <w:sz w:val="14"/>
                <w:szCs w:val="14"/>
                <w:color w:val="auto"/>
              </w:rPr>
              <w:t>Senior Notes due</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line="193"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(5)</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445,507</w:t>
            </w:r>
          </w:p>
        </w:tc>
        <w:tc>
          <w:tcPr>
            <w:tcW w:w="4440" w:type="dxa"/>
            <w:vAlign w:val="bottom"/>
            <w:gridSpan w:val="2"/>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10/1/2025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444,957</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400,000</w:t>
            </w:r>
          </w:p>
        </w:tc>
        <w:tc>
          <w:tcPr>
            <w:tcW w:w="44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8/1/2027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4"/>
                <w:szCs w:val="14"/>
                <w:color w:val="auto"/>
              </w:rPr>
              <w:t>Total bonds payable</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1,807,900</w:t>
            </w: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1,328,030</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1,832,900</w:t>
            </w: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1,439,039</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(31,327)</w:t>
            </w:r>
          </w:p>
        </w:tc>
        <w:tc>
          <w:tcPr>
            <w:tcW w:w="10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(18,111)</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Total debt,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1,801,573</w:t>
            </w: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1,420,928</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Total debt due within one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182,019</w:t>
            </w:r>
          </w:p>
        </w:tc>
        <w:tc>
          <w:tcPr>
            <w:tcW w:w="0" w:type="dxa"/>
            <w:vAlign w:val="bottom"/>
          </w:tcPr>
          <w:p>
            <w:pPr>
              <w:spacing w:after="0"/>
              <w:rPr>
                <w:sz w:val="1"/>
                <w:szCs w:val="1"/>
                <w:color w:val="auto"/>
              </w:rPr>
            </w:pPr>
          </w:p>
        </w:tc>
      </w:tr>
      <w:tr>
        <w:trPr>
          <w:trHeight w:val="153"/>
        </w:trPr>
        <w:tc>
          <w:tcPr>
            <w:tcW w:w="20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unamortized premium of $1,509 as of December 31, 2019.</w:t>
      </w:r>
    </w:p>
    <w:p>
      <w:pPr>
        <w:spacing w:after="0" w:line="44" w:lineRule="exact"/>
        <w:rPr>
          <w:rFonts w:ascii="Arial" w:cs="Arial" w:eastAsia="Arial" w:hAnsi="Arial"/>
          <w:sz w:val="18"/>
          <w:szCs w:val="18"/>
          <w:color w:val="auto"/>
          <w:vertAlign w:val="superscript"/>
        </w:rPr>
      </w:pPr>
    </w:p>
    <w:p>
      <w:pPr>
        <w:ind w:left="180" w:right="20" w:hanging="172"/>
        <w:spacing w:after="0" w:line="211" w:lineRule="auto"/>
        <w:tabs>
          <w:tab w:leader="none" w:pos="184"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unamortized discount of $3,790 and $5,429 at September 30, 2020 and December 31, 2019, respectively, and an unamortized premium of $2,203 and $3,243 at September 30, 2020 and December 31, 2019, respectively.</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$4,493 and $5,043 at September 30, 2020 and December 31, 2019, respectively.</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Series 2020 Bonds</w:t>
      </w:r>
      <w:r>
        <w:rPr>
          <w:rFonts w:ascii="Arial" w:cs="Arial" w:eastAsia="Arial" w:hAnsi="Arial"/>
          <w:sz w:val="16"/>
          <w:szCs w:val="16"/>
          <w:color w:val="00497F"/>
        </w:rPr>
        <w:t>—</w:t>
      </w:r>
      <w:r>
        <w:rPr>
          <w:rFonts w:ascii="Arial" w:cs="Arial" w:eastAsia="Arial" w:hAnsi="Arial"/>
          <w:sz w:val="16"/>
          <w:szCs w:val="16"/>
          <w:color w:val="000000"/>
        </w:rPr>
        <w:t>On February 11, 2020, our subsidiary (“Jefferson”) issued Series 2020 Bonds in an aggregate principal amount of approximately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$264.0 million (“Jefferson Refinancing”). The Series 2020 Bonds are designated as $184.9 million of Series 2020A Dock and Wharf Facility Revenue Bonds (the “Tax Exempt Series 2020A Bonds”), and $79.1 million of Series 2020B Taxable Facility Revenue Bonds (the “Taxable Series 2020B Bonds”).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2035 ($53.5 million aggregate principal amount) bear interest at a fixed rate of 3.625%.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 Exempt Series 2020A Bonds maturing on January 1, 2050 ($131.4 million aggregate principal amount) bear interest at a fixed rate of 4.00%.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Taxable Series 2020B Bonds will mature on January 1, 2025 and bear interest at a fixed rate of 6.00%.</w:t>
      </w:r>
    </w:p>
    <w:p>
      <w:pPr>
        <w:spacing w:after="0" w:line="11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Jefferson used a portion of the net proceeds from this offering to refund, redeem and defease the Series 2012 Bonds, Series 2016 Bonds and Jefferson Revolver, and intends to use a portion of the net proceeds to pay for or reimburse the cost of development, construction and acquisition of certain facilities, to fund certain reserve and funded interest accounts related to the Series 2020 Bonds, and to pay for or reimburse certain costs of issuance of the Series 2020 Bonds.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Jefferson recognized a loss on extinguishment of debt of $4.7 million as a result of this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During March 2020, we repaid the FTAI Pride Credit Agreement in full.</w:t>
      </w:r>
    </w:p>
    <w:p>
      <w:pPr>
        <w:spacing w:after="0" w:line="11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May 11, 2020, we entered into an amendment to the Revolving Credit Facility which, among other things, (i) permits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incurrence of additional secured indebtedness to finance the potential acquisition of certain aviation assets, subject to certain limitations, (ii) provides that, to the extent borrowings under the Existing Credit Agreement exceed $150 million, we will pledge certain aviation assets as additional collateral and (iii) incorporates certain other updates, including procedures by which the parties will select a replacement benchmark interest rate in the event that LIBOR is no longer available or appropriate as a reference rate upon which to determine the interest rate under the Existing Credit Agreement.</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Senior Notes due 2027</w:t>
      </w:r>
      <w:r>
        <w:rPr>
          <w:rFonts w:ascii="Arial" w:cs="Arial" w:eastAsia="Arial" w:hAnsi="Arial"/>
          <w:sz w:val="16"/>
          <w:szCs w:val="16"/>
          <w:color w:val="00497F"/>
        </w:rPr>
        <w:t>—</w:t>
      </w:r>
      <w:r>
        <w:rPr>
          <w:rFonts w:ascii="Arial" w:cs="Arial" w:eastAsia="Arial" w:hAnsi="Arial"/>
          <w:sz w:val="16"/>
          <w:szCs w:val="16"/>
          <w:color w:val="000000"/>
        </w:rPr>
        <w:t>On July 28, 2020, we issued $400 million aggregate principal amount of senior unsecured notes due 2027 (the “2027 Notes”).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2027 Notes bear interest at a rate of 9.75% per annum, payable semi-annually in arrears on February 1 and August 1 of each year, commencing on February 1, 2021.</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used a portion of the proceeds to repay $220 million of outstanding borrowings under the Revolving Credit Facility, and intend to use the remaining proceeds for general corporate purposes, and the funding of future acquisitions and investments, including aviation investments.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September 30,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FAIR VALUE MEASUREMENTS</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September 30, 2020 and December 31, 2019, by level within the fair value hierarchy. Assets measured at fair value are classified in their entirety based on the lowest level of input that is significant to their fair value measurement.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16"/>
                <w:szCs w:val="16"/>
                <w:color w:val="auto"/>
              </w:rPr>
            </w:pPr>
          </w:p>
        </w:tc>
        <w:tc>
          <w:tcPr>
            <w:tcW w:w="432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b w:val="1"/>
                <w:bCs w:val="1"/>
                <w:color w:val="auto"/>
              </w:rPr>
              <w:t>119,799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119,799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43,607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43,607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2"/>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163,406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163,406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24"/>
                <w:szCs w:val="24"/>
                <w:color w:val="auto"/>
              </w:rPr>
            </w:pPr>
          </w:p>
        </w:tc>
        <w:tc>
          <w:tcPr>
            <w:tcW w:w="432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226,512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226,512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 assets</w:t>
            </w: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242,698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242,517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fair value of our commodity derivative assets and liabilities classified as Level 3 measurements are estimated by applying the income approach, which is based on discounted projected future cash flows. The valuation of our electricity derivatives within our equity method investment in Long Ridge is based on management’s best estimate of certain key assumptions, which include extrapolated power forward curves for periods with unobservable market pricing, credit valuation adjustments utilizing estimated cash flows, estimated price volatility and probability of default, and the discount rate. The valuation of our commodity derivatives is based on management’s best estimate of certain key assumptions, which include an estimated differential factor for varying quality of commodity and the discount rate.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736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000" w:type="dxa"/>
            <w:vAlign w:val="bottom"/>
            <w:gridSpan w:val="3"/>
            <w:shd w:val="clear" w:color="auto" w:fill="CCEEFF"/>
          </w:tcPr>
          <w:p>
            <w:pPr>
              <w:ind w:left="15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41,450</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145,143</w:t>
            </w:r>
          </w:p>
        </w:tc>
      </w:tr>
      <w:tr>
        <w:trPr>
          <w:trHeight w:val="189"/>
        </w:trPr>
        <w:tc>
          <w:tcPr>
            <w:tcW w:w="73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Series A 2020 Bonds </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180,811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B 2020 Bonds </w:t>
            </w:r>
            <w:r>
              <w:rPr>
                <w:rFonts w:ascii="Arial" w:cs="Arial" w:eastAsia="Arial" w:hAnsi="Arial"/>
                <w:sz w:val="18"/>
                <w:szCs w:val="18"/>
                <w:color w:val="auto"/>
                <w:vertAlign w:val="superscript"/>
              </w:rPr>
              <w:t>(2)</w:t>
            </w: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77,971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696,962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731,451</w:t>
            </w: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445,365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475,884</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428,404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These bonds were defeased as part of the Jefferson Refinancing. See Note 9 for additional details.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Due to the COVID-19 pandemic, the fair values of our notes and bonds fluctuated significantly during 2020 and may continue to fluctuate based on market conditions and other factors.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We exited this strategy in the fourth quarter of 2019. These crude oil forward purchase and sales contracts are not designated in hedging relationships.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9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Crude Oil Forwards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Electricity</w:t>
            </w:r>
          </w:p>
        </w:tc>
        <w:tc>
          <w:tcPr>
            <w:tcW w:w="14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Crude Oil</w:t>
            </w:r>
          </w:p>
        </w:tc>
        <w:tc>
          <w:tcPr>
            <w:tcW w:w="160" w:type="dxa"/>
            <w:vAlign w:val="bottom"/>
          </w:tcPr>
          <w:p>
            <w:pPr>
              <w:spacing w:after="0"/>
              <w:rPr>
                <w:sz w:val="12"/>
                <w:szCs w:val="12"/>
                <w:color w:val="auto"/>
              </w:rPr>
            </w:pPr>
          </w:p>
        </w:tc>
        <w:tc>
          <w:tcPr>
            <w:tcW w:w="1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Crude Oil Forwards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Electricity</w:t>
            </w:r>
          </w:p>
        </w:tc>
        <w:tc>
          <w:tcPr>
            <w:tcW w:w="140" w:type="dxa"/>
            <w:vAlign w:val="bottom"/>
          </w:tcPr>
          <w:p>
            <w:pPr>
              <w:spacing w:after="0"/>
              <w:rPr>
                <w:sz w:val="12"/>
                <w:szCs w:val="12"/>
                <w:color w:val="auto"/>
              </w:rPr>
            </w:pPr>
          </w:p>
        </w:tc>
        <w:tc>
          <w:tcPr>
            <w:tcW w:w="8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Crude Oil</w:t>
            </w:r>
          </w:p>
        </w:tc>
        <w:tc>
          <w:tcPr>
            <w:tcW w:w="0" w:type="dxa"/>
            <w:vAlign w:val="bottom"/>
          </w:tcPr>
          <w:p>
            <w:pPr>
              <w:spacing w:after="0"/>
              <w:rPr>
                <w:sz w:val="1"/>
                <w:szCs w:val="1"/>
                <w:color w:val="auto"/>
              </w:rPr>
            </w:pPr>
          </w:p>
        </w:tc>
      </w:tr>
      <w:tr>
        <w:trPr>
          <w:trHeight w:val="175"/>
        </w:trPr>
        <w:tc>
          <w:tcPr>
            <w:tcW w:w="3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line="176" w:lineRule="exact"/>
              <w:rPr>
                <w:sz w:val="20"/>
                <w:szCs w:val="20"/>
                <w:color w:val="auto"/>
              </w:rPr>
            </w:pPr>
            <w:r>
              <w:rPr>
                <w:rFonts w:ascii="Arial" w:cs="Arial" w:eastAsia="Arial" w:hAnsi="Arial"/>
                <w:sz w:val="14"/>
                <w:szCs w:val="14"/>
                <w:b w:val="1"/>
                <w:bCs w:val="1"/>
                <w:color w:val="auto"/>
              </w:rPr>
              <w:t xml:space="preserve">Swaps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Forwards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line="176" w:lineRule="exact"/>
              <w:rPr>
                <w:sz w:val="20"/>
                <w:szCs w:val="20"/>
                <w:color w:val="auto"/>
              </w:rPr>
            </w:pPr>
            <w:r>
              <w:rPr>
                <w:rFonts w:ascii="Arial" w:cs="Arial" w:eastAsia="Arial" w:hAnsi="Arial"/>
                <w:sz w:val="14"/>
                <w:szCs w:val="14"/>
                <w:b w:val="1"/>
                <w:bCs w:val="1"/>
                <w:color w:val="auto"/>
              </w:rPr>
              <w:t xml:space="preserve">Swaps </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Forwards</w:t>
            </w: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shd w:val="clear" w:color="auto" w:fill="CCEEFF"/>
          </w:tcPr>
          <w:p>
            <w:pPr>
              <w:ind w:left="14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w:t>
            </w:r>
          </w:p>
        </w:tc>
        <w:tc>
          <w:tcPr>
            <w:tcW w:w="0" w:type="dxa"/>
            <w:vAlign w:val="bottom"/>
          </w:tcPr>
          <w:p>
            <w:pPr>
              <w:spacing w:after="0"/>
              <w:rPr>
                <w:sz w:val="1"/>
                <w:szCs w:val="1"/>
                <w:color w:val="auto"/>
              </w:rPr>
            </w:pPr>
          </w:p>
        </w:tc>
      </w:tr>
      <w:tr>
        <w:trPr>
          <w:trHeight w:val="153"/>
        </w:trPr>
        <w:tc>
          <w:tcPr>
            <w:tcW w:w="3260" w:type="dxa"/>
            <w:vAlign w:val="bottom"/>
          </w:tcPr>
          <w:p>
            <w:pPr>
              <w:ind w:left="20"/>
              <w:spacing w:after="0" w:line="153" w:lineRule="exact"/>
              <w:rPr>
                <w:sz w:val="20"/>
                <w:szCs w:val="20"/>
                <w:color w:val="auto"/>
              </w:rPr>
            </w:pPr>
            <w:r>
              <w:rPr>
                <w:rFonts w:ascii="Arial" w:cs="Arial" w:eastAsia="Arial" w:hAnsi="Arial"/>
                <w:sz w:val="14"/>
                <w:szCs w:val="14"/>
                <w:color w:val="auto"/>
              </w:rPr>
              <w:t>Net unrealized gains (losses) recognized in</w:t>
            </w:r>
          </w:p>
        </w:tc>
        <w:tc>
          <w:tcPr>
            <w:tcW w:w="140" w:type="dxa"/>
            <w:vAlign w:val="bottom"/>
          </w:tcPr>
          <w:p>
            <w:pPr>
              <w:spacing w:after="0"/>
              <w:rPr>
                <w:sz w:val="13"/>
                <w:szCs w:val="13"/>
                <w:color w:val="auto"/>
              </w:rPr>
            </w:pPr>
          </w:p>
        </w:tc>
        <w:tc>
          <w:tcPr>
            <w:tcW w:w="176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1,873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(6,003)</w:t>
            </w: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(Losses) gains recognized in other comprehensive</w:t>
            </w:r>
          </w:p>
        </w:tc>
        <w:tc>
          <w:tcPr>
            <w:tcW w:w="140" w:type="dxa"/>
            <w:vAlign w:val="bottom"/>
            <w:shd w:val="clear" w:color="auto" w:fill="CCEEFF"/>
          </w:tcPr>
          <w:p>
            <w:pPr>
              <w:spacing w:after="0"/>
              <w:rPr>
                <w:sz w:val="13"/>
                <w:szCs w:val="13"/>
                <w:color w:val="auto"/>
              </w:rPr>
            </w:pPr>
          </w:p>
        </w:tc>
        <w:tc>
          <w:tcPr>
            <w:tcW w:w="1760" w:type="dxa"/>
            <w:vAlign w:val="bottom"/>
            <w:gridSpan w:val="2"/>
            <w:vMerge w:val="restart"/>
            <w:shd w:val="clear" w:color="auto" w:fill="CCEEFF"/>
          </w:tcPr>
          <w:p>
            <w:pPr>
              <w:ind w:left="14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(10,866)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29,378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40" w:type="dxa"/>
            <w:vAlign w:val="bottom"/>
            <w:shd w:val="clear" w:color="auto" w:fill="CCEEFF"/>
          </w:tcPr>
          <w:p>
            <w:pPr>
              <w:spacing w:after="0"/>
              <w:rPr>
                <w:sz w:val="14"/>
                <w:szCs w:val="14"/>
                <w:color w:val="auto"/>
              </w:rPr>
            </w:pPr>
          </w:p>
        </w:tc>
        <w:tc>
          <w:tcPr>
            <w:tcW w:w="1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4"/>
                <w:szCs w:val="14"/>
                <w:color w:val="auto"/>
              </w:rPr>
              <w:t>Purchases</w:t>
            </w:r>
          </w:p>
        </w:tc>
        <w:tc>
          <w:tcPr>
            <w:tcW w:w="140" w:type="dxa"/>
            <w:vAlign w:val="bottom"/>
          </w:tcPr>
          <w:p>
            <w:pPr>
              <w:spacing w:after="0"/>
              <w:rPr>
                <w:sz w:val="16"/>
                <w:szCs w:val="16"/>
                <w:color w:val="auto"/>
              </w:rPr>
            </w:pPr>
          </w:p>
        </w:tc>
        <w:tc>
          <w:tcPr>
            <w:tcW w:w="1760" w:type="dxa"/>
            <w:vAlign w:val="bottom"/>
            <w:gridSpan w:val="2"/>
          </w:tcPr>
          <w:p>
            <w:pPr>
              <w:ind w:left="1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1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14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Settlements</w:t>
            </w: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shd w:val="clear" w:color="auto" w:fill="CCEEFF"/>
          </w:tcPr>
          <w:p>
            <w:pPr>
              <w:ind w:left="14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These derivatives were deconsolidated in December 2019 due to the Long Ridge Transaction. See Note 7 for additional details.</w:t>
      </w:r>
    </w:p>
    <w:p>
      <w:pPr>
        <w:spacing w:after="0" w:line="94"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6"/>
          <w:szCs w:val="16"/>
          <w:color w:val="auto"/>
        </w:rPr>
        <w:t>There were no transfers into or out of Level 3 during the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REVENUES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842,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Three Months Ended September 30, 2020</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Infrastructure</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38,537</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1,903</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40,440</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25,609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25,609</w:t>
            </w: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591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591</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1,405</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3,159</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66,491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3,308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69,799</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368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368</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11,329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11,329</w:t>
            </w: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1,242</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2,213</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11,697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1,242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971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13,910</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66,491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83,709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49"/>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Three Months Ended September 30, 2019</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Infrastructure</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50,169</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50,835</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35,426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35,426</w:t>
            </w: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86,305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87,259</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876</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11,835</w:t>
            </w: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50,405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50,405</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2,325</w:t>
            </w: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60,537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4,174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65,441</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86,305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60,537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152,700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 w:name="page27"/>
    <w:bookmarkEnd w:id="26"/>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Nine Months Ended September 30, 2020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Infrastructure</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127,983</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6,904</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134,887</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84,709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84,709</w:t>
            </w: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1,433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1,433</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10,617</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4,436</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15,053</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224,742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11,340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236,082</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775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775</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40,534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40,534</w:t>
            </w: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8,210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8,210</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1,556</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3,701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5,257</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49,519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1,556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3,701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54,776</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224,742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49,519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290,858</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49"/>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Nine Months Ended September 30, 2019</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Infrastructure</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146,203</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5,756</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151,959</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82,572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82,572</w:t>
            </w: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2,203</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231,697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7,214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238,911</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2,625</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21,909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27,085</w:t>
            </w: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140,388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140,388</w:t>
            </w:r>
          </w:p>
        </w:tc>
      </w:tr>
      <w:tr>
        <w:trPr>
          <w:trHeight w:val="189"/>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6,109</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8,433</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164,053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12,154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178,531</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231,697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164,053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417,442</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September 30,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2020</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44,313</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w:t>
            </w:r>
          </w:p>
        </w:tc>
      </w:tr>
      <w:tr>
        <w:trPr>
          <w:trHeight w:val="189"/>
        </w:trPr>
        <w:tc>
          <w:tcPr>
            <w:tcW w:w="7380" w:type="dxa"/>
            <w:vAlign w:val="bottom"/>
          </w:tcPr>
          <w:p>
            <w:pPr>
              <w:ind w:left="20"/>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146,046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1,752</w:t>
            </w:r>
          </w:p>
        </w:tc>
      </w:tr>
      <w:tr>
        <w:trPr>
          <w:trHeight w:val="189"/>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96,718</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r>
      <w:tr>
        <w:trPr>
          <w:trHeight w:val="189"/>
        </w:trPr>
        <w:tc>
          <w:tcPr>
            <w:tcW w:w="7380" w:type="dxa"/>
            <w:vAlign w:val="bottom"/>
          </w:tcPr>
          <w:p>
            <w:pPr>
              <w:ind w:left="20"/>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61,932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189"/>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37,687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21,718</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408,414</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LEASES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commitments as lessees under lease arrangements primarily for real estate, equipment and vehicles. Our leases have remaining lease terms ranging from approximately 1 to 42 years.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4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1,230</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1,618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w:t>
            </w:r>
          </w:p>
        </w:tc>
      </w:tr>
      <w:tr>
        <w:trPr>
          <w:trHeight w:val="189"/>
        </w:trPr>
        <w:tc>
          <w:tcPr>
            <w:tcW w:w="446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612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534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2,344</w:t>
            </w: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r>
      <w:tr>
        <w:trPr>
          <w:trHeight w:val="189"/>
        </w:trPr>
        <w:tc>
          <w:tcPr>
            <w:tcW w:w="4460" w:type="dxa"/>
            <w:vAlign w:val="bottom"/>
          </w:tcPr>
          <w:p>
            <w:pPr>
              <w:ind w:left="20"/>
              <w:spacing w:after="0"/>
              <w:rPr>
                <w:sz w:val="20"/>
                <w:szCs w:val="20"/>
                <w:color w:val="auto"/>
              </w:rPr>
            </w:pPr>
            <w:r>
              <w:rPr>
                <w:rFonts w:ascii="Arial" w:cs="Arial" w:eastAsia="Arial" w:hAnsi="Arial"/>
                <w:sz w:val="14"/>
                <w:szCs w:val="14"/>
                <w:color w:val="auto"/>
              </w:rPr>
              <w:t>Sublease income</w:t>
            </w:r>
          </w:p>
        </w:tc>
        <w:tc>
          <w:tcPr>
            <w:tcW w:w="10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(833)</w:t>
            </w:r>
          </w:p>
        </w:tc>
      </w:tr>
      <w:tr>
        <w:trPr>
          <w:trHeight w:val="18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Lease expense from continuing operations</w:t>
            </w:r>
          </w:p>
        </w:tc>
        <w:tc>
          <w:tcPr>
            <w:tcW w:w="10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2,529</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5,343</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7,803</w:t>
            </w:r>
          </w:p>
        </w:tc>
      </w:tr>
      <w:tr>
        <w:trPr>
          <w:trHeight w:val="270"/>
        </w:trPr>
        <w:tc>
          <w:tcPr>
            <w:tcW w:w="4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expense</w:t>
            </w:r>
          </w:p>
        </w:tc>
        <w:tc>
          <w:tcPr>
            <w:tcW w:w="10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r>
      <w:tr>
        <w:trPr>
          <w:trHeight w:val="18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expense</w:t>
            </w: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938</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2,788</w:t>
            </w: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expense from discontinued operations</w:t>
            </w:r>
          </w:p>
        </w:tc>
        <w:tc>
          <w:tcPr>
            <w:tcW w:w="10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1,014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w:t>
            </w:r>
          </w:p>
        </w:tc>
      </w:tr>
      <w:tr>
        <w:trPr>
          <w:trHeight w:val="270"/>
        </w:trPr>
        <w:tc>
          <w:tcPr>
            <w:tcW w:w="446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0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3,543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nine months ended September 30,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25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62,588</w:t>
            </w: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54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62,209</w:t>
            </w:r>
          </w:p>
        </w:tc>
      </w:tr>
      <w:tr>
        <w:trPr>
          <w:trHeight w:val="270"/>
        </w:trPr>
        <w:tc>
          <w:tcPr>
            <w:tcW w:w="73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Weighted average remaining lease term</w:t>
            </w:r>
          </w:p>
        </w:tc>
        <w:tc>
          <w:tcPr>
            <w:tcW w:w="2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40.2 years</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25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r>
      <w:tr>
        <w:trPr>
          <w:trHeight w:val="270"/>
        </w:trPr>
        <w:tc>
          <w:tcPr>
            <w:tcW w:w="7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operating lease liabilities</w:t>
            </w:r>
          </w:p>
        </w:tc>
        <w:tc>
          <w:tcPr>
            <w:tcW w:w="2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9"/>
        </w:trPr>
        <w:tc>
          <w:tcPr>
            <w:tcW w:w="736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25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3,594</w:t>
            </w:r>
          </w:p>
        </w:tc>
      </w:tr>
      <w:tr>
        <w:trPr>
          <w:trHeight w:val="189"/>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25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September 30,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2020</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w:t>
            </w:r>
          </w:p>
        </w:tc>
      </w:tr>
      <w:tr>
        <w:trPr>
          <w:trHeight w:val="189"/>
        </w:trPr>
        <w:tc>
          <w:tcPr>
            <w:tcW w:w="9260" w:type="dxa"/>
            <w:vAlign w:val="bottom"/>
          </w:tcPr>
          <w:p>
            <w:pPr>
              <w:ind w:left="20"/>
              <w:spacing w:after="0"/>
              <w:rPr>
                <w:sz w:val="20"/>
                <w:szCs w:val="20"/>
                <w:color w:val="auto"/>
              </w:rPr>
            </w:pPr>
            <w:r>
              <w:rPr>
                <w:rFonts w:ascii="Arial" w:cs="Arial" w:eastAsia="Arial" w:hAnsi="Arial"/>
                <w:sz w:val="14"/>
                <w:szCs w:val="14"/>
                <w:color w:val="auto"/>
              </w:rPr>
              <w:t>2021</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4,759</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4,632</w:t>
            </w:r>
          </w:p>
        </w:tc>
      </w:tr>
      <w:tr>
        <w:trPr>
          <w:trHeight w:val="189"/>
        </w:trPr>
        <w:tc>
          <w:tcPr>
            <w:tcW w:w="9260" w:type="dxa"/>
            <w:vAlign w:val="bottom"/>
          </w:tcPr>
          <w:p>
            <w:pPr>
              <w:ind w:left="20"/>
              <w:spacing w:after="0"/>
              <w:rPr>
                <w:sz w:val="20"/>
                <w:szCs w:val="20"/>
                <w:color w:val="auto"/>
              </w:rPr>
            </w:pPr>
            <w:r>
              <w:rPr>
                <w:rFonts w:ascii="Arial" w:cs="Arial" w:eastAsia="Arial" w:hAnsi="Arial"/>
                <w:sz w:val="14"/>
                <w:szCs w:val="14"/>
                <w:color w:val="auto"/>
              </w:rPr>
              <w:t>2023</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4,585</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4,354</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149,992</w:t>
            </w:r>
          </w:p>
        </w:tc>
      </w:tr>
      <w:tr>
        <w:trPr>
          <w:trHeight w:val="182"/>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7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169,523</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107,314</w:t>
            </w:r>
          </w:p>
        </w:tc>
      </w:tr>
      <w:tr>
        <w:trPr>
          <w:trHeight w:val="20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62,209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nine months ended September 30, 2020, we amended a lease agreement for real estate in connection with the Jefferson Refinancing. The amended lease had a ROU asset value of $59.8 million and a lease term of approximately 43 years at commencement.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EQUITY-BASED COMPENSATION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September 30, 2020, the Incentive Plan provides for the issuance of up to 29.9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54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6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20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Conditions Are Met</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183"/>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4,193</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1,134</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33"/>
        </w:trPr>
        <w:tc>
          <w:tcPr>
            <w:tcW w:w="12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 continuing</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621</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1,323</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5,327</w:t>
            </w:r>
          </w:p>
        </w:tc>
        <w:tc>
          <w:tcPr>
            <w:tcW w:w="2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operations</w:t>
            </w:r>
          </w:p>
        </w:tc>
        <w:tc>
          <w:tcPr>
            <w:tcW w:w="10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2160" w:type="dxa"/>
            <w:vAlign w:val="bottom"/>
            <w:vMerge w:val="continue"/>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Total -</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discontinued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operations</w:t>
            </w:r>
          </w:p>
        </w:tc>
        <w:tc>
          <w:tcPr>
            <w:tcW w:w="100" w:type="dxa"/>
            <w:vAlign w:val="bottom"/>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nine months ended September 30, 2020, FIG LLC (the “Manager”), an affiliate of Fortress Investment Group LLC, transferred 252,472 of its options to certain of the Manager’s employees.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Restricted Shares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nine months ended September 30, 2020, we issued 545,806 restricted shares of our subsidiary that had a grant date fair value of $4.0 million and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nine months ended September 30, 2020, we issued 831,140 common units of our subsidiaries that had a grant date fair value of $0.9 million and vest over three years. These awards are subject to continued employment, and the compensation expense is recognized ratably over the vesting periods. The fair value of these awards was based on the fair value of the operating 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provision included in the Consolidated Statements of Operations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6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Federal</w:t>
            </w:r>
          </w:p>
        </w:tc>
        <w:tc>
          <w:tcPr>
            <w:tcW w:w="1020" w:type="dxa"/>
            <w:vAlign w:val="bottom"/>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9"/>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and local</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89"/>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Foreign</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Deferred:</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Federal</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State and local</w:t>
            </w:r>
          </w:p>
        </w:tc>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(639)</w:t>
            </w:r>
          </w:p>
        </w:tc>
      </w:tr>
      <w:tr>
        <w:trPr>
          <w:trHeight w:val="189"/>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(5,458)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color w:val="auto"/>
              </w:rPr>
              <w:t>Total deferred provision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(2,503)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(6,992)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(1,613)</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(Benefit from) provision for income taxes: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(2,486)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(6,334)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(1,189)</w:t>
            </w:r>
          </w:p>
        </w:tc>
      </w:tr>
      <w:tr>
        <w:trPr>
          <w:trHeight w:val="189"/>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10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(6,334)</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(842)</w:t>
            </w: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nine months ended September 30, 2020,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2016. We do not believe that it is reasonably possible that the total amount of unrecognized tax benefits will significantly change within 12 months of the reporting date of September 30,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MANAGEMENT AGREEMENT AND AFFILIATE TRANSACTIONS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subsidiary of ours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14,113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10,817</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6,109</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4,591</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14,113</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16,926</w:t>
            </w:r>
          </w:p>
        </w:tc>
      </w:tr>
      <w:tr>
        <w:trPr>
          <w:trHeight w:val="20"/>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88"/>
              <w:spacing w:after="0" w:line="182"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88"/>
              <w:spacing w:after="0" w:line="182"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(1)</w:t>
            </w:r>
          </w:p>
        </w:tc>
      </w:tr>
      <w:tr>
        <w:trPr>
          <w:trHeight w:val="16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458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2,347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4,397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6,737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9,959</w:t>
            </w:r>
          </w:p>
        </w:tc>
      </w:tr>
      <w:tr>
        <w:trPr>
          <w:trHeight w:val="189"/>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and transaction expenses</w:t>
            </w:r>
          </w:p>
        </w:tc>
        <w:tc>
          <w:tcPr>
            <w:tcW w:w="10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w:t>
            </w:r>
          </w:p>
        </w:tc>
      </w:tr>
      <w:tr>
        <w:trPr>
          <w:trHeight w:val="18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2,862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8,299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17,769</w:t>
            </w:r>
          </w:p>
        </w:tc>
      </w:tr>
      <w:tr>
        <w:trPr>
          <w:trHeight w:val="20"/>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5"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Due to the Aviation Restructuring (as defined in Note 17), during the three and nine months ended September 30, 2019, $1,742 and $4,971, respectively, was restated from the Corporate and Other segment to the Aviation Leasing segment, of which $749 and $2,043, respectively, was reclassified from General and administrative to Operating expenses and $993 and $2,928, respectively, remained in Acquisition and transaction expenses. See Note 17 for additional details.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6"/>
                <w:szCs w:val="16"/>
                <w:color w:val="auto"/>
              </w:rPr>
            </w:pPr>
          </w:p>
        </w:tc>
        <w:tc>
          <w:tcPr>
            <w:tcW w:w="184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r>
      <w:tr>
        <w:trPr>
          <w:trHeight w:val="249"/>
        </w:trPr>
        <w:tc>
          <w:tcPr>
            <w:tcW w:w="6940" w:type="dxa"/>
            <w:vAlign w:val="bottom"/>
          </w:tcPr>
          <w:p>
            <w:pPr>
              <w:ind w:left="20"/>
              <w:spacing w:after="0"/>
              <w:rPr>
                <w:sz w:val="20"/>
                <w:szCs w:val="20"/>
                <w:color w:val="auto"/>
              </w:rPr>
            </w:pPr>
            <w:r>
              <w:rPr>
                <w:rFonts w:ascii="Arial" w:cs="Arial" w:eastAsia="Arial" w:hAnsi="Arial"/>
                <w:sz w:val="14"/>
                <w:szCs w:val="14"/>
                <w:color w:val="auto"/>
              </w:rPr>
              <w:t xml:space="preserve">Other payables </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21,992</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$21.2 million related to incentive fees, as of December 31, 2019, which we paid in 2020.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and December 31, 2019, there were no receivables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2020 and December 31, 2019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September 30, 2020 and December 31, 2019 was $21.2 million and $33.7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18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12,885</w:t>
            </w:r>
          </w:p>
        </w:tc>
      </w:tr>
    </w:tbl>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we, and an affiliate of our Manager, entered into a Fee and Support Agreement. The Fee and Support Agreement provides that the affiliate of the Manager is compensated for its guarantee of a portion of the obligations under the Standby Bond Purchase Agreement. This affiliate of the Manager received fees of $1.7 million, which are amortized as interest expense to the earlier of the redemption date or February 13, 2020.</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amendment to the Jefferson Revolver, on December 20, 2018, our subsidiary and an affiliate of our Manager entered into an amended and restated Fee and Support Agreement, and our subsidiary issued a $0.3 million promissory note to the affiliate of our Manager, as consideration for the fee payable pursuant to the amended and restated Fee and Support Agreement.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2020, the Fee and Support Agreement was terminated in connection with the Jefferson Refinancing.</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18 for details related to conversions during the period.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Additionally, other investors in FYX are also affiliates of our Manager. See Note 7 for additional information related to FYX.</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three months ended September 30, 2020, we granted options to the Manager in connection with preferred shares sold under the ATM Program (as defined in Note 18). See Note 18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SEGMENT INFORMATION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three reportable segments which operate in the Equipment Leasing and Infrastructure businesses across several market sectors. Our reportable segments are (i) Aviation Leasing, (ii) Jefferson Terminal and (iii) Ports and Terminals.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1,630-acre deep-water port located along the Delaware River with an underground storage cavern and multiple industrial development opportunities, and an equity method investment in Long Ridge, which is a 1,660-acre multi-modal port located along the Ohio River with rail, dock, and multiple industrial development opportunities, including a power plant under construction.</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2019, we completed the sale of substantially all of our railroad business, which was formerly reported as our Railroad segment. Under ASC 205-20, this disposition met the criteria to be reported as discontinued operations and the assets, liabilities and results of operations have been presented as discontinued operations for all periods presented. Additionally, in accordance with ASC 280, we assessed our reportable segments. We determined that our retained investment of the railroad business no longer met the requirement as a reportable segment. Accordingly, we have presented this operating segment, along with Corporate results, within Corporate and Other effective in 2019. All prior periods have been restated for historical comparison across segments.</w:t>
      </w:r>
    </w:p>
    <w:p>
      <w:pPr>
        <w:spacing w:after="0" w:line="3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 of vessels and equipment that support offshore oil and gas drilling and production which are typically subject to long-term operating leases, (ii) an investment in an unconsolidated entity engaged in the acquisition and leasing of shipping containers and (iii) railroad assets retained after the December 2019 sale, which consist of equipment that support a railcar cleaning business.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Organizational Restructuring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recently completed an organizational restructuring of the Aviation Leasing segment. Previously, Aviation Leasing’s employees were employed by the Manager and compensation and related costs associated with these employees were reimbursed to the Manager, per the Management Agreement (see Note 16). These costs were reported within Corporate and Other.</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in the first quarter of 2020, Aviation Leasing’s employees are employed by one of our subsidiaries. Compensation and related costs incurred by this subsidiary will be reported within the Aviation Leasing segment. Prior periods have been restated for historical comparison.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adjustments for the three months ended September 30,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As Previously Reported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780" w:type="dxa"/>
            <w:vAlign w:val="bottom"/>
            <w:tcBorders>
              <w:bottom w:val="single" w:sz="8" w:color="auto"/>
            </w:tcBorders>
          </w:tcPr>
          <w:p>
            <w:pPr>
              <w:spacing w:after="0"/>
              <w:rPr>
                <w:sz w:val="16"/>
                <w:szCs w:val="16"/>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2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460" w:type="dxa"/>
            <w:vAlign w:val="bottom"/>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rPr>
              <w:t>Corporate and</w:t>
            </w: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16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Corporate and</w:t>
            </w:r>
          </w:p>
        </w:tc>
      </w:tr>
      <w:tr>
        <w:trPr>
          <w:trHeight w:val="175"/>
        </w:trPr>
        <w:tc>
          <w:tcPr>
            <w:tcW w:w="3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   $</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3,222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4,381</w:t>
            </w: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6,284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7"/>
              </w:rPr>
              <w:t>(749)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5,535</w:t>
            </w: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(993)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4,285</w:t>
            </w: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adjustments for the nine months ended September 30,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As Previously Reported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780" w:type="dxa"/>
            <w:vAlign w:val="bottom"/>
            <w:tcBorders>
              <w:bottom w:val="single" w:sz="8" w:color="auto"/>
            </w:tcBorders>
          </w:tcPr>
          <w:p>
            <w:pPr>
              <w:spacing w:after="0"/>
              <w:rPr>
                <w:sz w:val="16"/>
                <w:szCs w:val="16"/>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2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46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Corporate and</w:t>
            </w:r>
          </w:p>
        </w:tc>
        <w:tc>
          <w:tcPr>
            <w:tcW w:w="10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Aviation</w:t>
            </w:r>
          </w:p>
        </w:tc>
        <w:tc>
          <w:tcPr>
            <w:tcW w:w="116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Corporate and</w:t>
            </w:r>
          </w:p>
        </w:tc>
      </w:tr>
      <w:tr>
        <w:trPr>
          <w:trHeight w:val="175"/>
        </w:trPr>
        <w:tc>
          <w:tcPr>
            <w:tcW w:w="3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18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11,272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shd w:val="clear" w:color="auto" w:fill="CCEEFF"/>
          </w:tcPr>
          <w:p>
            <w:pPr>
              <w:ind w:left="700"/>
              <w:spacing w:after="0"/>
              <w:rPr>
                <w:sz w:val="20"/>
                <w:szCs w:val="20"/>
                <w:color w:val="auto"/>
              </w:rPr>
            </w:pPr>
            <w:r>
              <w:rPr>
                <w:rFonts w:ascii="Arial" w:cs="Arial" w:eastAsia="Arial" w:hAnsi="Arial"/>
                <w:sz w:val="14"/>
                <w:szCs w:val="14"/>
                <w:b w:val="1"/>
                <w:bCs w:val="1"/>
                <w:color w:val="auto"/>
              </w:rPr>
              <w:t>—   $</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13,315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11,088</w:t>
            </w: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15,313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13,270</w:t>
            </w: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3,006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6,119</w:t>
            </w: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September 30,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66,491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3,308</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69,799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11,697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13,910</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66,491</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11,697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4,279</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83,709</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9,661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6,248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23,128</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4,241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4,241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2,442</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4,591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4,591</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33,014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42,626</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3,915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3,915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25,119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26,904</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43,504</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18,398</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42,555</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107,847</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income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(2,501)</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(1,114)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(1,114)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Total other (expense) income</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(1,320)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(2,285)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(3,557)</w:t>
            </w:r>
          </w:p>
        </w:tc>
        <w:tc>
          <w:tcPr>
            <w:tcW w:w="0" w:type="dxa"/>
            <w:vAlign w:val="bottom"/>
          </w:tcPr>
          <w:p>
            <w:pPr>
              <w:spacing w:after="0"/>
              <w:rPr>
                <w:sz w:val="1"/>
                <w:szCs w:val="1"/>
                <w:color w:val="auto"/>
              </w:rPr>
            </w:pPr>
          </w:p>
        </w:tc>
      </w:tr>
      <w:tr>
        <w:trPr>
          <w:trHeight w:val="129"/>
        </w:trPr>
        <w:tc>
          <w:tcPr>
            <w:tcW w:w="33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21,667</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(6,701)</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(4,433)</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(38,228)</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(27,695)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(2,486)</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(6,704)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(3,777)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(38,268)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(25,209)</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60" w:type="dxa"/>
            <w:vAlign w:val="bottom"/>
          </w:tcPr>
          <w:p>
            <w:pPr>
              <w:spacing w:after="0"/>
              <w:rPr>
                <w:sz w:val="11"/>
                <w:szCs w:val="11"/>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(3,809)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(3,876)</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4,625</w:t>
            </w:r>
          </w:p>
        </w:tc>
        <w:tc>
          <w:tcPr>
            <w:tcW w:w="0" w:type="dxa"/>
            <w:vAlign w:val="bottom"/>
          </w:tcPr>
          <w:p>
            <w:pPr>
              <w:spacing w:after="0"/>
              <w:rPr>
                <w:sz w:val="1"/>
                <w:szCs w:val="1"/>
                <w:color w:val="auto"/>
              </w:rPr>
            </w:pPr>
          </w:p>
        </w:tc>
      </w:tr>
      <w:tr>
        <w:trPr>
          <w:trHeight w:val="129"/>
        </w:trPr>
        <w:tc>
          <w:tcPr>
            <w:tcW w:w="3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23,540</w:t>
            </w:r>
          </w:p>
        </w:tc>
        <w:tc>
          <w:tcPr>
            <w:tcW w:w="100" w:type="dxa"/>
            <w:vAlign w:val="bottom"/>
          </w:tcPr>
          <w:p>
            <w:pPr>
              <w:spacing w:after="0"/>
              <w:rPr>
                <w:sz w:val="11"/>
                <w:szCs w:val="11"/>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(2,895)</w:t>
            </w:r>
          </w:p>
        </w:tc>
        <w:tc>
          <w:tcPr>
            <w:tcW w:w="12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(3,710)</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(42,893)</w:t>
            </w:r>
          </w:p>
        </w:tc>
        <w:tc>
          <w:tcPr>
            <w:tcW w:w="100" w:type="dxa"/>
            <w:vAlign w:val="bottom"/>
          </w:tcPr>
          <w:p>
            <w:pPr>
              <w:spacing w:after="0"/>
              <w:rPr>
                <w:sz w:val="11"/>
                <w:szCs w:val="11"/>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(25,958)</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Infrastructure</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Jefferson Terminal</w:t>
            </w:r>
          </w:p>
        </w:tc>
        <w:tc>
          <w:tcPr>
            <w:tcW w:w="104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Ports and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w w:val="99"/>
              </w:rPr>
              <w:t>Terminals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70,562</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4,348</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(837)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(15,437)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58,636</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1,955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(2,501)</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(26,904)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(52,532)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(3,915)</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(621)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2,486</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(25,958)</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1,781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1,781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31,830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29,011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29,011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11,697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20,821</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20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66,491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83,709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Nine Months Ended September 30,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Nine Months Ended September 30,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224,742</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11,340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236,082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49,519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54,776</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224,742</w:t>
            </w:r>
          </w:p>
        </w:tc>
        <w:tc>
          <w:tcPr>
            <w:tcW w:w="10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49,519</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15,041</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290,858</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81,144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13,292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13,292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6,845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9,297</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14,113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14,113</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97,848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21,636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5,937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126,543</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14,391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14,391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63,289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71,559</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132,247</w:t>
            </w:r>
          </w:p>
        </w:tc>
        <w:tc>
          <w:tcPr>
            <w:tcW w:w="10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72,755</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9,567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115,770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330,339</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Loss on sale of assets, net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(2,158)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(2,165)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(3,520)</w:t>
            </w:r>
          </w:p>
        </w:tc>
        <w:tc>
          <w:tcPr>
            <w:tcW w:w="10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(4,677)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(3,961)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(12,181)</w:t>
            </w:r>
          </w:p>
        </w:tc>
        <w:tc>
          <w:tcPr>
            <w:tcW w:w="0" w:type="dxa"/>
            <w:vAlign w:val="bottom"/>
          </w:tcPr>
          <w:p>
            <w:pPr>
              <w:spacing w:after="0"/>
              <w:rPr>
                <w:sz w:val="1"/>
                <w:szCs w:val="1"/>
                <w:color w:val="auto"/>
              </w:rPr>
            </w:pPr>
          </w:p>
        </w:tc>
      </w:tr>
      <w:tr>
        <w:trPr>
          <w:trHeight w:val="128"/>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88,975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(27,913)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(11,972)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(100,752)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(51,662)</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(6,334)</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94,230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(28,125)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(10,438)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(100,995)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(45,328)</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60" w:type="dxa"/>
            <w:vAlign w:val="bottom"/>
          </w:tcPr>
          <w:p>
            <w:pPr>
              <w:spacing w:after="0"/>
              <w:rPr>
                <w:sz w:val="11"/>
                <w:szCs w:val="11"/>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(12,490)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(12,724)</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13,243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13,243</w:t>
            </w:r>
          </w:p>
        </w:tc>
        <w:tc>
          <w:tcPr>
            <w:tcW w:w="0" w:type="dxa"/>
            <w:vAlign w:val="bottom"/>
          </w:tcPr>
          <w:p>
            <w:pPr>
              <w:spacing w:after="0"/>
              <w:rPr>
                <w:sz w:val="1"/>
                <w:szCs w:val="1"/>
                <w:color w:val="auto"/>
              </w:rPr>
            </w:pPr>
          </w:p>
        </w:tc>
      </w:tr>
      <w:tr>
        <w:trPr>
          <w:trHeight w:val="129"/>
        </w:trPr>
        <w:tc>
          <w:tcPr>
            <w:tcW w:w="3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94,230</w:t>
            </w:r>
          </w:p>
        </w:tc>
        <w:tc>
          <w:tcPr>
            <w:tcW w:w="100" w:type="dxa"/>
            <w:vAlign w:val="bottom"/>
          </w:tcPr>
          <w:p>
            <w:pPr>
              <w:spacing w:after="0"/>
              <w:rPr>
                <w:sz w:val="11"/>
                <w:szCs w:val="11"/>
                <w:color w:val="auto"/>
              </w:rPr>
            </w:pPr>
          </w:p>
        </w:tc>
        <w:tc>
          <w:tcPr>
            <w:tcW w:w="38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(15,635)</w:t>
            </w:r>
          </w:p>
        </w:tc>
        <w:tc>
          <w:tcPr>
            <w:tcW w:w="12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(10,204)</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(114,238)</w:t>
            </w:r>
          </w:p>
        </w:tc>
        <w:tc>
          <w:tcPr>
            <w:tcW w:w="100" w:type="dxa"/>
            <w:vAlign w:val="bottom"/>
          </w:tcPr>
          <w:p>
            <w:pPr>
              <w:spacing w:after="0"/>
              <w:rPr>
                <w:sz w:val="11"/>
                <w:szCs w:val="11"/>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(45,847)</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7" w:name="page38"/>
    <w:bookmarkEnd w:id="37"/>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Nine Months Ended September 30,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231,453</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11,885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(43,197)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197,103</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7,406</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(5,445)</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167</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(71,559)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(149,937)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(14,391)</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(4,724)</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(9,297)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(1,323)</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6,334</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(45,847)</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Nine Months Ended September 30,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10,254</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10,254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86,799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98,139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99,870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99,870</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24,980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49,519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79,756</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2,839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2,839</w:t>
            </w:r>
          </w:p>
        </w:tc>
        <w:tc>
          <w:tcPr>
            <w:tcW w:w="0" w:type="dxa"/>
            <w:vAlign w:val="bottom"/>
          </w:tcPr>
          <w:p>
            <w:pPr>
              <w:spacing w:after="0"/>
              <w:rPr>
                <w:sz w:val="1"/>
                <w:szCs w:val="1"/>
                <w:color w:val="auto"/>
              </w:rPr>
            </w:pPr>
          </w:p>
        </w:tc>
      </w:tr>
      <w:tr>
        <w:trPr>
          <w:trHeight w:val="20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224,742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49,519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290,858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Three Months Ended September 30,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86,305</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87,259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65,441</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86,305</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60,537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1,684</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152,700</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82,719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5,535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5,535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5,343</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7,378</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43,265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20,794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25,190</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38,191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79,356</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44,323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169,430</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36,206</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1,093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37,338</w:t>
            </w:r>
          </w:p>
        </w:tc>
        <w:tc>
          <w:tcPr>
            <w:tcW w:w="0" w:type="dxa"/>
            <w:vAlign w:val="bottom"/>
          </w:tcPr>
          <w:p>
            <w:pPr>
              <w:spacing w:after="0"/>
              <w:rPr>
                <w:sz w:val="1"/>
                <w:szCs w:val="1"/>
                <w:color w:val="auto"/>
              </w:rPr>
            </w:pPr>
          </w:p>
        </w:tc>
      </w:tr>
      <w:tr>
        <w:trPr>
          <w:trHeight w:val="128"/>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84,320</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(18,183)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(41,546)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20,608</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83,504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19,736</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60" w:type="dxa"/>
            <w:vAlign w:val="bottom"/>
          </w:tcPr>
          <w:p>
            <w:pPr>
              <w:spacing w:after="0"/>
              <w:rPr>
                <w:sz w:val="11"/>
                <w:szCs w:val="11"/>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(5,031)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(5,111)</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83,504</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(41,546)</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24,847</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9" w:name="page40"/>
    <w:bookmarkEnd w:id="39"/>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Infrastructure</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104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Ports and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w w:val="99"/>
              </w:rPr>
              <w:t>Terminals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126,009</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(927)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112,003</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(49,985)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(4,380)</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(5,343)</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income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24,847</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4,470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4,470</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29,731</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43,217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43,217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73,719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0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152,700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0" w:name="page41"/>
    <w:bookmarkEnd w:id="40"/>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For the Nine Months Ended September 30,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Nine Months Ended September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231,697</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7,214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238,911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178,531</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231,697</w:t>
            </w:r>
          </w:p>
        </w:tc>
        <w:tc>
          <w:tcPr>
            <w:tcW w:w="10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164,053</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12,154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9,538</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417,442</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222,812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13,270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13,270</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9,125</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16,926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16,926</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97,183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124,180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57,830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71,318</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113,504</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212,113</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110,598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457,631</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61,400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60,145</w:t>
            </w:r>
          </w:p>
        </w:tc>
        <w:tc>
          <w:tcPr>
            <w:tcW w:w="10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1,123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63,790</w:t>
            </w:r>
          </w:p>
        </w:tc>
        <w:tc>
          <w:tcPr>
            <w:tcW w:w="0" w:type="dxa"/>
            <w:vAlign w:val="bottom"/>
          </w:tcPr>
          <w:p>
            <w:pPr>
              <w:spacing w:after="0"/>
              <w:rPr>
                <w:sz w:val="1"/>
                <w:szCs w:val="1"/>
                <w:color w:val="auto"/>
              </w:rPr>
            </w:pPr>
          </w:p>
        </w:tc>
      </w:tr>
      <w:tr>
        <w:trPr>
          <w:trHeight w:val="128"/>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178,338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(47,652)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(7,148)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(99,937)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23,601</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shd w:val="clear" w:color="auto" w:fill="CCEEFF"/>
          </w:tcPr>
          <w:p>
            <w:pPr>
              <w:spacing w:after="0"/>
              <w:rPr>
                <w:sz w:val="15"/>
                <w:szCs w:val="15"/>
                <w:color w:val="auto"/>
              </w:rPr>
            </w:pPr>
          </w:p>
        </w:tc>
        <w:tc>
          <w:tcPr>
            <w:tcW w:w="1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179,711</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(47,832)</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(99,941)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24,790</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Less: Net loss from continuing operations</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color w:val="auto"/>
              </w:rPr>
              <w:t>attributable to non-controlling interests in</w:t>
            </w:r>
          </w:p>
        </w:tc>
        <w:tc>
          <w:tcPr>
            <w:tcW w:w="160" w:type="dxa"/>
            <w:vAlign w:val="bottom"/>
          </w:tcPr>
          <w:p>
            <w:pPr>
              <w:spacing w:after="0"/>
              <w:rPr>
                <w:sz w:val="11"/>
                <w:szCs w:val="11"/>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(12,885)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(13,051)</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179,711</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(34,947)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(6,982)</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(99,941)</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37,841</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1" w:name="page42"/>
    <w:bookmarkEnd w:id="41"/>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income attributable to shareholders from continuing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Nine Months Ended September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302,535</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269,454</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7,866</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(71,318)</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(148,188)</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(4,130)</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income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37,841</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Nine Months Ended September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10,155</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10,155</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76,301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7,214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83,515</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110,515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110,515</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164,053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207,239</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6,018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6,018</w:t>
            </w:r>
          </w:p>
        </w:tc>
        <w:tc>
          <w:tcPr>
            <w:tcW w:w="0" w:type="dxa"/>
            <w:vAlign w:val="bottom"/>
          </w:tcPr>
          <w:p>
            <w:pPr>
              <w:spacing w:after="0"/>
              <w:rPr>
                <w:sz w:val="1"/>
                <w:szCs w:val="1"/>
                <w:color w:val="auto"/>
              </w:rPr>
            </w:pPr>
          </w:p>
        </w:tc>
      </w:tr>
      <w:tr>
        <w:trPr>
          <w:trHeight w:val="20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231,697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164,053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417,442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2" w:name="page43"/>
    <w:bookmarkEnd w:id="4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vMerge w:val="restart"/>
          </w:tcPr>
          <w:p>
            <w:pPr>
              <w:spacing w:after="0"/>
              <w:rPr>
                <w:sz w:val="12"/>
                <w:szCs w:val="12"/>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1,718,772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949,031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408,046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299,481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3,375,330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253,130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1,523,443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1,801,573</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232,928</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360,471</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44,949</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1,536,135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2,174,483</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160" w:type="dxa"/>
            <w:vAlign w:val="bottom"/>
            <w:shd w:val="clear" w:color="auto" w:fill="CCEEFF"/>
          </w:tcPr>
          <w:p>
            <w:pPr>
              <w:spacing w:after="0"/>
              <w:rPr>
                <w:sz w:val="13"/>
                <w:szCs w:val="13"/>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23,970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975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25,469</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1,485,844</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588,560</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363,097</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(1,236,654)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1,200,847</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1,718,772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949,031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408,046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299,481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3,375,330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13,466</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13,466</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484,148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49,971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534,119</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777,282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777,282</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239,426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666,939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264,986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119,318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1,290,669</w:t>
            </w:r>
          </w:p>
        </w:tc>
        <w:tc>
          <w:tcPr>
            <w:tcW w:w="0" w:type="dxa"/>
            <w:vAlign w:val="bottom"/>
          </w:tcPr>
          <w:p>
            <w:pPr>
              <w:spacing w:after="0"/>
              <w:rPr>
                <w:sz w:val="1"/>
                <w:szCs w:val="1"/>
                <w:color w:val="auto"/>
              </w:rPr>
            </w:pPr>
          </w:p>
        </w:tc>
      </w:tr>
      <w:tr>
        <w:trPr>
          <w:trHeight w:val="18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5,834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5,834</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1,520,156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666,939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264,986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169,289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2,621,370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vMerge w:val="restart"/>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1,694,837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781,422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233,077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1,162,851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1,420,928</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285,099</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324,509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63,930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1,224,527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1,898,065</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160" w:type="dxa"/>
            <w:vAlign w:val="bottom"/>
            <w:shd w:val="clear" w:color="auto" w:fill="CCEEFF"/>
          </w:tcPr>
          <w:p>
            <w:pPr>
              <w:spacing w:after="0"/>
              <w:rPr>
                <w:sz w:val="13"/>
                <w:szCs w:val="13"/>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35,671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36,980</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1,409,738</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456,913</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302,472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(830,266)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1,338,857</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1,694,837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781,422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3,236,922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43,348</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43,348</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487,913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525,461</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647,029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647,029</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311,185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560,059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1,194,630</w:t>
            </w:r>
          </w:p>
        </w:tc>
        <w:tc>
          <w:tcPr>
            <w:tcW w:w="0" w:type="dxa"/>
            <w:vAlign w:val="bottom"/>
          </w:tcPr>
          <w:p>
            <w:pPr>
              <w:spacing w:after="0"/>
              <w:rPr>
                <w:sz w:val="1"/>
                <w:szCs w:val="1"/>
                <w:color w:val="auto"/>
              </w:rPr>
            </w:pPr>
          </w:p>
        </w:tc>
      </w:tr>
      <w:tr>
        <w:trPr>
          <w:trHeight w:val="18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28,700</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1,518,175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560,059</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2,439,168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4" w:name="page45"/>
    <w:bookmarkEnd w:id="4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9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83"/>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income from 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(45,328)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24,790</w:t>
            </w:r>
          </w:p>
        </w:tc>
      </w:tr>
      <w:tr>
        <w:trPr>
          <w:trHeight w:val="189"/>
        </w:trPr>
        <w:tc>
          <w:tcPr>
            <w:tcW w:w="4700" w:type="dxa"/>
            <w:vAlign w:val="bottom"/>
          </w:tcPr>
          <w:p>
            <w:pPr>
              <w:ind w:left="120"/>
              <w:spacing w:after="0"/>
              <w:rPr>
                <w:sz w:val="20"/>
                <w:szCs w:val="20"/>
                <w:color w:val="auto"/>
              </w:rPr>
            </w:pPr>
            <w:r>
              <w:rPr>
                <w:rFonts w:ascii="Arial" w:cs="Arial" w:eastAsia="Arial" w:hAnsi="Arial"/>
                <w:sz w:val="14"/>
                <w:szCs w:val="14"/>
                <w:color w:val="auto"/>
              </w:rPr>
              <w:t>Net income from discontinued operations, net of income taxes</w:t>
            </w:r>
          </w:p>
        </w:tc>
        <w:tc>
          <w:tcPr>
            <w:tcW w:w="24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1,331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1,883</w:t>
            </w:r>
          </w:p>
        </w:tc>
      </w:tr>
      <w:tr>
        <w:trPr>
          <w:trHeight w:val="18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(25,209)</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(43,997)</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26,673</w:t>
            </w:r>
          </w:p>
        </w:tc>
      </w:tr>
      <w:tr>
        <w:trPr>
          <w:trHeight w:val="133"/>
        </w:trPr>
        <w:tc>
          <w:tcPr>
            <w:tcW w:w="4700" w:type="dxa"/>
            <w:vAlign w:val="bottom"/>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 interests in</w:t>
            </w: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(12,724)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(13,051)</w:t>
            </w:r>
          </w:p>
        </w:tc>
      </w:tr>
      <w:tr>
        <w:trPr>
          <w:trHeight w:val="189"/>
        </w:trPr>
        <w:tc>
          <w:tcPr>
            <w:tcW w:w="470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4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101</w:t>
            </w: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4,625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13,243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Net (loss) income attributable to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(25,958)</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25,671</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(44,516)</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39,623</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70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86,022,302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85,996,067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86,013,485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85,990,131</w:t>
            </w:r>
          </w:p>
        </w:tc>
      </w:tr>
      <w:tr>
        <w:trPr>
          <w:trHeight w:val="189"/>
        </w:trPr>
        <w:tc>
          <w:tcPr>
            <w:tcW w:w="47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86,022,302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86,005,604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86,013,485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86,013,539</w:t>
            </w: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(0.30)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(0.53)</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0.44</w:t>
            </w:r>
          </w:p>
        </w:tc>
      </w:tr>
      <w:tr>
        <w:trPr>
          <w:trHeight w:val="189"/>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0.02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r>
      <w:tr>
        <w:trPr>
          <w:trHeight w:val="190"/>
        </w:trPr>
        <w:tc>
          <w:tcPr>
            <w:tcW w:w="470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0.02</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0.02</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The three and nine months ended September 30, 2020 and 2019 includes participating securities which can be converted into a fixed amount of our shares.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September 30, 2020 and 2019, 228,934 and 165,232 shares, respectively, and for the nine months ended September 30, 2020 and 2019, 401,604 and 140,313 shares, respectively, have been excluded from the calculation of Diluted EPS because the impact would be anti-dilutive.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2020, we issued 24,683 common shares to certain directors as compensation.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nine months ended September 30, 2020, certain holders of Class B Units (see Note 16) converted 911,448 Class B Units in exchange for 675,015 common shares.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At the Market Program</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June 30, 2020, we entered into an At Market Issuance Sales Agreement with a third party to sell shares of our Series A Preferred Shares and Series B Preferred Shares (collectively, the “ATM Shares”), having an aggregate offering price of up to $100 million, from time to time, through an “at-the market” equity offering program (the “ATM Program”).</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three months ended September 30, 2020, we sold 1,070,000 ATM Shares at a weighted average price of $19.54 per share for net proceeds of $20.6 million. In connection with the shares sold under the ATM Program, we granted options to the Manager relating to 129,988 common shares, which had a grant date fair value of $0.7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19. COMMITMENTS AND CONTINGENCIES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as part of the acquisition, whereby the non-controlling interest holder may receive additional payments contingent upon the achievement of certain conditions, not to exceed $15.0 million. We will account for such amounts when and if such conditions are achieved.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20. SUBSEQUENT EVENTS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29, 2020, our Board of Directors declared a cash dividend on our common shares and eligible participating securities of $0.33 per share for the quarter ended September 30, 2020, payable on November 30, 2020 to the holders of record on November 16, 2020.</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Additionally, on October 29, 2020, our Board of Directors also declared a cash dividend on the Series A Preferred Shares and Series B Preferred Shares of $0.52 per share and $0.50 per share, respectively, payable on December 15, 2020 to the holders of record on December 1, 2020.</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September 30, 2020, we had total consolidated assets of $3.4 billion and total equity of $1.2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While the outbreak did not have a material impact on operating results on our Aviation Leasing business during the nine months ended September 30, 2020, and we have not yet seen a meaningful decline in the timing of lease payments, a number of our lessees continue to experience increased financial stress due to the significant decline in travel demand, particularly as various regions experience spikes in COVID-19 cases. A number of these lessees have been placed on non-accrual status as of September 30, 2020. However, we believe our overall portfolio exposure is limited by maintenance reserves and security deposits which are secured against lessee defaults. The value of these deposits was $190.5 million as of September 30, 2020. The extent of the impact of the COVID-19 pandemic on our operational and financial performance will depend on future developments, including the duration, severity and spread of the pandemic, as well as additional waves of COVID-19 infections and the ultimate impact of related restrictions imposed by the U.S. and international governments, all of which remain uncertain. For additional detail, see Liquidity and Capital Resources and Item IA. Risk Factors— The current outbreak of the novel coronavirus (COVID-19) has severely disrupted the global economy and may have, and the emergence of similar crises could have, material adverse effects on our business, results of operations or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three reportable segments: (i) Aviation Leasing, which is within the Equipment Leasing Business, and (ii) Jefferson Terminal and (iii)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Ports and Terminals segment consists of Repauno, acquired in 2016, a 1,630-acre deep-water port located along the Delaware River with an underground storage cavern and multiple industrial development opportunities. Additionally, Ports and Terminals includes an equity method investment (“Long Ridge”), which is a 1,660-acre multi-modal port located along the Ohio River with rail, dock, and multiple industrial development opportunities, including a power plant under construction.</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2019, we completed the sale of substantially all of our railroad business, which was formerly reported as our Railroad segment. Under ASC 205-20, this disposition met the criteria to be reported as discontinued operations and the assets, liabilities and results of operations have been presented as discontinued operations for all periods presented. Additionally, in accordance with ASC 280, we assessed our reportable segments. We determined that our retained investment of the railroad business no longer met the requirement as a reportable segment. Accordingly, we have presented this operating segment, along with Corporate results, within Corporate and Other effective in 2019. All prior periods have been restated for historical comparison across segments.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7" w:name="page48"/>
    <w:bookmarkEnd w:id="47"/>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long-term operating leases, (ii) an investment in an unconsolidated entity engaged in the leasing of shipping containers and (iii) railroad assets retained after the December 2019 sale, which consists of equipment that support a railcar cleaning business.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Organizational Restructuring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early 2020, we completed an organizational restructuring of the Aviation Leasing segment (“Aviation Restructuring”). Previously, Aviation Leasing’s employees were employed by the Manager and compensation and related costs associated with these employees were reimbursed to the Manager, per the Management Agreement. These costs were reported within Corporate and Other.</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Effective in the first quarter of 2020, Aviation Leasing’s employees are employed by one of our subsidiaries. Compensation and related costs incurred by this subsidiary will be reported within the Aviation Leasing segment. Prior periods have been restated for historical comparison. See Note 16 to the consolidated financial statements for additional details.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Group Corp. (“SoftBank”) announced that it completed its previously announced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CODM utilizes Adjusted EBITDA as the key performance measure. This performance measure provides the CODM with the information necessary to assess operational performance, as well as make resource and allocation decisions.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00497F"/>
        </w:rPr>
        <w:t>Comparison of the three and nine months ended September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40,440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134,887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(17,072)</w:t>
            </w: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25,609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35,426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84,709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2,137</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15,053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12,876</w:t>
            </w: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69,799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87,259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236,082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(2,829)</w:t>
            </w: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w:t>
            </w: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11,329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11,835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40,534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13,449</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Crude marketing revenues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(132,178)</w:t>
            </w: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w:t>
            </w: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13,910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65,441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(51,531)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54,776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178,531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(123,755)</w:t>
            </w: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83,709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152,700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(68,991)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290,858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417,442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(126,584)</w:t>
            </w:r>
          </w:p>
        </w:tc>
      </w:tr>
      <w:tr>
        <w:trPr>
          <w:trHeight w:val="236"/>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23,128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82,719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81,144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(141,668)</w:t>
            </w: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13,292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14,113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(2,813)</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42,626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126,543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w:t>
            </w: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14,391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14,391</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26,904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25,190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71,559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71,318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107,847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169,430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(61,583)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330,339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457,631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(127,292)</w:t>
            </w:r>
          </w:p>
        </w:tc>
      </w:tr>
      <w:tr>
        <w:trPr>
          <w:trHeight w:val="237"/>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w:t>
            </w: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(63,565)</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(331)</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(3,557)</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37,338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(40,895)</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(12,181)</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63,790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(75,971)</w:t>
            </w: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from continuing operations before income taxes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(27,695)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(51,662)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(75,263)</w:t>
            </w: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(5,145)</w:t>
            </w:r>
          </w:p>
        </w:tc>
      </w:tr>
      <w:tr>
        <w:trPr>
          <w:trHeight w:val="183"/>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income from continued operations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(45,328)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(70,118)</w:t>
            </w:r>
          </w:p>
        </w:tc>
      </w:tr>
      <w:tr>
        <w:trPr>
          <w:trHeight w:val="189"/>
        </w:trPr>
        <w:tc>
          <w:tcPr>
            <w:tcW w:w="4400" w:type="dxa"/>
            <w:vAlign w:val="bottom"/>
          </w:tcPr>
          <w:p>
            <w:pPr>
              <w:ind w:left="120"/>
              <w:spacing w:after="0"/>
              <w:rPr>
                <w:sz w:val="20"/>
                <w:szCs w:val="20"/>
                <w:color w:val="auto"/>
              </w:rPr>
            </w:pPr>
            <w:r>
              <w:rPr>
                <w:rFonts w:ascii="Arial" w:cs="Arial" w:eastAsia="Arial" w:hAnsi="Arial"/>
                <w:sz w:val="14"/>
                <w:szCs w:val="14"/>
                <w:color w:val="auto"/>
              </w:rPr>
              <w:t>Net income from discontinued operations, net of income taxes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w:t>
            </w: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(25,209)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20,676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(45,885)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(43,997)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(70,670)</w:t>
            </w: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income attributable to non-controlling interest in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Continuing operations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r>
      <w:tr>
        <w:trPr>
          <w:trHeight w:val="189"/>
        </w:trPr>
        <w:tc>
          <w:tcPr>
            <w:tcW w:w="4400" w:type="dxa"/>
            <w:vAlign w:val="bottom"/>
          </w:tcPr>
          <w:p>
            <w:pPr>
              <w:ind w:left="120"/>
              <w:spacing w:after="0"/>
              <w:rPr>
                <w:sz w:val="20"/>
                <w:szCs w:val="20"/>
                <w:color w:val="auto"/>
              </w:rPr>
            </w:pPr>
            <w:r>
              <w:rPr>
                <w:rFonts w:ascii="Arial" w:cs="Arial" w:eastAsia="Arial" w:hAnsi="Arial"/>
                <w:sz w:val="14"/>
                <w:szCs w:val="14"/>
                <w:color w:val="auto"/>
              </w:rPr>
              <w:t>Discontinued operations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13,243</w:t>
            </w: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(25,958)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25,671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(51,629)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(44,516)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39,623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(84,139)</w:t>
            </w: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from continuing operations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4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(loss) income attributable to shareholders from continuing</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(25,958)</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24,847</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(50,805)</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(45,847)</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37,841</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(83,688)</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(5,145)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2,442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9,297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52,532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149,937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26,904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71,559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71,318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2,501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5,445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(7,406)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58,636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112,003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(53,367)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197,103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269,454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8"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2020 and 2019: (i) depreciation and amortization expense of $42,626 and $43,265, (ii) lease intangible amortization of $953 and $1,072 and (iii) amortization for lease incentives of $8,953 and $5,648, respectively. Includes the following items for the nine months ended September 30, 2020 and 2019: (i) depreciation and amortization expense of $126,543 and $124,180, (ii) lease intangible amortization of $3,016 and $5,736 and (iii) amortization for lease incentives of $20,378 and $18,272, respectively.</w:t>
      </w:r>
    </w:p>
    <w:p>
      <w:pPr>
        <w:spacing w:after="0" w:line="44"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September 30, 2020 and 2019: (i) net loss of $(2,590) and $(1,096), (ii) interest expense of $367 and $30,</w:t>
      </w:r>
    </w:p>
    <w:p>
      <w:pPr>
        <w:jc w:val="both"/>
        <w:ind w:left="180" w:hanging="10"/>
        <w:spacing w:after="0" w:line="241" w:lineRule="auto"/>
        <w:tabs>
          <w:tab w:leader="none" w:pos="438"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depreciation and amortization expense of $1,389 and $265, (iv) acquisition and transaction expenses of $(79) and $0 and (v) changes in fair value of non-hedge derivatives of $1,033 and $0, respectively. Includes the following items for the nine months ended September 30, 2020 and 2019: (i) net loss of $(5,593) and $(1,793),</w:t>
      </w:r>
    </w:p>
    <w:p>
      <w:pPr>
        <w:ind w:left="180" w:hanging="10"/>
        <w:spacing w:after="0" w:line="258" w:lineRule="auto"/>
        <w:tabs>
          <w:tab w:leader="none" w:pos="396" w:val="left"/>
        </w:tabs>
        <w:numPr>
          <w:ilvl w:val="1"/>
          <w:numId w:val="12"/>
        </w:numPr>
        <w:rPr>
          <w:rFonts w:ascii="Arial" w:cs="Arial" w:eastAsia="Arial" w:hAnsi="Arial"/>
          <w:sz w:val="14"/>
          <w:szCs w:val="14"/>
          <w:color w:val="auto"/>
        </w:rPr>
      </w:pPr>
      <w:r>
        <w:rPr>
          <w:rFonts w:ascii="Arial" w:cs="Arial" w:eastAsia="Arial" w:hAnsi="Arial"/>
          <w:sz w:val="14"/>
          <w:szCs w:val="14"/>
          <w:color w:val="auto"/>
        </w:rPr>
        <w:t>interest expense of $848 and $101, (iii) depreciation and amortization expense of $3,797 and $797, (iv) acquisition and transaction expenses of $533 and $0 and (v) changes in fair value of non-hedge derivatives of $248 and $0, respectively.</w:t>
      </w:r>
    </w:p>
    <w:p>
      <w:pPr>
        <w:spacing w:after="0" w:line="85" w:lineRule="exact"/>
        <w:rPr>
          <w:rFonts w:ascii="Arial" w:cs="Arial" w:eastAsia="Arial" w:hAnsi="Arial"/>
          <w:sz w:val="14"/>
          <w:szCs w:val="14"/>
          <w:color w:val="auto"/>
        </w:rPr>
      </w:pPr>
    </w:p>
    <w:p>
      <w:pPr>
        <w:jc w:val="both"/>
        <w:ind w:left="180" w:hanging="172"/>
        <w:spacing w:after="0" w:line="228" w:lineRule="auto"/>
        <w:tabs>
          <w:tab w:leader="none" w:pos="181"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September 30, 2020 and 2019: (i) equity-based compensation of $97 and $57, (ii) provision for income taxes of $1 and $12, (iii) interest expense of $322 and $813, (iv) depreciation and amortization expense of $1,535 and $1,261 and (v) changes in fair value of non-hedge derivative instruments of $0 and $785, respectively. Includes the following items for the nine months ended September 30, 2020 and 2019: (i) equity based compensation of $196 and $176, (ii) provision for income taxes of $44 and $38, (iii) interest expense of $1,553 and $2,758, (iv) depreciation and amortization expense of $4,583 and $3,633, (v) changes in fair value of non-hedge derivative instruments of $38 and $1,261 and (vi) loss on extinguishment of debt of $992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2020 and 2019</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decreased $69.0 million primarily due to lower revenues of $48.8 million in the Jefferson Terminal segment and $19.8 million in the Aviation Leasing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Lease income decreased $10.4 million primarily due to an increase in aircraft redelivered and a decrease in the number of engines on lease and an increase in the number of customers placed on non-accrual status, partially offset by an increase in the number of aircraft placed on lease.</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Maintenance revenue decreased $9.8 million primarily due to lower aircraft and engine utilization as a result of the COVID-19 pandemic, partially offset by the recognition of maintenance deposits due to the early redelivery of four aircraft.</w:t>
      </w:r>
    </w:p>
    <w:p>
      <w:pPr>
        <w:spacing w:after="0" w:line="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Other revenue increased $2.7 million, which primarily reflects (i) an increase of $1.5 million in the Aviation Leasing segment due to an increase in end-of-lease redelivery compensation and (ii) an increase of $1.1 million in the offshore energy business related to victualling income as one of our vessels was on-hire in 2020 while it was off-hire in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Crude marketing revenue decreased $50.4 million due to Jefferson Terminal exiting the crude marketing strategy in the fourth quarter of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2020 and 2019</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decreased $126.6 million due to lower revenues of $114.5 million in the Jefferson Terminal segment, $10.6 million in the Ports and Terminals segment and $7.0 million in the Aviation Leasing segment, partially offset by higher revenues of $5.5 million in Corporate and Other.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Lease income decreased $17.1 million primarily due to an increase in aircraft redelivered and the number of customers placed on non-accrual status, partially offset by an increase in the number of aircraft placed on lease.</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increased $12.9 million, which primarily reflects (i) an increase of $9.9 million in the Aviation Leasing segment due to an increase in end-of-lease redelivery compensation and settlement of an engine loss and (ii) an increase of $3.0 million in the offshore energy business related to victualling income as our vessels were on-hire longer in 2020 compared to 2019.</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revenue increased $2.1 million primarily due to the recognition of maintenance deposits due to the early redelivery of eleven aircraft, partially offset by lower aircraft and engine utilization as a result of the COVID-19 pandemic.</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Crude marketing revenue decreased $132.2 million due to Jefferson Terminal exiting the crude marketing strategy in the fourth quarter of 2019. Revenues in 2020 include contracts executed in 2019 but delivered in 2020.</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decreased $3.2 million, which primarily reflects (i) a decrease of $4.2 million at Long Ridge due to Long Ridge being accounted for as an equity method investment starting in the fourth quarter of 2019 (the “Long Ridge Transaction”), partially offset by (ii) an increase of $1.4 million in our railcar cleaning business due to higher volumes.</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Terminal services revenue increased $13.4 million which primarily reflects (i) an increase of $18.6 million due to increased activity and storage capacity at Jefferson Terminal, partially offset by (ii) a decrease of $5.2 million due to the Long Ridge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2020 and 2019</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decreased $61.6 million, primarily due to lower (i) operating expenses, (ii) acquisition and transaction expense, (iii) management fees and incentive allocation to affiliate and (iv) general and administrative expense, partially offset by higher (v) asset impairment and (vi) interest expense.</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Operating expenses decreased $59.6 million, primarily due to a decrease in cost of sales of $55.6 million primarily due to Jefferson Terminal exiting the crude marketing strategy in the fourth quarter of 2019.</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Acquisition and transaction expense decreased $2.9 million which primarily reflects a lower reimbursement to the Manager of $2.5 million due to fewer acquisitions in 2020 compared to 2019.</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Management fees and incentive allocation to affiliate decreased $2.8 million, which reflects (i) lower incentive fees of $3.7 million due to the decrease in gains on sale of assets, net, partially offset by (ii) an increase of $0.9 million in the base management fee as our average total equity is higher in 2020 compared to 2019.</w:t>
      </w:r>
    </w:p>
    <w:p>
      <w:pPr>
        <w:spacing w:after="0" w:line="93" w:lineRule="exact"/>
        <w:rPr>
          <w:sz w:val="20"/>
          <w:szCs w:val="20"/>
          <w:color w:val="auto"/>
        </w:rPr>
      </w:pPr>
    </w:p>
    <w:p>
      <w:pPr>
        <w:ind w:right="2880"/>
        <w:spacing w:after="0" w:line="387" w:lineRule="auto"/>
        <w:rPr>
          <w:sz w:val="20"/>
          <w:szCs w:val="20"/>
          <w:color w:val="auto"/>
        </w:rPr>
      </w:pPr>
      <w:r>
        <w:rPr>
          <w:rFonts w:ascii="Arial" w:cs="Arial" w:eastAsia="Arial" w:hAnsi="Arial"/>
          <w:sz w:val="16"/>
          <w:szCs w:val="16"/>
          <w:color w:val="auto"/>
        </w:rPr>
        <w:t>General and administrative expenses decreased $1.3 million primarily due to a lower reimbursement to the Manager. Asset impairment increased $3.9 million due to an impairment charge in 2020 in the Aviation Leasing segment. Interest expense increased $1.7 million, primarily due to:</w:t>
      </w:r>
    </w:p>
    <w:p>
      <w:pPr>
        <w:spacing w:after="0" w:line="1" w:lineRule="exact"/>
        <w:rPr>
          <w:sz w:val="20"/>
          <w:szCs w:val="20"/>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$4.3 million in Corporate and Other which primarily reflects (i) an increase in our average outstanding debt due to the issuance of the 2027 Notes, partially offset by (ii) a decrease in interest expense related to the FTAI Pride Credit Agreement, which was repaid in full in March 2020; and</w:t>
      </w:r>
    </w:p>
    <w:p>
      <w:pPr>
        <w:spacing w:after="0" w:line="9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decrease of $2.4 million at Jefferson Terminal due to the Jefferson Refinancing.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2020 and 2019</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decreased $127.3 million, primarily due to lower (i) operating expenses and (ii) management fees and incentive allocation to affiliate, partially offset by (iii) an asset impairment charge.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decreased $141.7 million, primarily due to decreases in:</w:t>
      </w:r>
    </w:p>
    <w:p>
      <w:pPr>
        <w:spacing w:after="0" w:line="11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of sales of $137.5 million primarily due to Jefferson Terminal exiting the crude marketing strategy in the fourth quarter of 2019;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facility operations of $4.1 million primarily due to the Long Ridge Transaction.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jc w:val="both"/>
        <w:spacing w:after="0" w:line="253" w:lineRule="auto"/>
        <w:rPr>
          <w:sz w:val="20"/>
          <w:szCs w:val="20"/>
          <w:color w:val="auto"/>
        </w:rPr>
      </w:pPr>
      <w:r>
        <w:rPr>
          <w:rFonts w:ascii="Arial" w:cs="Arial" w:eastAsia="Arial" w:hAnsi="Arial"/>
          <w:sz w:val="16"/>
          <w:szCs w:val="16"/>
          <w:color w:val="auto"/>
        </w:rPr>
        <w:t>Management fees and incentive allocation to affiliate decreased $2.8 million, which reflects (i) lower incentive fees of $6.1 million due to the decrease in gains on sale of assets, net, partially offset by (ii) an increase of $3.3 million in the base management fee as our average total equity is higher in 2020 compared to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above decreases were partially offset by an asset impairment charge of $14.4 million in 2020 in the Aviation Leasing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other expense increased $40.9 million during the three months ended September 30, 2020, which primarily reflects (i) a decrease of $38.2 million in gain on sale of assets, net as we had more asset sales in 2019 compared to 2020 and (ii) an increase of $1.5 million in equity in losses of unconsolidated entities.</w:t>
      </w:r>
    </w:p>
    <w:p>
      <w:pPr>
        <w:spacing w:after="0" w:line="2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other expense increased $76.0 million during the nine months ended September 30, 2020, which primarily reflects (i) a decrease of $63.6 million in gain on sale of assets, net as we had more asset sales in 2019 compared to 2020, (ii) a loss on extinguishment of debt of $4.7 million due to the Jefferson Refinancing, (iii) an increase of $3.9 million in equity in losses of unconsolidated entities and (iv) a decrease in other income of $3.4 million primarily due to the Long Ridge Transaction.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income from continuing operations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income from continuing operations decreased $44.9 million and $70.1 million during the three and nine months ended September 30, 2020,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$53.4 million and $72.4 million during the three and nine months ended September 30, 2020, respectively, primarily due to the changes noted above.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in our Aviation Leasing segment, we own and manage 272 aviation assets, consisting of 79 commercial aircraft and 193 engines.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September 30, 2020, 70 of our commercial aircraft and 110 of our engines were leased to operators or other third parties. Aviation assets currently off lease are either undergoing repair and/or maintenance, being prepared to go on lease or held in short term storage awaiting a future lease. Our aviation equipment was approximately 71% utilized during the three months ended September 30, 2020, based on the percent of days on-lease in the quarter weighted by the monthly average equity value of our aviation leasing equipment, excluding airframes. Our aircraft currently have a weighted average remaining lease term of 35 months, and our engines currently on-lease have an average remaining lease term of 22 months. The table below provides additional information on the assets in our Aviation Leasing segment: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500" w:type="dxa"/>
            <w:vAlign w:val="bottom"/>
            <w:gridSpan w:val="3"/>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4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1700" w:type="dxa"/>
            <w:vAlign w:val="bottom"/>
            <w:shd w:val="clear" w:color="auto" w:fill="00497F"/>
          </w:tcPr>
          <w:p>
            <w:pPr>
              <w:ind w:left="68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2160" w:type="dxa"/>
            <w:vAlign w:val="bottom"/>
            <w:shd w:val="clear" w:color="auto" w:fill="00497F"/>
          </w:tcPr>
          <w:p>
            <w:pPr>
              <w:jc w:val="right"/>
              <w:ind w:right="82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89"/>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2020</w:t>
            </w:r>
          </w:p>
        </w:tc>
        <w:tc>
          <w:tcPr>
            <w:tcW w:w="16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r>
      <w:tr>
        <w:trPr>
          <w:trHeight w:val="189"/>
        </w:trPr>
        <w:tc>
          <w:tcPr>
            <w:tcW w:w="20" w:type="dxa"/>
            <w:vAlign w:val="bottom"/>
          </w:tcPr>
          <w:p>
            <w:pPr>
              <w:spacing w:after="0"/>
              <w:rPr>
                <w:sz w:val="16"/>
                <w:szCs w:val="16"/>
                <w:color w:val="auto"/>
              </w:rPr>
            </w:pPr>
          </w:p>
        </w:tc>
        <w:tc>
          <w:tcPr>
            <w:tcW w:w="4480" w:type="dxa"/>
            <w:vAlign w:val="bottom"/>
            <w:gridSpan w:val="2"/>
          </w:tcPr>
          <w:p>
            <w:pPr>
              <w:ind w:left="180"/>
              <w:spacing w:after="0"/>
              <w:rPr>
                <w:sz w:val="20"/>
                <w:szCs w:val="20"/>
                <w:color w:val="auto"/>
              </w:rPr>
            </w:pPr>
            <w:r>
              <w:rPr>
                <w:rFonts w:ascii="Arial" w:cs="Arial" w:eastAsia="Arial" w:hAnsi="Arial"/>
                <w:sz w:val="14"/>
                <w:szCs w:val="14"/>
                <w:color w:val="auto"/>
              </w:rPr>
              <w:t>Purchases</w:t>
            </w:r>
          </w:p>
        </w:tc>
        <w:tc>
          <w:tcPr>
            <w:tcW w:w="16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164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4480" w:type="dxa"/>
            <w:vAlign w:val="bottom"/>
            <w:gridSpan w:val="2"/>
          </w:tcPr>
          <w:p>
            <w:pPr>
              <w:ind w:left="180"/>
              <w:spacing w:after="0"/>
              <w:rPr>
                <w:sz w:val="20"/>
                <w:szCs w:val="20"/>
                <w:color w:val="auto"/>
              </w:rPr>
            </w:pPr>
            <w:r>
              <w:rPr>
                <w:rFonts w:ascii="Arial" w:cs="Arial" w:eastAsia="Arial" w:hAnsi="Arial"/>
                <w:sz w:val="14"/>
                <w:szCs w:val="14"/>
                <w:color w:val="auto"/>
              </w:rPr>
              <w:t>Transfers</w:t>
            </w:r>
          </w:p>
        </w:tc>
        <w:tc>
          <w:tcPr>
            <w:tcW w:w="1640" w:type="dxa"/>
            <w:vAlign w:val="bottom"/>
          </w:tcPr>
          <w:p>
            <w:pPr>
              <w:spacing w:after="0"/>
              <w:rPr>
                <w:sz w:val="16"/>
                <w:szCs w:val="16"/>
                <w:color w:val="auto"/>
              </w:rPr>
            </w:pPr>
          </w:p>
        </w:tc>
        <w:tc>
          <w:tcPr>
            <w:tcW w:w="232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45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 at September 30, 2020</w:t>
            </w:r>
          </w:p>
        </w:tc>
        <w:tc>
          <w:tcPr>
            <w:tcW w:w="164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960" w:type="dxa"/>
            <w:vAlign w:val="bottom"/>
            <w:tcBorders>
              <w:left w:val="single" w:sz="8" w:color="auto"/>
            </w:tcBorders>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r>
        <w:trPr>
          <w:trHeight w:val="189"/>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at January 1, 2020</w:t>
            </w:r>
          </w:p>
        </w:tc>
        <w:tc>
          <w:tcPr>
            <w:tcW w:w="16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164</w:t>
            </w: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w:t>
            </w:r>
          </w:p>
        </w:tc>
        <w:tc>
          <w:tcPr>
            <w:tcW w:w="16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20" w:type="dxa"/>
            <w:vAlign w:val="bottom"/>
          </w:tcPr>
          <w:p>
            <w:pPr>
              <w:spacing w:after="0"/>
              <w:rPr>
                <w:sz w:val="16"/>
                <w:szCs w:val="16"/>
                <w:color w:val="auto"/>
              </w:rPr>
            </w:pPr>
          </w:p>
        </w:tc>
        <w:tc>
          <w:tcPr>
            <w:tcW w:w="4480" w:type="dxa"/>
            <w:vAlign w:val="bottom"/>
            <w:gridSpan w:val="2"/>
          </w:tcPr>
          <w:p>
            <w:pPr>
              <w:ind w:left="180"/>
              <w:spacing w:after="0"/>
              <w:rPr>
                <w:sz w:val="20"/>
                <w:szCs w:val="20"/>
                <w:color w:val="auto"/>
              </w:rPr>
            </w:pPr>
            <w:r>
              <w:rPr>
                <w:rFonts w:ascii="Arial" w:cs="Arial" w:eastAsia="Arial" w:hAnsi="Arial"/>
                <w:sz w:val="14"/>
                <w:szCs w:val="14"/>
                <w:color w:val="auto"/>
              </w:rPr>
              <w:t>Sales</w:t>
            </w:r>
          </w:p>
        </w:tc>
        <w:tc>
          <w:tcPr>
            <w:tcW w:w="16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Transfers</w:t>
            </w:r>
          </w:p>
        </w:tc>
        <w:tc>
          <w:tcPr>
            <w:tcW w:w="16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3"/>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at September 30, 2020</w:t>
            </w:r>
          </w:p>
        </w:tc>
        <w:tc>
          <w:tcPr>
            <w:tcW w:w="16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w:t>
            </w: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50,169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127,983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(18,220)</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25,609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35,426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84,709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66,491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86,305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224,742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231,697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(6,955)</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4,515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33,911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97,848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97,183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43,504</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38,191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5,313</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132,247</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113,504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18,743</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(Loss) gain on sale of assets, net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61,388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(63,546)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36,206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60,145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(63,665)</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21,667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88,975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(89,363)</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83,504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(59,964)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94,230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(85,481)</w:t>
            </w:r>
          </w:p>
        </w:tc>
        <w:tc>
          <w:tcPr>
            <w:tcW w:w="0" w:type="dxa"/>
            <w:vAlign w:val="bottom"/>
          </w:tcPr>
          <w:p>
            <w:pPr>
              <w:spacing w:after="0"/>
              <w:rPr>
                <w:sz w:val="1"/>
                <w:szCs w:val="1"/>
                <w:color w:val="auto"/>
              </w:rPr>
            </w:pP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94,230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(85,481)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23,540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83,504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(59,964)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94,230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179,711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(85,481)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(5,255)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6,845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3,839</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42,920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121,242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(1,432)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70,562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126,009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(55,447)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231,453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302,535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(71,082)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8" w:lineRule="auto"/>
        <w:tabs>
          <w:tab w:leader="none" w:pos="158"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2020 and 2019: (i) depreciation expense of $33,014 and $33,911, (ii) lease intangible amortization of $953 and $1,072 and (iii) amortization for lease incentives of $8,953 and $5,648, respectively. Includes the following items for the nine months ended September 30, 2020 and 2019: (i) depreciation expense of $97,848 and $97,183, (ii) lease intangible amortization of $3,016 and $5,736 and (iii) amortization for lease incentives of $20,378 and $18,272, respectively.</w:t>
      </w:r>
    </w:p>
    <w:p>
      <w:pPr>
        <w:spacing w:after="0" w:line="100" w:lineRule="exact"/>
        <w:rPr>
          <w:rFonts w:ascii="Arial" w:cs="Arial" w:eastAsia="Arial" w:hAnsi="Arial"/>
          <w:sz w:val="18"/>
          <w:szCs w:val="18"/>
          <w:color w:val="auto"/>
          <w:vertAlign w:val="superscript"/>
        </w:rPr>
      </w:pPr>
    </w:p>
    <w:p>
      <w:pPr>
        <w:ind w:left="180" w:right="20" w:hanging="172"/>
        <w:spacing w:after="0" w:line="217" w:lineRule="auto"/>
        <w:tabs>
          <w:tab w:leader="none" w:pos="158"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$19.8 million driven by lower lease income and maintenance revenue.</w:t>
      </w:r>
    </w:p>
    <w:p>
      <w:pPr>
        <w:spacing w:after="0" w:line="113" w:lineRule="exact"/>
        <w:rPr>
          <w:sz w:val="20"/>
          <w:szCs w:val="20"/>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Lease income decreased $11.6 million primarily due to an increase in aircraft redelivered and a decrease in the number of engines on lease and an increase in the number of customers placed on non-accrual status, partially offset by an increase in the number of aircraft placed on lease.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Maintenance revenue decreased $9.8 million primarily due to lower aircraft and engine utilization as a result of the COVID-19 pandemic, partially offset the recognition of maintenance deposits due to the early redelivery of four aircraft.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revenue increased $1.5 million primarily due to the increase in end-of-lease redelivery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$7.0 million driven by lower lease income.</w:t>
      </w:r>
    </w:p>
    <w:p>
      <w:pPr>
        <w:spacing w:after="0" w:line="113" w:lineRule="exact"/>
        <w:rPr>
          <w:sz w:val="20"/>
          <w:szCs w:val="20"/>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Lease income decreased $18.2 million primarily due to an increase in aircraft redelivered and the number of customers placed on non-accrual status, partially offset by an increase in the number of aircraft placed on lease.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Maintenance revenue increased $2.1 million primarily due to the recognition of maintenance deposits due to the early redelivery of eleven aircraft, partially offset by lower aircraft and engine utilization as a result of the COVID-19 pandemic.</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revenue increased $9.9 million primarily due to the increase in end-of-lease redelivery compensation and settlement of an engine loss.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2020 and 2019</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$5.3 million primarily due to an increase in asset impairment, acquisition and transaction expenses and operating expenses partially offset by a decrease in depreciation and amortization expense.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4" w:name="page55"/>
    <w:bookmarkEnd w:id="54"/>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Asset impairment increased $3.9 million for the adjustment of the carrying value of leasing equipment to fair value, net of redelivery compensation.</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Acquisition and transaction expense increased $1.0 million driven by additional compensation and related costs associated with the acquisition of aviation leasing equipment.</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Depreciation and amortization expense decreased $0.9 million driven by a decrease in the number of engines on lease and an increase in the number of aircraft redelivered and parted out into our engine leasing pool, partially offset by additional aircraft owned and on lease.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expenses increased $1.3 million primarily as a result of an increase in professional fees, shipping and storage fees, partially offset by a decrease in other operating expenses.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2020 and 2019</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$18.7 million primarily due to an increase in asset impairment, depreciation and amortization expense and acquisition and transaction expenses, partially offset by a decrease in operating expenses.</w:t>
      </w:r>
    </w:p>
    <w:p>
      <w:pPr>
        <w:spacing w:after="0" w:line="87"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Asset impairment increased $14.4 million for the adjustment of the carrying value of leasing equipment to fair value, net of redelivery compensation.</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Acquisition and transaction expense increased $3.8 million driven by additional compensation and related costs associated with the acquisition of aviation leasing equipment.</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Depreciation and amortization expense increased $0.7 million driven by additional aircraft owned and on lease, partially offset by a decrease in the number of engines on lease and additional aircraft redelivered and parted out into our engine leasing pool.</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expenses decreased $0.2 million primarily as a result of a decrease in bad debt expense and repairs and maintenance expenses, partially offset by an increase in professional fees, compensation and benefit and other operating expenses.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decreased $37.5 million during the three months ended September 30, 2020, primarily due to a decrease of $38.2 million in gain on the sale of leasing equipment in 2020, partially offset by a decrease of $0.6 million in Aviation Leasing’s proportionate share of the unconsolidated entities’ net loss.</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decreased $63.7 million during the nine months ended September 30, 2020, primarily due to a decrease of $63.5 million in gain on the sale of leasing equipment in 2020 and an increase of $0.1 million in Aviation Leasing’s proportionate share of the unconsolidated entities’ net loss.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$55.4 million and $71.1 million during the three and nine months ended September 30, 2020,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368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775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40,534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50,405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(50,405)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8,210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140,388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(132,178)</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11,697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60,537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(48,840)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49,519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164,053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(114,534)</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9,661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69,712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43,894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183,346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(139,452)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5,244</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1,487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3,927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18,398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79,356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(60,958)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72,755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212,113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(139,358)</w:t>
            </w: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 net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(5,085)</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(6,701)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(18,183)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11,482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(27,913)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(47,652)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19,739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(6,704)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11,535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(28,125)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19,707</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(3,809)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(12,490)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(12,885)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(15,635)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(34,947)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(15,635)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19,312</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4,724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(5,822)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5,244</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1,487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7,225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(7,315)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4,348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11,885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right="20" w:hanging="172"/>
        <w:spacing w:after="0" w:line="217" w:lineRule="auto"/>
        <w:tabs>
          <w:tab w:leader="none" w:pos="158"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and nine months ended September 30, 2019: (i) net loss of $(162) and $(363) and (ii) depreciation and amortization expense of $265 and $797, respectively.</w:t>
      </w:r>
    </w:p>
    <w:p>
      <w:pPr>
        <w:spacing w:after="0" w:line="99" w:lineRule="exact"/>
        <w:rPr>
          <w:rFonts w:ascii="Arial" w:cs="Arial" w:eastAsia="Arial" w:hAnsi="Arial"/>
          <w:sz w:val="18"/>
          <w:szCs w:val="18"/>
          <w:color w:val="auto"/>
          <w:vertAlign w:val="superscript"/>
        </w:rPr>
      </w:pPr>
    </w:p>
    <w:p>
      <w:pPr>
        <w:jc w:val="both"/>
        <w:ind w:left="180" w:hanging="172"/>
        <w:spacing w:after="0" w:line="228" w:lineRule="auto"/>
        <w:tabs>
          <w:tab w:leader="none" w:pos="181"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September 30, 2020 and 2019: (i) equity-based compensation of $90 and $57, (ii) provision for income taxes of $1 and $12, (iii) interest expense of $312 and $825, (iv) changes in fair value of non-hedge derivative instruments of $0 and $785 and (v) depreciation and amortization expense of $1,522 and $1,199, respectively. Includes the following items for the nine months ended September 30, 2020 and 2019: (i) equity-based compensation of $180 and $172, (ii) provision for income taxes of $44 and $38, (iii) interest expense of $1,517 and $2,599, (iv) changes in fair value of non-hedge derivative instruments of $38 and $1,261, (v) depreciation and amortization expense of $4,544 and $3,441 and (vi) loss on extinguishment of debt of $992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$48.8 million during the three months ended September 30, 2020, primarily due to (i) a decrease in crude marketing revenue of $50.4 million due to Jefferson Terminal exiting the crude marketing strategy in the fourth quarter of 2019, partially offset by (ii) an increase in terminal services of $1.8 million due to increased activity and storage capacity.</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$114.5 million during the nine months ended September 30, 2020, primarily due to (i) a decrease in crude marketing revenue of $132.2 million due to Jefferson Terminal exiting the crude marketing strategy in the fourth quarter of 2019, partially offset by (ii) an increase in terminal services of $18.6 million due to increased activity and storage capacity.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expenses decreased $61.0 million during the three months ended September 30, 2020, which reflects (i) a decrease in operating expenses of $60.1 million primarily due to Jefferson Terminal exiting the crude marketing strategy in the fourth quarter of 2019, (ii) a decrease in interest expense of $2.4 million due to the Jefferson Refinancing, partially offset by (iii) an increase in depreciation and amortization of $1.5 million due to additional assets being placed into service.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expenses decreased $139.4 million during the nine months ended September 30, 2020, which reflects (i) a decrease in operating expenses of $139.5 million primarily due to Jefferson Terminal exiting the crude marketing strategy in the fourth quarter of 2019, (ii) a decrease in interest expense of $5.2 million due to the Jefferson Refinancing, partially offset by (iii) an increase in depreciation and amortization of $5.2 million due to additional assets being placed into service.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expense increased $5.1 million during the nine months ended September 30, 2020, which primarily reflects a loss on extinguishment of debt of $4.7 million due to the Jefferson Refinancing.</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$6.5 million and $17.9 million during the three and nine months ended September 30, 2020,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(5,176)</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(4,553)</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(10,598)</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2,704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6,579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(8,484)</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9,567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(11,849)</w:t>
            </w: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(2,285)</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(1,688)</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(3,961)</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(6,075)</w:t>
            </w: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Benefit from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(3,777)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(10,438)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w:t>
            </w:r>
          </w:p>
        </w:tc>
        <w:tc>
          <w:tcPr>
            <w:tcW w:w="0" w:type="dxa"/>
            <w:vAlign w:val="bottom"/>
          </w:tcPr>
          <w:p>
            <w:pPr>
              <w:spacing w:after="0"/>
              <w:rPr>
                <w:sz w:val="1"/>
                <w:szCs w:val="1"/>
                <w:color w:val="auto"/>
              </w:rPr>
            </w:pPr>
          </w:p>
        </w:tc>
      </w:tr>
      <w:tr>
        <w:trPr>
          <w:trHeight w:val="133"/>
        </w:trPr>
        <w:tc>
          <w:tcPr>
            <w:tcW w:w="442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(3,710)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1,376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2,285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0" w:lineRule="auto"/>
        <w:tabs>
          <w:tab w:leader="none" w:pos="19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and nine months ended September 30, 2020: (i) net loss of $(2,285) and $(3,961), (ii) interest expense of $337 and $759, (iii) depreciation and amortization expense of $1,389 and $3,797, (iv) acquisition and transaction expenses of $(79) and $533 and (v) changes in fair value of non-hedge derivative instruments of $1,033 and $248, respectively.</w:t>
      </w:r>
    </w:p>
    <w:p>
      <w:pPr>
        <w:spacing w:after="0" w:line="53"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2020 and 2019: (i) equity-based compensation of $7 and $0, (ii) interest expense of $10 and $(41) and</w:t>
      </w:r>
    </w:p>
    <w:p>
      <w:pPr>
        <w:ind w:left="180" w:right="20" w:hanging="10"/>
        <w:spacing w:after="0" w:line="258" w:lineRule="auto"/>
        <w:tabs>
          <w:tab w:leader="none" w:pos="424"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depreciation and amortization expense of $13 and $(3), respectively. Includes the following items for the nine months ended September 30, 2020 and 2019: (i) equity-based compensation of $16 and $4, (ii) interest expense of $36 and $71 and (iii) depreciation and amortization expense of $39 and $12,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$2.9 million during the three months ended September 30, 2020, primarily due to the Long Ridge Transaction.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 decreased $10.6 million during the nine months ended September 30, 2020, primarily due to (i) the Long Ridge Transaction and (ii) a decrease of $0.4 million in butane sales at Repauno.</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decreased $4.2 million during the three months ended September 30, 2020, which primarily reflects lower operating expenses of $2.7 million and depreciation and amortization of $1.3 million, primarily due to the Long Ridge Transaction.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decreased $11.8 million during the nine months ended September 30, 2020, which primarily reflects lower operating expenses of $8.5 million and depreciation and amortization of $4.1 million, primarily due to the Long Ridge Transaction. This was offset by an increase in acquisition and transaction expenses relating to the Long Ridge joint venture of $0.8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decreased $1.7 million during the three months ended September 30, 2020, primarily due to equity in losses of $2.3 million from Long Ridge and $0.6 million in unrealized losses on power swap derivatives in 2019, which was deconsolidated with the Long Ridge Transaction in 2020.</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other income decreased $6.1 million during the nine months ended September 30, 2020, respectively, primarily due to equity in losses of $3.9 million from Long Ridge and $1.9 million in unrealized gains on power swap derivatives in 2019, which was deconsolidated with the Long Ridge Transaction in 2020.</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$0.1 million and decreased $0.8 million during the three and nine months ended September 30, 2020, respectively, primarily due to the changes noted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4,436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2,978</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3,308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11,340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4,126</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4,279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15,041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5,503</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6,248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17,508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6,420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4,241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(4,488)</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5,937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25,119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20,794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63,289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57,830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42,555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44,323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115,770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110,598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1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1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1,123</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(100,752)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(38,268)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(100,995)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(99,941)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shares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13,243</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(42,893)</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(41,546)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(114,238)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(99,941)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(14,297)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(42,893)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(114,238)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(99,941)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(14,297)</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(4,488)</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Add: Losses on the modification or extinguishment of debt and</w:t>
            </w:r>
          </w:p>
        </w:tc>
        <w:tc>
          <w:tcPr>
            <w:tcW w:w="2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25,119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63,289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57,830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(15,437)</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(10,967)</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(43,197)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(24,874)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(18,323)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94"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September 30, 2020 and 2019: (i) net loss of $(58) and $(49) and (ii) interest expense of $30 and $30, respectively.</w:t>
      </w:r>
    </w:p>
    <w:p>
      <w:pPr>
        <w:ind w:left="180"/>
        <w:spacing w:after="0" w:line="249" w:lineRule="auto"/>
        <w:rPr>
          <w:rFonts w:ascii="Arial" w:cs="Arial" w:eastAsia="Arial" w:hAnsi="Arial"/>
          <w:sz w:val="16"/>
          <w:szCs w:val="16"/>
          <w:color w:val="auto"/>
          <w:vertAlign w:val="superscript"/>
        </w:rPr>
      </w:pPr>
      <w:r>
        <w:rPr>
          <w:rFonts w:ascii="Arial" w:cs="Arial" w:eastAsia="Arial" w:hAnsi="Arial"/>
          <w:sz w:val="14"/>
          <w:szCs w:val="14"/>
          <w:color w:val="auto"/>
        </w:rPr>
        <w:t>Includes the following items for the nine months ended September 30, 2020 and 2019: (i) net loss of $(200) and $(102) and (ii) interest expense of $89 and $101, respectively.</w:t>
      </w:r>
    </w:p>
    <w:p>
      <w:pPr>
        <w:spacing w:after="0" w:line="264" w:lineRule="exact"/>
        <w:rPr>
          <w:rFonts w:ascii="Arial" w:cs="Arial" w:eastAsia="Arial" w:hAnsi="Arial"/>
          <w:sz w:val="16"/>
          <w:szCs w:val="16"/>
          <w:color w:val="auto"/>
          <w:vertAlign w:val="superscript"/>
        </w:rPr>
      </w:pPr>
    </w:p>
    <w:p>
      <w:pPr>
        <w:ind w:left="180" w:hanging="172"/>
        <w:spacing w:after="0" w:line="217" w:lineRule="auto"/>
        <w:tabs>
          <w:tab w:leader="none" w:pos="158"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and nine months ended September 30, 2019: (i) interest expense of $29 and $88 and (ii) depreciation and amortization expense of $65 and $180,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increased $2.6 million during the three months ended September 30, 2020, which primarily reflects an increase of $1.2 million and $1.1 million in lease income and other revenue, respectively, as one of our vessels was on-hire in 2020 while it was off-hire in 2019.</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revenues increased $5.5 million during the nine months ended September 30, 2020, which primarily reflects (i) an increase of $3.0 million in other revenue related to victualling income in the offshore energy business as our vessels were on-hire longer in 2020 compared to 2019, (ii) an increase of $1.4 million in other revenue due to higher volume in our railcar cleaning business and (iii) an increase of $1.1 million in lease income as our vessels were on-hire longer in 2020 compared to 2019.</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2020 and 2019</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decreased $1.8 million primarily due to lower (i) acquisition and transaction expense, (ii) management fees and incentive allocation to affiliate and (iii) general and administrative expenses, partially offset by higher (iv) interest expense and (v) operating expenses.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Acquisition and transaction expense decreased $3.9 million which primarily reflects a lower reimbursement to the Manager of $2.5 million and lower professional fees of $1.2 million due to fewer acquisitions in 2020 compared to 2019.</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Management fees and incentive allocation to affiliate decreased $2.8 million due to (i) a decrease of $3.7 million in incentive fees due to lower gains on sale in 2020 compared to 2019, partially offset by (ii) an increase of $0.9 million in base management fees as our average total equity is higher in 2020 compared to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decreased $1.3 million which primarily reflects a lower reimbursement to the Manager.</w:t>
      </w:r>
    </w:p>
    <w:p>
      <w:pPr>
        <w:spacing w:after="0" w:line="11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Interest expense increased $4.3 million which reflects an increase in our average outstanding debt of approximately $287.4 million, which primarily consists of (i) an increase of $400.0 million for the 2027 Notes, (ii) a decrease of $70.0 million for the Revolving Credit Facility and (iii) a decrease of $44.1 million for the FTAI Pride Credit Agreement, which was repaid in full in March 2020.</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Operating expenses increased $1.9 million which primarily reflects higher (i) project costs of $1.0 million in our offshore energy business and (ii) facility operations and compensation and benefits of $0.6 million in our railcar cleaning business due to higher volumes.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00497F"/>
        </w:rPr>
        <w:t>Comparison of the nine months ended September 30, 2020 and 2019</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expenses increased $5.2 million primarily due to higher (i) operating expenses and (ii) interest expense, partially offset by lower (iii) acquisition and transaction expense and (iii) management fees and incentive allocation to affiliate.</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expenses increased $6.4 million which primarily reflects higher (i) project costs of $2.5 million in our offshore energy business, (ii) repairs and maintenance of $1.1 million in our offshore energy business, (iii) compensation and benefits of $0.7 million in our railcar cleaning business due to higher volumes and (iv) vessel operating and general and administrative expenses of $0.7 million.</w:t>
      </w:r>
    </w:p>
    <w:p>
      <w:pPr>
        <w:spacing w:after="0" w:line="9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Interest expense increased $5.5 million which reflects an increase in our average outstanding debt of approximately $138.4 million, which primarily consists of (i) an increase of $133.3 million for the 2027 Notes, (ii) an increase of $66.7 million for the 2025 Notes, (iii) an increase of $17.2 million for the 2022 Notes,</w:t>
      </w:r>
    </w:p>
    <w:p>
      <w:pPr>
        <w:spacing w:after="0" w:line="1" w:lineRule="exact"/>
        <w:rPr>
          <w:sz w:val="20"/>
          <w:szCs w:val="20"/>
          <w:color w:val="auto"/>
        </w:rPr>
      </w:pPr>
    </w:p>
    <w:p>
      <w:pPr>
        <w:ind w:right="20" w:firstLine="8"/>
        <w:spacing w:after="0" w:line="260" w:lineRule="auto"/>
        <w:tabs>
          <w:tab w:leader="none" w:pos="2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of $41.1 million for the Revolving Credit Facility and (v) a decrease of $37.7 million for the FTAI Pride Credit Agreement, which was repaid in March 2020.</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Acquisition and transaction expense decreased $4.5 million which primarily reflects a lower reimbursement to the Manager of $3.3 million and lower professional fees of $1.0 million due to fewer acquisitions in 2020 compared to 2019.</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Management fees and incentive allocation to affiliate decreased $2.8 million due to (i) a decrease of $6.1 million in incentive fees due to lower gains on sale in 2020 compared to 2019, partially offset by (ii) an increase of $3.3 million in base management fees as our average total equity is higher in 2020 compared to 2019.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decreased $1.0 million and $1.1 million during the three and nine months ended September 30, 2020, respectively, primarily due to a gain of approximately $1.0 million from casualty insurance proceeds received in 2019 on one of our vessels.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$4.5 million and $18.3 million during the three and nine months ended September 30, 2020, respectively, primarily due to the changes noted above.</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28, 2020, we issued $400 million aggregate principal amount of senior unsecured notes due 2027 (the “2027 Notes”). We used a portion of the proceeds to repay $220 million of outstanding borrowings under the Revolving Credit Facility, and intend to use the remaining proceeds for general corporate purposes, and the funding of future acquisitions and investments, including aviation investments. Following the repayment, we have additional borrowing capacity of $250 million under the Revolving Credit Facility.</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on June 30, 2020, we entered into an At Market Issuance Sales Agreement with a third party to sell shares of our Series A Preferred Shares and Series B Preferred Shares (collectively, the “ATM Shares”), having an aggregate offering price of up to $100 million, from time to time, through an “at-the market” equity offering program. During the third quarter of 2020, we sold 1,070,000 ATM Shares for net proceeds of approximately $20.6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93" w:lineRule="exact"/>
        <w:rPr>
          <w:sz w:val="20"/>
          <w:szCs w:val="20"/>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$470.3 million and $590.7 million during the nine months ended September 30, 2020 and 2019,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$98.4 million and $85.2 million during the nine months ended September 30, 2020 and 2019,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$60.5 million and $155.2 million during the nine months ended September 30, 2020 and 2019,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2" w:name="page63"/>
    <w:bookmarkEnd w:id="62"/>
    <w:p>
      <w:pPr>
        <w:jc w:val="both"/>
        <w:ind w:left="660" w:hanging="328"/>
        <w:spacing w:after="0" w:line="248"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nine months ended September 30, 2020, additional borrowings were obtained in connection with the (i) 2027 Notes of $400.0 million, (ii) Series 2020 Bonds of $264.0 million and (iii) Revolving Credit Facility of $220.0 million. We made total principal repayments of $496.0 million relating to the Revolving Credit Facility, Series 2016 Bonds, Series 2012 Bonds, Jefferson Revolver and FTAI Pride Credit Agreement. During the nine months ended September 30, 2019, additional borrowings were obtained in connection with the (i) 2025 Notes of $148.7 million, (ii) 2022 Notes of $147.8 million, (iii) Revolving Credit Facility of $105.0 million, (iv) LREG Credit Agreement of $104.4 million, (v) DRP Revolver of $25.0 million, (vi) Jefferson Revolver of $23.2 million and (vii) CMQR Credit Agreement of $15.6 million. We made total principal repayments of $218.9 million, primarily relating to the Revolving Credit Facility, Jefferson Revolver and CMQR Credit Agreement.</w:t>
      </w:r>
    </w:p>
    <w:p>
      <w:pPr>
        <w:spacing w:after="0" w:line="100"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Proceeds from the sale of assets were $53.7 million and $166.3 million during the nine months ended September 30, 2020 and 2019, respectively.</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$20.2 million and $82.9 million during the nine months ended September 30, 2020 and 2019, respectively.</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if or when any such transaction will be consummated or the terms of any such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nine months ended September 30,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nine months ended September 30, 2020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6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28,393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92,713</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(407,193)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(409,853)</w:t>
            </w:r>
          </w:p>
        </w:tc>
      </w:tr>
      <w:tr>
        <w:trPr>
          <w:trHeight w:val="190"/>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299,689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346,887</w:t>
            </w:r>
          </w:p>
        </w:tc>
      </w:tr>
    </w:tbl>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Net cash provided by operating activities decreased $64.3 million, which primarily reflects (i) changes in accounts payable and accrued liabilities, management fees payable, accounts receivable, and other assets and other liabilities of $60.3 million, primarily due to the timing of payments and (ii) a decrease in net income of $70.7 million. These decreases were partially offset by changes in (iii) gain on sale of assets, net of $63.6 million and (iv) asset impairment of $14.4 million.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used in investing activities decreased $2.7 million primarily due to (i) a decrease in purchase deposits for acquisitions of $40.5 million, (ii) a decrease in acquisitions of property, plant and equipment of $34.0 million and (iii) a decrease in acquisitions of leasing equipment of $34.6 million, partially offset by (iv) lower proceeds from the sale of leasing equipment of $112.6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decreased $47.2 million primarily due to (i) an increase in repayments of debt of $277.1 million, (ii) a decrease in proceeds from the issuance of preferred shares of $62.7 million and (iii) a decrease in receipt of maintenance deposits of $24.3 million, partially offset by (iv) an increase in proceeds from debt of $315.3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3" w:name="page64"/>
    <w:bookmarkEnd w:id="63"/>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Provided by Operating Activities to FAD: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28,393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92,713</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7,001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13,094</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53,707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166,297</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2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1,424</w:t>
            </w:r>
          </w:p>
        </w:tc>
      </w:tr>
      <w:tr>
        <w:trPr>
          <w:trHeight w:val="189"/>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(29,513)</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2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94,101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33,803</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183,202</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277,818</w:t>
            </w:r>
          </w:p>
        </w:tc>
      </w:tr>
      <w:tr>
        <w:trPr>
          <w:trHeight w:val="21"/>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5" w:lineRule="auto"/>
        <w:tabs>
          <w:tab w:leader="none" w:pos="158"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Required payments on debt obligations for the nine months ended September 30, 2020 exclude repayments of $220,000 for the Revolving Credit Facility, $144,200 for the Series 2016 Bonds, $50,262 for the Jefferson Revolver, $45,520 for the Series 2012 Bonds and $36,009 for the FTAI Pride Credit Agreement and for the nine months ended September 30, 2019 exclude repayments of $175,000 for the Revolving Credit Facility and $14,421 for the CMQR Credit Agreement.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intends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9 of the Consolidated Financial Statements for additional information.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future obligations, by period due, as of September 30, 2020, under our various contractual obligations and commitments.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had no off-balance sheet arrangements as of September 30, 2020.</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DRP Revolver</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33"/>
        </w:trPr>
        <w:tc>
          <w:tcPr>
            <w:tcW w:w="2920" w:type="dxa"/>
            <w:vAlign w:val="bottom"/>
          </w:tcPr>
          <w:p>
            <w:pPr>
              <w:ind w:left="20"/>
              <w:spacing w:after="0" w:line="133" w:lineRule="exact"/>
              <w:rPr>
                <w:sz w:val="20"/>
                <w:szCs w:val="20"/>
                <w:color w:val="auto"/>
              </w:rPr>
            </w:pPr>
            <w:r>
              <w:rPr>
                <w:rFonts w:ascii="Arial" w:cs="Arial" w:eastAsia="Arial" w:hAnsi="Arial"/>
                <w:sz w:val="14"/>
                <w:szCs w:val="14"/>
                <w:color w:val="auto"/>
              </w:rPr>
              <w:t>Total principal payments on loans and bonds</w:t>
            </w: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1,113,980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1,838,980</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rPr>
                <w:sz w:val="20"/>
                <w:szCs w:val="20"/>
                <w:color w:val="auto"/>
              </w:rPr>
            </w:pPr>
            <w:r>
              <w:rPr>
                <w:rFonts w:ascii="Arial" w:cs="Arial" w:eastAsia="Arial" w:hAnsi="Arial"/>
                <w:sz w:val="14"/>
                <w:szCs w:val="14"/>
                <w:color w:val="auto"/>
              </w:rPr>
              <w:t>payable</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127,942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90,034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80,190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80,190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237,884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645,257</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obligations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149,992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169,523</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132,701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94,666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84,775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387,876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814,780</w:t>
            </w:r>
          </w:p>
        </w:tc>
        <w:tc>
          <w:tcPr>
            <w:tcW w:w="0" w:type="dxa"/>
            <w:vAlign w:val="bottom"/>
          </w:tcPr>
          <w:p>
            <w:pPr>
              <w:spacing w:after="0"/>
              <w:rPr>
                <w:sz w:val="1"/>
                <w:szCs w:val="1"/>
                <w:color w:val="auto"/>
              </w:rPr>
            </w:pPr>
          </w:p>
        </w:tc>
      </w:tr>
      <w:tr>
        <w:trPr>
          <w:trHeight w:val="20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30,218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157,701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794,666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84,775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84,544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1,501,856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2,653,760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September 30, 2020.</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$122.7 million and $122.6 million as of September 30, 2020 and December 31, 2019, respectively.</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 ended December 31, 2019.</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of any goodwill recorded in the reporting unit.</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2020 subject to obtaining rail capacity for crude, permits for pipeline and movements in future oil spreads. Jefferson Terminal was designed to reach a storage capacity of 21.7 million barrels, and 4.4 million of storage, or approximately 20.3%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effects long term refining planned output could impact Jefferson Terminal operations.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year to two years will affect our forecasted growth and therefore our estimated fair value. We continue to expect the Jefferson Terminal segment to generate positive Adjusted EBITDA during 2020.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with a strengthening macroeconomic demand for storage and the increasing spread between Western Canadian Crude and Western Texas Intermediate, we remain positive for the outlook of Jefferson Terminal’s earnings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2019, there was no impairment of goodwill.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and it appears likely that LIBOR will be phased out or the methodology for determining LIBOR will be modified by 2021. We currently have agreements that are indexed to LIBOR and are monitoring related reform proposals and evaluating the related risks;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LIBOR-based financial instruments.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 In addition, the following discussion does not take into account our Series A preferred shares, on which distributions currently accrue interest at a fixed rate but will accrue interest at a floating rate based on three-month LIBOR plus a spread from and after September 15,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2020, assuming we do not hedge our exposure to interest rate fluctuations related to our outstanding floating rate debt, a hypothetical 100-basis point increase/decrease in our variable interest rate on our borrowings would result in an increase of approximately $0.2 million or a decrease of approximately $0.1 million in interest expense over the next 12 months before the impact of interest rate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16"/>
          <w:szCs w:val="16"/>
          <w:color w:val="auto"/>
        </w:rPr>
        <w:t>unpredictability of these types of proceedings, however, it is possible that future adverse outcomes could have a material adverse effect on our financial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current outbreak of the novel coronavirus (COVID-19) has severely disrupted the global economy and may have, and the emergence of similar crises could have, material adverse effects on our business, results of operations or financial condition.</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COVID-19 outbreak, which has been declared a global pandemic, has led to severe disruptions in the market and the global, U.S. and regional economies that may continue for a prolonged duration and trigger a recession or a period of economic slowdown. In response, various governmental bodies and private enterprises have implemented numerous measures to mitigate the outbreak, such as travel bans and restrictions, quarantines, shelter-in-place orders and shutdowns. The COVID-19 outbreak continues to be dynamic and expanding, and its ultimate scope, duration and effects remain uncertain.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include, or may include, among others:</w:t>
      </w:r>
    </w:p>
    <w:p>
      <w:pPr>
        <w:spacing w:after="0" w:line="33" w:lineRule="exact"/>
        <w:rPr>
          <w:sz w:val="20"/>
          <w:szCs w:val="20"/>
          <w:color w:val="auto"/>
        </w:rPr>
      </w:pPr>
    </w:p>
    <w:p>
      <w:pPr>
        <w:jc w:val="both"/>
        <w:ind w:left="660" w:hanging="328"/>
        <w:spacing w:after="0" w:line="257"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further reduce or prolong the recent significant declines in energy prices, or adversely affect global demand for crude oil and petroleum products, demand for our services, and time charter and spot rates;</w:t>
      </w:r>
    </w:p>
    <w:p>
      <w:pPr>
        <w:spacing w:after="0" w:line="226"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on our employees and crew, and on the workforces of our customers and business partners;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quarantines, worker health or regulations, which in turn could disrupt our operations and result in a reduction of revenue;</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reduced access to capital, including the ability to refinance any existing obligations, as a result of any credit tightening generally or due to continued declines in global financial markets, including to the prices of publicly-traded securities of us, our peers and of listed companies generally;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disruption and effects from the COVID-19 pandemic may be temporary, given the dynamic nature of these circumstances, the duration of any business disruption and the related financial impact to us is uncertain at this time and could materially affect our business, results of operations and financial condition. The ongoing impact of COVID-19 also heightens many of the other risks described in this report, including those relating to our target returns, liquidity and asset values.</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8" w:name="page69"/>
    <w:bookmarkEnd w:id="68"/>
    <w:p>
      <w:pPr>
        <w:jc w:val="both"/>
        <w:spacing w:after="0" w:line="250" w:lineRule="auto"/>
        <w:rPr>
          <w:sz w:val="20"/>
          <w:szCs w:val="20"/>
          <w:color w:val="auto"/>
        </w:rPr>
      </w:pPr>
      <w:r>
        <w:rPr>
          <w:rFonts w:ascii="Arial" w:cs="Arial" w:eastAsia="Arial" w:hAnsi="Arial"/>
          <w:sz w:val="16"/>
          <w:szCs w:val="16"/>
          <w:color w:val="auto"/>
        </w:rPr>
        <w:t>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9" w:name="page70"/>
    <w:bookmarkEnd w:id="69"/>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86"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Department of Transportation (DOT), the Occupational Safety and Health Act (OSHA),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2" w:name="page73"/>
    <w:bookmarkEnd w:id="72"/>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3" w:name="page74"/>
    <w:bookmarkEnd w:id="73"/>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derailments, major plant breakdowns, pipeline or electricity line ruptures or other disasters.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4" w:name="page75"/>
    <w:bookmarkEnd w:id="74"/>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7"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6" w:name="page77"/>
    <w:bookmarkEnd w:id="76"/>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foreign currencies, may, if not appropriately hedged by us, have a material adverse effect on us and increase the volatility of our earnings.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8" w:name="page79"/>
    <w:bookmarkEnd w:id="78"/>
    <w:p>
      <w:pPr>
        <w:jc w:val="both"/>
        <w:spacing w:after="0" w:line="248" w:lineRule="auto"/>
        <w:rPr>
          <w:sz w:val="20"/>
          <w:szCs w:val="20"/>
          <w:color w:val="auto"/>
        </w:rPr>
      </w:pPr>
      <w:r>
        <w:rPr>
          <w:rFonts w:ascii="Arial" w:cs="Arial" w:eastAsia="Arial" w:hAnsi="Arial"/>
          <w:sz w:val="16"/>
          <w:szCs w:val="16"/>
          <w:color w:val="auto"/>
        </w:rPr>
        <w:t>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expected discontinuation of the LIBOR benchmark interest rate may have an impact on our business.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As a result, LIBOR may be discontinued after 2021. The FCA and the submitting LIBOR banks have indicated they will support the LIBOR indices through 2021 to allow for an orderly transition to an alternative reference rate. Financial services regulators and industry groups are evaluating the phase-out of LIBOR and the development of alternate reference rate indices or reference rates.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 as the transition away from LIBOR is anticipated to be gradual over the coming years.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September 30, 2020, we had $25.0 million of total debt outstanding under facilities with interest rates based on floating-rate indices. We cannot predict what reference rate would be agreed upon or what the impact of any such replacement rate would be to our interest expense. Potential changes to the underlying floating-rate indices and reference rates may have an adverse impact on our agreements indexed to LIBOR and could have a negative impact on our profitability and cash flows.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or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9" w:name="page80"/>
    <w:bookmarkEnd w:id="79"/>
    <w:p>
      <w:pPr>
        <w:jc w:val="both"/>
        <w:spacing w:after="0" w:line="253" w:lineRule="auto"/>
        <w:rPr>
          <w:sz w:val="20"/>
          <w:szCs w:val="20"/>
          <w:color w:val="auto"/>
        </w:rPr>
      </w:pPr>
      <w:r>
        <w:rPr>
          <w:rFonts w:ascii="Arial" w:cs="Arial" w:eastAsia="Arial" w:hAnsi="Arial"/>
          <w:sz w:val="16"/>
          <w:szCs w:val="16"/>
          <w:color w:val="auto"/>
        </w:rPr>
        <w:t>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Florida East Coast Industries, LLC (“FECI”) and FYX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FYX. Although we have the same Manager, we may compete with entities affiliated with our Manager or Fortress, including Seacastle Inc., FECI and FYX,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0" w:name="page81"/>
    <w:bookmarkEnd w:id="80"/>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Inc., FECI and FYX,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1" w:name="page82"/>
    <w:bookmarkEnd w:id="81"/>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Such shareholders may not receive cash dividends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shareholders could be subject to income inclusions in respect of the "global intangible low-taxed income" of the CFC. Treasury regulations have been proposed that, if finalized, will generally have the effect of limiting certain adverse consequences of the CFC rules to shareholders treated for U.S. federal income tax purposes as owning indirectly or constructively (including through other partnerships) stock possessing 10% or more of the voting power or value of such CFCs. Taxpayers are permitted to rely, and we intend to rely, on such proposed regulations.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to certain “excess distributions” from the PFIC and gain realized upon the direct or indirect sale of the PFIC (including through the sale our common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holders of our preferred shares are generally not anticipated to share in our items of income, gain, loss or deduction, nor are they anticipated to be allocated any share of our nonrecourse liabilities. If our preferred shares were treated as indebtedness for tax purposes, rather than as guaranteed payments for the use of capital, distributions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Tax Cuts and Jobs Act (the “TCJA”), which is generally effective for taxable years beginning after December 31, 2017, amended the Code in a manner that significantly changed the taxation of individuals and business entities, including with respect to the taxation of offshore earnings and the deductibility of interest. In some cases, there is still uncertainty around the scope and application of the TCJA that may be addressed in future guidance issued by the U.S. Department of Treasury and the IRS. Some of the changes could adversely affect our business and financial condition and the value of our shares. The Coronavirus Aid, Relief, and Economic Security Act (the “CARES Act”), which was enacted on March 27, 2020, temporarily modifies some provisions of the TCJA.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3" w:name="page84"/>
    <w:bookmarkEnd w:id="83"/>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on gain at the highest marginal U.S. federal income tax rates applicable to ordinary income.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2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threshold, such non-U.S. person may be subject to U.S. tax on such disposition of such shares (and may have a U.S. tax return filing obligation).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were previously made, and could adversely affect the value of our shares or cause us to change the way we conduct our business.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This differs from the rules that apply for taxable years beginning before January 1, 2018, which generally provide that tax adjustments only affect the persons who were shareholders in the tax year in which the item was reported on our tax return. The manner in which these rules apply is uncertain and in many respects depends on the promulgation of future regulations or other guidance by the U.S. Treasury Department or the IRS.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6" w:name="page87"/>
    <w:bookmarkEnd w:id="86"/>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we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starting with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2,218,692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September 30, 2020, rights relating to 2,243,692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7" w:name="page88"/>
    <w:bookmarkEnd w:id="87"/>
    <w:p>
      <w:pPr>
        <w:jc w:val="both"/>
        <w:spacing w:after="0" w:line="260" w:lineRule="auto"/>
        <w:rPr>
          <w:sz w:val="20"/>
          <w:szCs w:val="20"/>
          <w:color w:val="auto"/>
        </w:rPr>
      </w:pPr>
      <w:r>
        <w:rPr>
          <w:rFonts w:ascii="Arial" w:cs="Arial" w:eastAsia="Arial" w:hAnsi="Arial"/>
          <w:sz w:val="16"/>
          <w:szCs w:val="16"/>
          <w:color w:val="auto"/>
        </w:rPr>
        <w:t>securities other than common shares during the ten-year term of the Incentive Plan, divided by (B) the fair market value of a common share as of the date of such equity issuance.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006EBF"/>
        </w:rPr>
        <w:t>Item 6. Exhibits</w:t>
      </w:r>
    </w:p>
    <w:p>
      <w:pPr>
        <w:spacing w:after="0" w:line="167" w:lineRule="exact"/>
        <w:rPr>
          <w:sz w:val="20"/>
          <w:szCs w:val="20"/>
          <w:color w:val="auto"/>
        </w:rPr>
      </w:pPr>
    </w:p>
    <w:p>
      <w:pPr>
        <w:ind w:left="300"/>
        <w:spacing w:after="0"/>
        <w:tabs>
          <w:tab w:leader="none" w:pos="5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7071995"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540" w:hanging="343"/>
        <w:spacing w:after="0" w:line="219" w:lineRule="auto"/>
        <w:tabs>
          <w:tab w:leader="none" w:pos="1520" w:val="left"/>
        </w:tabs>
        <w:rPr>
          <w:rFonts w:ascii="Arial" w:cs="Arial" w:eastAsia="Arial" w:hAnsi="Arial"/>
          <w:sz w:val="14"/>
          <w:szCs w:val="14"/>
          <w:color w:val="0000FF"/>
        </w:rPr>
      </w:pPr>
      <w:hyperlink r:id="rId100">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18" w:lineRule="exact"/>
        <w:rPr>
          <w:sz w:val="20"/>
          <w:szCs w:val="20"/>
          <w:color w:val="auto"/>
        </w:rPr>
      </w:pPr>
    </w:p>
    <w:p>
      <w:pPr>
        <w:ind w:left="1540" w:right="160" w:hanging="343"/>
        <w:spacing w:after="0" w:line="229" w:lineRule="auto"/>
        <w:tabs>
          <w:tab w:leader="none" w:pos="1520" w:val="left"/>
        </w:tabs>
        <w:rPr>
          <w:rFonts w:ascii="Arial" w:cs="Arial" w:eastAsia="Arial" w:hAnsi="Arial"/>
          <w:sz w:val="14"/>
          <w:szCs w:val="14"/>
          <w:color w:val="0000FF"/>
        </w:rPr>
      </w:pPr>
      <w:hyperlink r:id="rId101">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80"/>
        <w:spacing w:after="0" w:line="226" w:lineRule="auto"/>
        <w:tabs>
          <w:tab w:leader="none" w:pos="1520" w:val="left"/>
        </w:tabs>
        <w:rPr>
          <w:rFonts w:ascii="Arial" w:cs="Arial" w:eastAsia="Arial" w:hAnsi="Arial"/>
          <w:sz w:val="14"/>
          <w:szCs w:val="14"/>
          <w:color w:val="0000FF"/>
        </w:rPr>
      </w:pPr>
      <w:hyperlink r:id="rId103">
        <w:r>
          <w:rPr>
            <w:rFonts w:ascii="Arial" w:cs="Arial" w:eastAsia="Arial" w:hAnsi="Arial"/>
            <w:sz w:val="14"/>
            <w:szCs w:val="14"/>
            <w:u w:val="single" w:color="auto"/>
            <w:color w:val="0000FF"/>
          </w:rPr>
          <w:t>3.2</w:t>
        </w:r>
      </w:hyperlink>
      <w:r>
        <w:rPr>
          <w:rFonts w:ascii="Arial" w:cs="Arial" w:eastAsia="Arial" w:hAnsi="Arial"/>
          <w:sz w:val="14"/>
          <w:szCs w:val="14"/>
          <w:color w:val="0000FF"/>
        </w:rPr>
        <w:tab/>
        <w:t>Third Amended and Restated Limited Liability Company Agreement of Fortress Transportation and Infrastructure Investors LLC, dated as of November</w:t>
      </w:r>
    </w:p>
    <w:p>
      <w:pPr>
        <w:ind w:left="1540"/>
        <w:spacing w:after="0"/>
        <w:rPr>
          <w:sz w:val="20"/>
          <w:szCs w:val="20"/>
          <w:color w:val="auto"/>
        </w:rPr>
      </w:pPr>
      <w:r>
        <w:rPr>
          <w:rFonts w:ascii="Arial" w:cs="Arial" w:eastAsia="Arial" w:hAnsi="Arial"/>
          <w:sz w:val="14"/>
          <w:szCs w:val="14"/>
          <w:color w:val="auto"/>
        </w:rPr>
        <w:t>27, 2019 (incorporated by reference to Exhibit 3.2 of the Company’s Form 8-A, filed November 27, 2019).</w:t>
      </w:r>
    </w:p>
    <w:p>
      <w:pPr>
        <w:spacing w:after="0" w:line="2"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104">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540"/>
        <w:spacing w:after="0"/>
        <w:rPr>
          <w:sz w:val="20"/>
          <w:szCs w:val="20"/>
          <w:color w:val="auto"/>
        </w:rPr>
      </w:pPr>
      <w:r>
        <w:rPr>
          <w:rFonts w:ascii="Arial" w:cs="Arial" w:eastAsia="Arial" w:hAnsi="Arial"/>
          <w:sz w:val="14"/>
          <w:szCs w:val="14"/>
          <w:color w:val="auto"/>
        </w:rPr>
        <w:t>12,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7199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80"/>
        <w:spacing w:after="0"/>
        <w:tabs>
          <w:tab w:leader="none" w:pos="1520" w:val="left"/>
        </w:tabs>
        <w:rPr>
          <w:rFonts w:ascii="Arial" w:cs="Arial" w:eastAsia="Arial" w:hAnsi="Arial"/>
          <w:sz w:val="14"/>
          <w:szCs w:val="14"/>
          <w:color w:val="0000FF"/>
        </w:rPr>
      </w:pPr>
      <w:hyperlink r:id="rId103">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540"/>
        <w:spacing w:after="0"/>
        <w:rPr>
          <w:sz w:val="20"/>
          <w:szCs w:val="20"/>
          <w:color w:val="auto"/>
        </w:rPr>
      </w:pPr>
      <w:r>
        <w:rPr>
          <w:rFonts w:ascii="Arial" w:cs="Arial" w:eastAsia="Arial" w:hAnsi="Arial"/>
          <w:sz w:val="14"/>
          <w:szCs w:val="14"/>
          <w:color w:val="auto"/>
        </w:rPr>
        <w:t>27, 2019 (included as part of Exhibit 3.2).</w:t>
      </w:r>
    </w:p>
    <w:p>
      <w:pPr>
        <w:spacing w:after="0" w:line="28" w:lineRule="exact"/>
        <w:rPr>
          <w:sz w:val="20"/>
          <w:szCs w:val="20"/>
          <w:color w:val="auto"/>
        </w:rPr>
      </w:pPr>
    </w:p>
    <w:p>
      <w:pPr>
        <w:ind w:left="1540" w:right="80" w:hanging="343"/>
        <w:spacing w:after="0" w:line="219" w:lineRule="auto"/>
        <w:tabs>
          <w:tab w:leader="none" w:pos="152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80"/>
        <w:spacing w:after="0"/>
        <w:tabs>
          <w:tab w:leader="none" w:pos="152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28" w:lineRule="exact"/>
        <w:rPr>
          <w:sz w:val="20"/>
          <w:szCs w:val="20"/>
          <w:color w:val="auto"/>
        </w:rPr>
      </w:pPr>
    </w:p>
    <w:p>
      <w:pPr>
        <w:ind w:left="1540" w:right="120" w:hanging="343"/>
        <w:spacing w:after="0" w:line="219" w:lineRule="auto"/>
        <w:tabs>
          <w:tab w:leader="none" w:pos="1520"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540" w:right="120" w:hanging="343"/>
        <w:spacing w:after="0" w:line="219" w:lineRule="auto"/>
        <w:tabs>
          <w:tab w:leader="none" w:pos="1520" w:val="left"/>
        </w:tabs>
        <w:rPr>
          <w:rFonts w:ascii="Arial" w:cs="Arial" w:eastAsia="Arial" w:hAnsi="Arial"/>
          <w:sz w:val="14"/>
          <w:szCs w:val="14"/>
          <w:color w:val="0000FF"/>
        </w:rPr>
      </w:pPr>
      <w:hyperlink r:id="rId110">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18" w:lineRule="exact"/>
        <w:rPr>
          <w:sz w:val="20"/>
          <w:szCs w:val="20"/>
          <w:color w:val="auto"/>
        </w:rPr>
      </w:pPr>
    </w:p>
    <w:p>
      <w:pPr>
        <w:ind w:left="1540" w:right="40" w:hanging="343"/>
        <w:spacing w:after="0" w:line="219" w:lineRule="auto"/>
        <w:tabs>
          <w:tab w:leader="none" w:pos="152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540" w:right="120" w:hanging="343"/>
        <w:spacing w:after="0" w:line="219" w:lineRule="auto"/>
        <w:tabs>
          <w:tab w:leader="none" w:pos="1520"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18" w:lineRule="exact"/>
        <w:rPr>
          <w:sz w:val="20"/>
          <w:szCs w:val="20"/>
          <w:color w:val="auto"/>
        </w:rPr>
      </w:pPr>
    </w:p>
    <w:p>
      <w:pPr>
        <w:ind w:left="1540" w:right="120" w:hanging="343"/>
        <w:spacing w:after="0" w:line="219" w:lineRule="auto"/>
        <w:tabs>
          <w:tab w:leader="none" w:pos="1520" w:val="left"/>
        </w:tabs>
        <w:rPr>
          <w:rFonts w:ascii="Arial" w:cs="Arial" w:eastAsia="Arial" w:hAnsi="Arial"/>
          <w:sz w:val="14"/>
          <w:szCs w:val="14"/>
          <w:color w:val="0000FF"/>
        </w:rPr>
      </w:pPr>
      <w:hyperlink r:id="rId114">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540" w:right="120" w:hanging="343"/>
        <w:spacing w:after="0" w:line="219" w:lineRule="auto"/>
        <w:tabs>
          <w:tab w:leader="none" w:pos="1520" w:val="left"/>
        </w:tabs>
        <w:rPr>
          <w:rFonts w:ascii="Arial" w:cs="Arial" w:eastAsia="Arial" w:hAnsi="Arial"/>
          <w:sz w:val="14"/>
          <w:szCs w:val="14"/>
          <w:color w:val="0000FF"/>
        </w:rPr>
      </w:pPr>
      <w:hyperlink r:id="rId116">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18"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116">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71995"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540" w:right="120" w:hanging="423"/>
        <w:spacing w:after="0" w:line="219" w:lineRule="auto"/>
        <w:tabs>
          <w:tab w:leader="none" w:pos="1520" w:val="left"/>
        </w:tabs>
        <w:rPr>
          <w:rFonts w:ascii="Arial" w:cs="Arial" w:eastAsia="Arial" w:hAnsi="Arial"/>
          <w:sz w:val="14"/>
          <w:szCs w:val="14"/>
          <w:color w:val="0000FF"/>
        </w:rPr>
      </w:pPr>
      <w:hyperlink r:id="rId118">
        <w:r>
          <w:rPr>
            <w:rFonts w:ascii="Arial" w:cs="Arial" w:eastAsia="Arial" w:hAnsi="Arial"/>
            <w:sz w:val="14"/>
            <w:szCs w:val="14"/>
            <w:u w:val="single" w:color="auto"/>
            <w:color w:val="0000FF"/>
          </w:rPr>
          <w:t>4.10</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18" w:lineRule="exact"/>
        <w:rPr>
          <w:sz w:val="20"/>
          <w:szCs w:val="20"/>
          <w:color w:val="auto"/>
        </w:rPr>
      </w:pPr>
    </w:p>
    <w:p>
      <w:pPr>
        <w:ind w:left="1540" w:right="460" w:hanging="423"/>
        <w:spacing w:after="0" w:line="229" w:lineRule="auto"/>
        <w:tabs>
          <w:tab w:leader="none" w:pos="1520" w:val="left"/>
        </w:tabs>
        <w:rPr>
          <w:rFonts w:ascii="Arial" w:cs="Arial" w:eastAsia="Arial" w:hAnsi="Arial"/>
          <w:sz w:val="14"/>
          <w:szCs w:val="14"/>
          <w:color w:val="0000FF"/>
        </w:rPr>
      </w:pPr>
      <w:hyperlink r:id="rId119">
        <w:r>
          <w:rPr>
            <w:rFonts w:ascii="Arial" w:cs="Arial" w:eastAsia="Arial" w:hAnsi="Arial"/>
            <w:sz w:val="14"/>
            <w:szCs w:val="14"/>
            <w:u w:val="single" w:color="auto"/>
            <w:color w:val="0000FF"/>
          </w:rPr>
          <w:t>4.11</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ind w:left="1540" w:right="500" w:hanging="423"/>
        <w:spacing w:after="0" w:line="258" w:lineRule="auto"/>
        <w:tabs>
          <w:tab w:leader="none" w:pos="1520" w:val="left"/>
        </w:tabs>
        <w:rPr>
          <w:rFonts w:ascii="Arial" w:cs="Arial" w:eastAsia="Arial" w:hAnsi="Arial"/>
          <w:sz w:val="14"/>
          <w:szCs w:val="14"/>
          <w:color w:val="0000FF"/>
        </w:rPr>
      </w:pPr>
      <w:hyperlink r:id="rId103">
        <w:r>
          <w:rPr>
            <w:rFonts w:ascii="Arial" w:cs="Arial" w:eastAsia="Arial" w:hAnsi="Arial"/>
            <w:sz w:val="14"/>
            <w:szCs w:val="14"/>
            <w:u w:val="single" w:color="auto"/>
            <w:color w:val="0000FF"/>
          </w:rPr>
          <w:t>4.12</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32" w:lineRule="exact"/>
        <w:rPr>
          <w:sz w:val="20"/>
          <w:szCs w:val="20"/>
          <w:color w:val="auto"/>
        </w:rPr>
      </w:pPr>
    </w:p>
    <w:p>
      <w:pPr>
        <w:ind w:left="1540" w:hanging="423"/>
        <w:spacing w:after="0" w:line="258" w:lineRule="auto"/>
        <w:tabs>
          <w:tab w:leader="none" w:pos="1520" w:val="left"/>
        </w:tabs>
        <w:rPr>
          <w:rFonts w:ascii="Arial" w:cs="Arial" w:eastAsia="Arial" w:hAnsi="Arial"/>
          <w:sz w:val="14"/>
          <w:szCs w:val="14"/>
          <w:color w:val="0000FF"/>
        </w:rPr>
      </w:pPr>
      <w:hyperlink r:id="rId121">
        <w:r>
          <w:rPr>
            <w:rFonts w:ascii="Arial" w:cs="Arial" w:eastAsia="Arial" w:hAnsi="Arial"/>
            <w:sz w:val="14"/>
            <w:szCs w:val="14"/>
            <w:u w:val="single" w:color="auto"/>
            <w:color w:val="0000FF"/>
          </w:rPr>
          <w:t>4.13</w:t>
        </w:r>
      </w:hyperlink>
      <w:r>
        <w:rPr>
          <w:rFonts w:ascii="Arial" w:cs="Arial" w:eastAsia="Arial" w:hAnsi="Arial"/>
          <w:sz w:val="14"/>
          <w:szCs w:val="14"/>
          <w:color w:val="0000FF"/>
        </w:rPr>
        <w:tab/>
        <w:t>Description of Securities Registered under Section 12 of the Exchange Act (incorporated by reference to Exhibit 4.13 to the Company’s Form 10-K, filed 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707199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12" w:lineRule="exact"/>
        <w:rPr>
          <w:sz w:val="20"/>
          <w:szCs w:val="20"/>
          <w:color w:val="auto"/>
        </w:rPr>
      </w:pPr>
    </w:p>
    <w:p>
      <w:pPr>
        <w:ind w:left="1540" w:right="180" w:hanging="423"/>
        <w:spacing w:after="0" w:line="229" w:lineRule="auto"/>
        <w:tabs>
          <w:tab w:leader="none" w:pos="1520" w:val="left"/>
        </w:tabs>
        <w:rPr>
          <w:rFonts w:ascii="Arial" w:cs="Arial" w:eastAsia="Arial" w:hAnsi="Arial"/>
          <w:sz w:val="14"/>
          <w:szCs w:val="14"/>
          <w:color w:val="0000FF"/>
        </w:rPr>
      </w:pPr>
      <w:hyperlink r:id="rId123">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17" w:lineRule="exact"/>
        <w:rPr>
          <w:sz w:val="20"/>
          <w:szCs w:val="20"/>
          <w:color w:val="auto"/>
        </w:rPr>
      </w:pPr>
    </w:p>
    <w:p>
      <w:pPr>
        <w:ind w:left="1540" w:right="380" w:hanging="1467"/>
        <w:spacing w:after="0" w:line="229" w:lineRule="auto"/>
        <w:tabs>
          <w:tab w:leader="none" w:pos="1116" w:val="left"/>
        </w:tabs>
        <w:numPr>
          <w:ilvl w:val="0"/>
          <w:numId w:val="40"/>
        </w:numPr>
        <w:rPr>
          <w:rFonts w:ascii="Arial" w:cs="Arial" w:eastAsia="Arial" w:hAnsi="Arial"/>
          <w:sz w:val="14"/>
          <w:szCs w:val="14"/>
          <w:color w:val="0000FF"/>
        </w:rPr>
      </w:pPr>
      <w:hyperlink r:id="rId124">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16" w:lineRule="exact"/>
        <w:rPr>
          <w:rFonts w:ascii="Arial" w:cs="Arial" w:eastAsia="Arial" w:hAnsi="Arial"/>
          <w:sz w:val="14"/>
          <w:szCs w:val="14"/>
          <w:color w:val="0000FF"/>
        </w:rPr>
      </w:pPr>
    </w:p>
    <w:p>
      <w:pPr>
        <w:ind w:left="1540" w:hanging="1467"/>
        <w:spacing w:after="0" w:line="219" w:lineRule="auto"/>
        <w:tabs>
          <w:tab w:leader="none" w:pos="1116" w:val="left"/>
        </w:tabs>
        <w:numPr>
          <w:ilvl w:val="0"/>
          <w:numId w:val="40"/>
        </w:numPr>
        <w:rPr>
          <w:rFonts w:ascii="Arial" w:cs="Arial" w:eastAsia="Arial" w:hAnsi="Arial"/>
          <w:sz w:val="14"/>
          <w:szCs w:val="14"/>
          <w:color w:val="0000FF"/>
        </w:rPr>
      </w:pPr>
      <w:hyperlink r:id="rId125">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8" w:lineRule="exact"/>
        <w:rPr>
          <w:rFonts w:ascii="Arial" w:cs="Arial" w:eastAsia="Arial" w:hAnsi="Arial"/>
          <w:sz w:val="14"/>
          <w:szCs w:val="14"/>
          <w:color w:val="0000FF"/>
        </w:rPr>
      </w:pPr>
    </w:p>
    <w:p>
      <w:pPr>
        <w:ind w:left="1540" w:right="20" w:hanging="1467"/>
        <w:spacing w:after="0" w:line="229" w:lineRule="auto"/>
        <w:tabs>
          <w:tab w:leader="none" w:pos="1116" w:val="left"/>
        </w:tabs>
        <w:numPr>
          <w:ilvl w:val="0"/>
          <w:numId w:val="40"/>
        </w:numPr>
        <w:rPr>
          <w:rFonts w:ascii="Arial" w:cs="Arial" w:eastAsia="Arial" w:hAnsi="Arial"/>
          <w:sz w:val="14"/>
          <w:szCs w:val="14"/>
          <w:color w:val="0000FF"/>
        </w:rPr>
      </w:pPr>
      <w:hyperlink r:id="rId126">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w:t>
      </w:r>
      <w:r>
        <w:rPr>
          <w:rFonts w:ascii="Arial" w:cs="Arial" w:eastAsia="Arial" w:hAnsi="Arial"/>
          <w:sz w:val="14"/>
          <w:szCs w:val="14"/>
          <w:color w:val="0000FF"/>
        </w:rPr>
        <w:t xml:space="preserve"> </w:t>
      </w:r>
      <w:r>
        <w:rPr>
          <w:rFonts w:ascii="Arial" w:cs="Arial" w:eastAsia="Arial" w:hAnsi="Arial"/>
          <w:sz w:val="14"/>
          <w:szCs w:val="14"/>
          <w:color w:val="000000"/>
        </w:rPr>
        <w:t>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39370</wp:posOffset>
            </wp:positionH>
            <wp:positionV relativeFrom="paragraph">
              <wp:posOffset>-497205</wp:posOffset>
            </wp:positionV>
            <wp:extent cx="7071995"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00"/>
        <w:spacing w:after="0" w:line="226" w:lineRule="auto"/>
        <w:tabs>
          <w:tab w:leader="none" w:pos="1520" w:val="left"/>
        </w:tabs>
        <w:rPr>
          <w:rFonts w:ascii="Arial" w:cs="Arial" w:eastAsia="Arial" w:hAnsi="Arial"/>
          <w:sz w:val="14"/>
          <w:szCs w:val="14"/>
          <w:color w:val="0000FF"/>
        </w:rPr>
      </w:pPr>
      <w:hyperlink r:id="rId129">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54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8" w:lineRule="exact"/>
        <w:rPr>
          <w:rFonts w:ascii="Arial" w:cs="Arial" w:eastAsia="Arial" w:hAnsi="Arial"/>
          <w:sz w:val="14"/>
          <w:szCs w:val="14"/>
          <w:color w:val="auto"/>
        </w:rPr>
      </w:pPr>
    </w:p>
    <w:p>
      <w:pPr>
        <w:jc w:val="both"/>
        <w:ind w:left="1540" w:right="140" w:hanging="423"/>
        <w:spacing w:after="0" w:line="219" w:lineRule="auto"/>
        <w:tabs>
          <w:tab w:leader="none" w:pos="1520" w:val="left"/>
        </w:tabs>
        <w:rPr>
          <w:rFonts w:ascii="Arial" w:cs="Arial" w:eastAsia="Arial" w:hAnsi="Arial"/>
          <w:sz w:val="14"/>
          <w:szCs w:val="14"/>
          <w:color w:val="0000FF"/>
        </w:rPr>
      </w:pPr>
      <w:hyperlink r:id="rId130">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200" w:lineRule="exact"/>
        <w:rPr>
          <w:rFonts w:ascii="Arial" w:cs="Arial" w:eastAsia="Arial" w:hAnsi="Arial"/>
          <w:sz w:val="14"/>
          <w:szCs w:val="14"/>
          <w:color w:val="auto"/>
        </w:rPr>
      </w:pPr>
    </w:p>
    <w:p>
      <w:pPr>
        <w:spacing w:after="0" w:line="288" w:lineRule="exact"/>
        <w:rPr>
          <w:rFonts w:ascii="Arial" w:cs="Arial" w:eastAsia="Arial" w:hAnsi="Arial"/>
          <w:sz w:val="14"/>
          <w:szCs w:val="14"/>
          <w:color w:val="auto"/>
        </w:rPr>
      </w:pPr>
    </w:p>
    <w:p>
      <w:pPr>
        <w:jc w:val="center"/>
        <w:ind w:right="-79"/>
        <w:spacing w:after="0"/>
        <w:rPr>
          <w:sz w:val="20"/>
          <w:szCs w:val="20"/>
          <w:color w:val="auto"/>
        </w:rPr>
      </w:pPr>
      <w:r>
        <w:rPr>
          <w:rFonts w:ascii="Arial" w:cs="Arial" w:eastAsia="Arial" w:hAnsi="Arial"/>
          <w:sz w:val="16"/>
          <w:szCs w:val="16"/>
          <w:color w:val="auto"/>
        </w:rPr>
        <w:t>89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78" w:right="399" w:bottom="1440" w:gutter="0" w:footer="0" w:header="0"/>
        </w:sectPr>
      </w:pPr>
    </w:p>
    <w:bookmarkStart w:id="90" w:name="page91"/>
    <w:bookmarkEnd w:id="90"/>
    <w:p>
      <w:pPr>
        <w:ind w:left="227"/>
        <w:spacing w:after="0"/>
        <w:tabs>
          <w:tab w:leader="none" w:pos="5866"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071995" cy="386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071995" cy="386080"/>
                    </a:xfrm>
                    <a:prstGeom prst="rect">
                      <a:avLst/>
                    </a:prstGeom>
                    <a:noFill/>
                  </pic:spPr>
                </pic:pic>
              </a:graphicData>
            </a:graphic>
          </wp:anchor>
        </w:drawing>
      </w:r>
    </w:p>
    <w:p>
      <w:pPr>
        <w:spacing w:after="0" w:line="40" w:lineRule="exact"/>
        <w:rPr>
          <w:sz w:val="20"/>
          <w:szCs w:val="20"/>
          <w:color w:val="auto"/>
        </w:rPr>
      </w:pPr>
    </w:p>
    <w:p>
      <w:pPr>
        <w:ind w:left="1467" w:hanging="423"/>
        <w:spacing w:after="0"/>
        <w:tabs>
          <w:tab w:leader="none" w:pos="1446" w:val="left"/>
        </w:tabs>
        <w:rPr>
          <w:rFonts w:ascii="Arial" w:cs="Arial" w:eastAsia="Arial" w:hAnsi="Arial"/>
          <w:sz w:val="14"/>
          <w:szCs w:val="14"/>
          <w:color w:val="0000FF"/>
        </w:rPr>
      </w:pPr>
      <w:hyperlink r:id="rId133">
        <w:r>
          <w:rPr>
            <w:rFonts w:ascii="Arial" w:cs="Arial" w:eastAsia="Arial" w:hAnsi="Arial"/>
            <w:sz w:val="14"/>
            <w:szCs w:val="14"/>
            <w:u w:val="single" w:color="auto"/>
            <w:color w:val="0000FF"/>
          </w:rPr>
          <w:t>10.7</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111" w:lineRule="exact"/>
        <w:rPr>
          <w:sz w:val="20"/>
          <w:szCs w:val="20"/>
          <w:color w:val="auto"/>
        </w:rPr>
      </w:pPr>
    </w:p>
    <w:p>
      <w:pPr>
        <w:ind w:left="1467" w:right="140" w:hanging="423"/>
        <w:spacing w:after="0" w:line="215" w:lineRule="auto"/>
        <w:tabs>
          <w:tab w:leader="none" w:pos="1446" w:val="left"/>
        </w:tabs>
        <w:rPr>
          <w:rFonts w:ascii="Arial" w:cs="Arial" w:eastAsia="Arial" w:hAnsi="Arial"/>
          <w:sz w:val="14"/>
          <w:szCs w:val="14"/>
          <w:color w:val="0000FF"/>
        </w:rPr>
      </w:pPr>
      <w:hyperlink r:id="rId134">
        <w:r>
          <w:rPr>
            <w:rFonts w:ascii="Arial" w:cs="Arial" w:eastAsia="Arial" w:hAnsi="Arial"/>
            <w:sz w:val="14"/>
            <w:szCs w:val="14"/>
            <w:u w:val="single" w:color="auto"/>
            <w:color w:val="0000FF"/>
          </w:rPr>
          <w:t>10.8</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3771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ind w:left="1467" w:right="140" w:hanging="423"/>
        <w:spacing w:after="0" w:line="215" w:lineRule="auto"/>
        <w:tabs>
          <w:tab w:leader="none" w:pos="1446" w:val="left"/>
        </w:tabs>
        <w:rPr>
          <w:rFonts w:ascii="Arial" w:cs="Arial" w:eastAsia="Arial" w:hAnsi="Arial"/>
          <w:sz w:val="14"/>
          <w:szCs w:val="14"/>
          <w:color w:val="0000FF"/>
        </w:rPr>
      </w:pPr>
      <w:hyperlink r:id="rId136">
        <w:r>
          <w:rPr>
            <w:rFonts w:ascii="Arial" w:cs="Arial" w:eastAsia="Arial" w:hAnsi="Arial"/>
            <w:sz w:val="14"/>
            <w:szCs w:val="14"/>
            <w:u w:val="single" w:color="auto"/>
            <w:color w:val="0000FF"/>
          </w:rPr>
          <w:t>10.9</w:t>
        </w:r>
      </w:hyperlink>
      <w:r>
        <w:rPr>
          <w:rFonts w:ascii="Arial" w:cs="Arial" w:eastAsia="Arial" w:hAnsi="Arial"/>
          <w:sz w:val="14"/>
          <w:szCs w:val="14"/>
          <w:color w:val="0000FF"/>
        </w:rPr>
        <w:tab/>
        <w:t>Credit Agreement Amendment No. 3 dated as of August 6,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August 9, 2019).</w:t>
      </w:r>
    </w:p>
    <w:p>
      <w:pPr>
        <w:spacing w:after="0" w:line="17" w:lineRule="exact"/>
        <w:rPr>
          <w:sz w:val="20"/>
          <w:szCs w:val="20"/>
          <w:color w:val="auto"/>
        </w:rPr>
      </w:pPr>
    </w:p>
    <w:p>
      <w:pPr>
        <w:ind w:left="1467" w:right="40" w:hanging="503"/>
        <w:spacing w:after="0" w:line="247" w:lineRule="auto"/>
        <w:tabs>
          <w:tab w:leader="none" w:pos="1446" w:val="left"/>
        </w:tabs>
        <w:rPr>
          <w:rFonts w:ascii="Arial" w:cs="Arial" w:eastAsia="Arial" w:hAnsi="Arial"/>
          <w:sz w:val="14"/>
          <w:szCs w:val="14"/>
          <w:color w:val="0000FF"/>
        </w:rPr>
      </w:pPr>
      <w:hyperlink r:id="rId137">
        <w:r>
          <w:rPr>
            <w:rFonts w:ascii="Arial" w:cs="Arial" w:eastAsia="Arial" w:hAnsi="Arial"/>
            <w:sz w:val="14"/>
            <w:szCs w:val="14"/>
            <w:u w:val="single" w:color="auto"/>
            <w:color w:val="0000FF"/>
          </w:rPr>
          <w:t>10.10</w:t>
        </w:r>
      </w:hyperlink>
      <w:r>
        <w:rPr>
          <w:rFonts w:ascii="Arial" w:cs="Arial" w:eastAsia="Arial" w:hAnsi="Arial"/>
          <w:sz w:val="14"/>
          <w:szCs w:val="14"/>
          <w:color w:val="0000FF"/>
        </w:rPr>
        <w:tab/>
        <w:t>Credit Agreement Amendment No. 4 dated as of May 11, 2020,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10.10 of the Company’s Quarterly Report on Form 10-Q, filed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19" w:lineRule="exact"/>
        <w:rPr>
          <w:sz w:val="20"/>
          <w:szCs w:val="20"/>
          <w:color w:val="auto"/>
        </w:rPr>
      </w:pPr>
    </w:p>
    <w:p>
      <w:pPr>
        <w:ind w:left="1467" w:right="200" w:hanging="1467"/>
        <w:spacing w:after="0" w:line="229" w:lineRule="auto"/>
        <w:tabs>
          <w:tab w:leader="none" w:pos="963" w:val="left"/>
        </w:tabs>
        <w:numPr>
          <w:ilvl w:val="0"/>
          <w:numId w:val="41"/>
        </w:numPr>
        <w:rPr>
          <w:rFonts w:ascii="Arial" w:cs="Arial" w:eastAsia="Arial" w:hAnsi="Arial"/>
          <w:sz w:val="14"/>
          <w:szCs w:val="14"/>
          <w:color w:val="0000FF"/>
        </w:rPr>
      </w:pPr>
      <w:hyperlink r:id="rId139">
        <w:r>
          <w:rPr>
            <w:rFonts w:ascii="Arial" w:cs="Arial" w:eastAsia="Arial" w:hAnsi="Arial"/>
            <w:sz w:val="14"/>
            <w:szCs w:val="14"/>
            <w:u w:val="single" w:color="auto"/>
            <w:color w:val="0000FF"/>
          </w:rPr>
          <w:t>10.11</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16" w:lineRule="exact"/>
        <w:rPr>
          <w:rFonts w:ascii="Arial" w:cs="Arial" w:eastAsia="Arial" w:hAnsi="Arial"/>
          <w:sz w:val="14"/>
          <w:szCs w:val="14"/>
          <w:color w:val="0000FF"/>
        </w:rPr>
      </w:pPr>
    </w:p>
    <w:p>
      <w:pPr>
        <w:ind w:left="1467" w:right="100" w:hanging="1467"/>
        <w:spacing w:after="0" w:line="219" w:lineRule="auto"/>
        <w:tabs>
          <w:tab w:leader="none" w:pos="963" w:val="left"/>
        </w:tabs>
        <w:numPr>
          <w:ilvl w:val="0"/>
          <w:numId w:val="41"/>
        </w:numPr>
        <w:rPr>
          <w:rFonts w:ascii="Arial" w:cs="Arial" w:eastAsia="Arial" w:hAnsi="Arial"/>
          <w:sz w:val="14"/>
          <w:szCs w:val="14"/>
          <w:color w:val="0000FF"/>
        </w:rPr>
      </w:pPr>
      <w:hyperlink r:id="rId140">
        <w:r>
          <w:rPr>
            <w:rFonts w:ascii="Arial" w:cs="Arial" w:eastAsia="Arial" w:hAnsi="Arial"/>
            <w:sz w:val="14"/>
            <w:szCs w:val="14"/>
            <w:u w:val="single" w:color="auto"/>
            <w:color w:val="0000FF"/>
          </w:rPr>
          <w:t>10.12</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67" w:right="60" w:hanging="503"/>
        <w:spacing w:after="0" w:line="219" w:lineRule="auto"/>
        <w:tabs>
          <w:tab w:leader="none" w:pos="1446" w:val="left"/>
        </w:tabs>
        <w:rPr>
          <w:rFonts w:ascii="Arial" w:cs="Arial" w:eastAsia="Arial" w:hAnsi="Arial"/>
          <w:sz w:val="14"/>
          <w:szCs w:val="14"/>
          <w:color w:val="0000FF"/>
        </w:rPr>
      </w:pPr>
      <w:hyperlink r:id="rId142">
        <w:r>
          <w:rPr>
            <w:rFonts w:ascii="Arial" w:cs="Arial" w:eastAsia="Arial" w:hAnsi="Arial"/>
            <w:sz w:val="14"/>
            <w:szCs w:val="14"/>
            <w:u w:val="single" w:color="auto"/>
            <w:color w:val="0000FF"/>
          </w:rPr>
          <w:t>10.13</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18" w:lineRule="exact"/>
        <w:rPr>
          <w:rFonts w:ascii="Arial" w:cs="Arial" w:eastAsia="Arial" w:hAnsi="Arial"/>
          <w:sz w:val="14"/>
          <w:szCs w:val="14"/>
          <w:color w:val="auto"/>
        </w:rPr>
      </w:pPr>
    </w:p>
    <w:p>
      <w:pPr>
        <w:ind w:left="1467" w:right="200" w:hanging="503"/>
        <w:spacing w:after="0" w:line="219" w:lineRule="auto"/>
        <w:tabs>
          <w:tab w:leader="none" w:pos="1446" w:val="left"/>
        </w:tabs>
        <w:rPr>
          <w:rFonts w:ascii="Arial" w:cs="Arial" w:eastAsia="Arial" w:hAnsi="Arial"/>
          <w:sz w:val="14"/>
          <w:szCs w:val="14"/>
          <w:color w:val="0000FF"/>
        </w:rPr>
      </w:pPr>
      <w:hyperlink r:id="rId143">
        <w:r>
          <w:rPr>
            <w:rFonts w:ascii="Arial" w:cs="Arial" w:eastAsia="Arial" w:hAnsi="Arial"/>
            <w:sz w:val="14"/>
            <w:szCs w:val="14"/>
            <w:u w:val="single" w:color="auto"/>
            <w:color w:val="0000FF"/>
          </w:rPr>
          <w:t>10.14</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467" w:right="580" w:hanging="1467"/>
        <w:spacing w:after="0" w:line="229" w:lineRule="auto"/>
        <w:tabs>
          <w:tab w:leader="none" w:pos="963" w:val="left"/>
        </w:tabs>
        <w:numPr>
          <w:ilvl w:val="0"/>
          <w:numId w:val="42"/>
        </w:numPr>
        <w:rPr>
          <w:rFonts w:ascii="Arial" w:cs="Arial" w:eastAsia="Arial" w:hAnsi="Arial"/>
          <w:sz w:val="14"/>
          <w:szCs w:val="14"/>
          <w:color w:val="0000FF"/>
        </w:rPr>
      </w:pPr>
      <w:hyperlink r:id="rId145">
        <w:r>
          <w:rPr>
            <w:rFonts w:ascii="Arial" w:cs="Arial" w:eastAsia="Arial" w:hAnsi="Arial"/>
            <w:sz w:val="14"/>
            <w:szCs w:val="14"/>
            <w:u w:val="single" w:color="auto"/>
            <w:color w:val="0000FF"/>
          </w:rPr>
          <w:t>10.15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17" w:lineRule="exact"/>
        <w:rPr>
          <w:rFonts w:ascii="Arial" w:cs="Arial" w:eastAsia="Arial" w:hAnsi="Arial"/>
          <w:sz w:val="14"/>
          <w:szCs w:val="14"/>
          <w:color w:val="auto"/>
        </w:rPr>
      </w:pPr>
    </w:p>
    <w:p>
      <w:pPr>
        <w:ind w:left="1467" w:hanging="503"/>
        <w:spacing w:after="0" w:line="249" w:lineRule="auto"/>
        <w:tabs>
          <w:tab w:leader="none" w:pos="1446" w:val="left"/>
        </w:tabs>
        <w:rPr>
          <w:rFonts w:ascii="Arial" w:cs="Arial" w:eastAsia="Arial" w:hAnsi="Arial"/>
          <w:sz w:val="14"/>
          <w:szCs w:val="14"/>
          <w:color w:val="0000FF"/>
        </w:rPr>
      </w:pPr>
      <w:hyperlink r:id="rId146">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67" w:right="20" w:hanging="503"/>
        <w:spacing w:after="0" w:line="249" w:lineRule="auto"/>
        <w:tabs>
          <w:tab w:leader="none" w:pos="1446" w:val="left"/>
        </w:tabs>
        <w:rPr>
          <w:rFonts w:ascii="Arial" w:cs="Arial" w:eastAsia="Arial" w:hAnsi="Arial"/>
          <w:sz w:val="14"/>
          <w:szCs w:val="14"/>
          <w:color w:val="0000FF"/>
        </w:rPr>
      </w:pPr>
      <w:hyperlink r:id="rId148">
        <w:r>
          <w:rPr>
            <w:rFonts w:ascii="Arial" w:cs="Arial" w:eastAsia="Arial" w:hAnsi="Arial"/>
            <w:sz w:val="14"/>
            <w:szCs w:val="14"/>
            <w:u w:val="single" w:color="auto"/>
            <w:color w:val="0000FF"/>
          </w:rPr>
          <w:t>10.17</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39" w:lineRule="exact"/>
        <w:rPr>
          <w:rFonts w:ascii="Arial" w:cs="Arial" w:eastAsia="Arial" w:hAnsi="Arial"/>
          <w:sz w:val="14"/>
          <w:szCs w:val="14"/>
          <w:color w:val="auto"/>
        </w:rPr>
      </w:pPr>
    </w:p>
    <w:p>
      <w:pPr>
        <w:ind w:left="1467" w:right="40" w:hanging="503"/>
        <w:spacing w:after="0" w:line="249" w:lineRule="auto"/>
        <w:tabs>
          <w:tab w:leader="none" w:pos="1446" w:val="left"/>
        </w:tabs>
        <w:rPr>
          <w:rFonts w:ascii="Arial" w:cs="Arial" w:eastAsia="Arial" w:hAnsi="Arial"/>
          <w:sz w:val="14"/>
          <w:szCs w:val="14"/>
          <w:color w:val="0000FF"/>
        </w:rPr>
      </w:pPr>
      <w:hyperlink r:id="rId149">
        <w:r>
          <w:rPr>
            <w:rFonts w:ascii="Arial" w:cs="Arial" w:eastAsia="Arial" w:hAnsi="Arial"/>
            <w:sz w:val="14"/>
            <w:szCs w:val="14"/>
            <w:u w:val="single" w:color="auto"/>
            <w:color w:val="0000FF"/>
          </w:rPr>
          <w:t>10.18</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67" w:right="100" w:hanging="503"/>
        <w:spacing w:after="0" w:line="249" w:lineRule="auto"/>
        <w:tabs>
          <w:tab w:leader="none" w:pos="1446" w:val="left"/>
        </w:tabs>
        <w:rPr>
          <w:rFonts w:ascii="Arial" w:cs="Arial" w:eastAsia="Arial" w:hAnsi="Arial"/>
          <w:sz w:val="14"/>
          <w:szCs w:val="14"/>
          <w:color w:val="0000FF"/>
        </w:rPr>
      </w:pPr>
      <w:hyperlink r:id="rId151">
        <w:r>
          <w:rPr>
            <w:rFonts w:ascii="Arial" w:cs="Arial" w:eastAsia="Arial" w:hAnsi="Arial"/>
            <w:sz w:val="14"/>
            <w:szCs w:val="14"/>
            <w:u w:val="single" w:color="auto"/>
            <w:color w:val="0000FF"/>
          </w:rPr>
          <w:t>10.19</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39"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93">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071995"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94">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8"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96">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071995"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1027"/>
        <w:spacing w:after="0"/>
        <w:tabs>
          <w:tab w:leader="none" w:pos="1446" w:val="left"/>
        </w:tabs>
        <w:rPr>
          <w:rFonts w:ascii="Arial" w:cs="Arial" w:eastAsia="Arial" w:hAnsi="Arial"/>
          <w:sz w:val="14"/>
          <w:szCs w:val="14"/>
          <w:color w:val="0000FF"/>
        </w:rPr>
      </w:pPr>
      <w:hyperlink w:anchor="page95">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8" w:lineRule="exact"/>
        <w:rPr>
          <w:rFonts w:ascii="Arial" w:cs="Arial" w:eastAsia="Arial" w:hAnsi="Arial"/>
          <w:sz w:val="14"/>
          <w:szCs w:val="14"/>
          <w:color w:val="auto"/>
        </w:rPr>
      </w:pPr>
    </w:p>
    <w:p>
      <w:pPr>
        <w:ind w:left="1467" w:right="20" w:hanging="442"/>
        <w:spacing w:after="0" w:line="215" w:lineRule="auto"/>
        <w:tabs>
          <w:tab w:leader="none" w:pos="146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September 30, 2020,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467" w:hanging="442"/>
        <w:spacing w:after="0"/>
        <w:tabs>
          <w:tab w:leader="none" w:pos="1467" w:val="left"/>
        </w:tabs>
        <w:numPr>
          <w:ilvl w:val="1"/>
          <w:numId w:val="4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4" w:lineRule="exact"/>
        <w:rPr>
          <w:rFonts w:ascii="Arial" w:cs="Arial" w:eastAsia="Arial" w:hAnsi="Arial"/>
          <w:sz w:val="14"/>
          <w:szCs w:val="14"/>
          <w:color w:val="auto"/>
        </w:rPr>
      </w:pPr>
    </w:p>
    <w:p>
      <w:pPr>
        <w:ind w:left="227" w:hanging="227"/>
        <w:spacing w:after="0"/>
        <w:tabs>
          <w:tab w:leader="none" w:pos="227"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7071995"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227" w:hanging="227"/>
        <w:spacing w:after="0"/>
        <w:tabs>
          <w:tab w:leader="none" w:pos="227"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5" w:lineRule="exact"/>
        <w:rPr>
          <w:rFonts w:ascii="Arial" w:cs="Arial" w:eastAsia="Arial" w:hAnsi="Arial"/>
          <w:sz w:val="14"/>
          <w:szCs w:val="14"/>
          <w:color w:val="auto"/>
        </w:rPr>
      </w:pPr>
    </w:p>
    <w:p>
      <w:pPr>
        <w:jc w:val="center"/>
        <w:ind w:right="-26"/>
        <w:spacing w:after="0"/>
        <w:rPr>
          <w:sz w:val="20"/>
          <w:szCs w:val="20"/>
          <w:color w:val="auto"/>
        </w:rPr>
      </w:pPr>
      <w:r>
        <w:rPr>
          <w:rFonts w:ascii="Arial" w:cs="Arial" w:eastAsia="Arial" w:hAnsi="Arial"/>
          <w:sz w:val="16"/>
          <w:szCs w:val="16"/>
          <w:color w:val="auto"/>
        </w:rPr>
        <w:t>90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-40640</wp:posOffset>
            </wp:positionH>
            <wp:positionV relativeFrom="paragraph">
              <wp:posOffset>224790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7"/>
          </w:cols>
          <w:pgMar w:left="393" w:top="1085" w:right="4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c>
          <w:tcPr>
            <w:tcW w:w="4500" w:type="dxa"/>
            <w:vAlign w:val="bottom"/>
          </w:tcPr>
          <w:p>
            <w:pPr>
              <w:ind w:left="3820"/>
              <w:spacing w:after="0"/>
              <w:rPr>
                <w:sz w:val="20"/>
                <w:szCs w:val="20"/>
                <w:color w:val="auto"/>
              </w:rPr>
            </w:pPr>
            <w:r>
              <w:rPr>
                <w:rFonts w:ascii="Arial" w:cs="Arial" w:eastAsia="Arial" w:hAnsi="Arial"/>
                <w:sz w:val="16"/>
                <w:szCs w:val="16"/>
                <w:color w:val="auto"/>
              </w:rPr>
              <w:t>Date:</w:t>
            </w:r>
          </w:p>
        </w:tc>
        <w:tc>
          <w:tcPr>
            <w:tcW w:w="1540" w:type="dxa"/>
            <w:vAlign w:val="bottom"/>
          </w:tcPr>
          <w:p>
            <w:pPr>
              <w:ind w:left="280"/>
              <w:spacing w:after="0"/>
              <w:rPr>
                <w:sz w:val="20"/>
                <w:szCs w:val="20"/>
                <w:color w:val="auto"/>
              </w:rPr>
            </w:pPr>
            <w:r>
              <w:rPr>
                <w:rFonts w:ascii="Arial" w:cs="Arial" w:eastAsia="Arial" w:hAnsi="Arial"/>
                <w:sz w:val="16"/>
                <w:szCs w:val="16"/>
                <w:color w:val="auto"/>
              </w:rPr>
              <w:t>October 30, 2020</w:t>
            </w:r>
          </w:p>
        </w:tc>
      </w:tr>
      <w:tr>
        <w:trPr>
          <w:trHeight w:val="207"/>
        </w:trPr>
        <w:tc>
          <w:tcPr>
            <w:tcW w:w="52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Joseph P. Adams, Jr.</w:t>
            </w:r>
          </w:p>
        </w:tc>
        <w:tc>
          <w:tcPr>
            <w:tcW w:w="45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Chairman and Chief Executive Officer</w:t>
            </w:r>
          </w:p>
        </w:tc>
        <w:tc>
          <w:tcPr>
            <w:tcW w:w="4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705"/>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c>
          <w:tcPr>
            <w:tcW w:w="4500" w:type="dxa"/>
            <w:vAlign w:val="bottom"/>
          </w:tcPr>
          <w:p>
            <w:pPr>
              <w:ind w:left="3800"/>
              <w:spacing w:after="0"/>
              <w:rPr>
                <w:sz w:val="20"/>
                <w:szCs w:val="20"/>
                <w:color w:val="auto"/>
              </w:rPr>
            </w:pPr>
            <w:r>
              <w:rPr>
                <w:rFonts w:ascii="Arial" w:cs="Arial" w:eastAsia="Arial" w:hAnsi="Arial"/>
                <w:sz w:val="16"/>
                <w:szCs w:val="16"/>
                <w:color w:val="auto"/>
              </w:rPr>
              <w:t>Date:</w:t>
            </w:r>
          </w:p>
        </w:tc>
        <w:tc>
          <w:tcPr>
            <w:tcW w:w="1540" w:type="dxa"/>
            <w:vAlign w:val="bottom"/>
          </w:tcPr>
          <w:p>
            <w:pPr>
              <w:ind w:left="280"/>
              <w:spacing w:after="0"/>
              <w:rPr>
                <w:sz w:val="20"/>
                <w:szCs w:val="20"/>
                <w:color w:val="auto"/>
              </w:rPr>
            </w:pPr>
            <w:r>
              <w:rPr>
                <w:rFonts w:ascii="Arial" w:cs="Arial" w:eastAsia="Arial" w:hAnsi="Arial"/>
                <w:sz w:val="16"/>
                <w:szCs w:val="16"/>
                <w:color w:val="auto"/>
              </w:rPr>
              <w:t>October 30, 2020</w:t>
            </w:r>
          </w:p>
        </w:tc>
      </w:tr>
      <w:tr>
        <w:trPr>
          <w:trHeight w:val="207"/>
        </w:trPr>
        <w:tc>
          <w:tcPr>
            <w:tcW w:w="52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Scott Christopher</w:t>
            </w:r>
          </w:p>
        </w:tc>
        <w:tc>
          <w:tcPr>
            <w:tcW w:w="45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4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705"/>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Nam</w:t>
            </w:r>
          </w:p>
        </w:tc>
        <w:tc>
          <w:tcPr>
            <w:tcW w:w="4500" w:type="dxa"/>
            <w:vAlign w:val="bottom"/>
          </w:tcPr>
          <w:p>
            <w:pPr>
              <w:ind w:left="3800"/>
              <w:spacing w:after="0"/>
              <w:rPr>
                <w:sz w:val="20"/>
                <w:szCs w:val="20"/>
                <w:color w:val="auto"/>
              </w:rPr>
            </w:pPr>
            <w:r>
              <w:rPr>
                <w:rFonts w:ascii="Arial" w:cs="Arial" w:eastAsia="Arial" w:hAnsi="Arial"/>
                <w:sz w:val="16"/>
                <w:szCs w:val="16"/>
                <w:color w:val="auto"/>
              </w:rPr>
              <w:t>Date:</w:t>
            </w:r>
          </w:p>
        </w:tc>
        <w:tc>
          <w:tcPr>
            <w:tcW w:w="1540" w:type="dxa"/>
            <w:vAlign w:val="bottom"/>
          </w:tcPr>
          <w:p>
            <w:pPr>
              <w:ind w:left="280"/>
              <w:spacing w:after="0"/>
              <w:rPr>
                <w:sz w:val="20"/>
                <w:szCs w:val="20"/>
                <w:color w:val="auto"/>
              </w:rPr>
            </w:pPr>
            <w:r>
              <w:rPr>
                <w:rFonts w:ascii="Arial" w:cs="Arial" w:eastAsia="Arial" w:hAnsi="Arial"/>
                <w:sz w:val="16"/>
                <w:szCs w:val="16"/>
                <w:color w:val="auto"/>
              </w:rPr>
              <w:t>October 30, 2020</w:t>
            </w:r>
          </w:p>
        </w:tc>
      </w:tr>
      <w:tr>
        <w:trPr>
          <w:trHeight w:val="207"/>
        </w:trPr>
        <w:tc>
          <w:tcPr>
            <w:tcW w:w="52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Eun Nam</w:t>
            </w:r>
          </w:p>
        </w:tc>
        <w:tc>
          <w:tcPr>
            <w:tcW w:w="45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Chief Accounting Officer</w:t>
            </w:r>
          </w:p>
        </w:tc>
        <w:tc>
          <w:tcPr>
            <w:tcW w:w="4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932"/>
        </w:trPr>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500" w:type="dxa"/>
            <w:vAlign w:val="bottom"/>
          </w:tcPr>
          <w:p>
            <w:pPr>
              <w:jc w:val="right"/>
              <w:ind w:right="2859"/>
              <w:spacing w:after="0"/>
              <w:rPr>
                <w:sz w:val="20"/>
                <w:szCs w:val="20"/>
                <w:color w:val="auto"/>
              </w:rPr>
            </w:pPr>
            <w:r>
              <w:rPr>
                <w:rFonts w:ascii="Arial" w:cs="Arial" w:eastAsia="Arial" w:hAnsi="Arial"/>
                <w:sz w:val="16"/>
                <w:szCs w:val="16"/>
                <w:color w:val="auto"/>
              </w:rPr>
              <w:t>91</w:t>
            </w:r>
          </w:p>
        </w:tc>
        <w:tc>
          <w:tcPr>
            <w:tcW w:w="1540" w:type="dxa"/>
            <w:vAlign w:val="bottom"/>
          </w:tcPr>
          <w:p>
            <w:pPr>
              <w:spacing w:after="0"/>
              <w:rPr>
                <w:sz w:val="24"/>
                <w:szCs w:val="24"/>
                <w:color w:val="auto"/>
              </w:rPr>
            </w:pPr>
          </w:p>
        </w:tc>
      </w:tr>
    </w:tbl>
    <w:p>
      <w:pPr>
        <w:sectPr>
          <w:pgSz w:w="11900" w:h="16838" w:orient="portrait"/>
          <w:cols w:equalWidth="0" w:num="1">
            <w:col w:w="11220"/>
          </w:cols>
          <w:pgMar w:left="320" w:top="1039"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374"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October 30, 2020</w:t>
            </w:r>
          </w:p>
        </w:tc>
        <w:tc>
          <w:tcPr>
            <w:tcW w:w="53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7"/>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2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2"/>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2"/>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2"/>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2"/>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443"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2"/>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2"/>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October 30, 2020</w:t>
            </w:r>
          </w:p>
        </w:tc>
        <w:tc>
          <w:tcPr>
            <w:tcW w:w="55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07"/>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16"/>
        </w:trPr>
        <w:tc>
          <w:tcPr>
            <w:tcW w:w="1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1"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2020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30, 2020</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2020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30, 2020</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lvl w:ilvl="1">
      <w:lvlJc w:val="left"/>
      <w:lvlText w:val="(%2)"/>
      <w:numFmt w:val="lowerRoman"/>
      <w:start w:val="3"/>
    </w:lvl>
  </w:abstractNum>
  <w:abstractNum w:abstractNumId="11">
    <w:nsid w:val="1E7FF521"/>
    <w:multiLevelType w:val="hybridMultilevel"/>
    <w:lvl w:ilvl="0">
      <w:lvlJc w:val="left"/>
      <w:lvlText w:val="%1"/>
      <w:numFmt w:val="decimal"/>
      <w:start w:val="1"/>
    </w:lvl>
    <w:lvl w:ilvl="1">
      <w:lvlJc w:val="left"/>
      <w:lvlText w:val="(%2)"/>
      <w:numFmt w:val="lowerRoman"/>
      <w:start w:val="2"/>
    </w:lvl>
  </w:abstractNum>
  <w:abstractNum w:abstractNumId="12">
    <w:nsid w:val="7C3DBD3D"/>
    <w:multiLevelType w:val="hybridMultilevel"/>
    <w:lvl w:ilvl="0">
      <w:lvlJc w:val="left"/>
      <w:lvlText w:val="(%1)"/>
      <w:numFmt w:val="decimal"/>
      <w:start w:val="3"/>
    </w:lvl>
    <w:lvl w:ilvl="1">
      <w:lvlJc w:val="left"/>
      <w:lvlText w:val="%2"/>
      <w:numFmt w:val="lowerRoman"/>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lvl w:ilvl="1">
      <w:lvlJc w:val="left"/>
      <w:lvlText w:val="(%2)"/>
      <w:numFmt w:val="lowerRoman"/>
      <w:start w:val="3"/>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lowerRoman"/>
      <w:start w:val="4"/>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01"/>
    </w:lvl>
  </w:abstractNum>
  <w:abstractNum w:abstractNumId="43">
    <w:nsid w:val="542289EC"/>
    <w:multiLevelType w:val="hybridMultilevel"/>
    <w:lvl w:ilvl="0">
      <w:lvlJc w:val="left"/>
      <w:lvlText w:val="†"/>
      <w:numFmt w:val="bullet"/>
      <w:start w:val="1"/>
    </w:lvl>
    <w:lvl w:ilvl="1">
      <w:lvlJc w:val="left"/>
      <w:lvlText w:val="%2"/>
      <w:numFmt w:val="decimal"/>
      <w:start w:val="104"/>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05" Type="http://schemas.openxmlformats.org/officeDocument/2006/relationships/image" Target="media/image94.png"/><Relationship Id="rId107" Type="http://schemas.openxmlformats.org/officeDocument/2006/relationships/image" Target="media/image95.png"/><Relationship Id="rId109" Type="http://schemas.openxmlformats.org/officeDocument/2006/relationships/image" Target="media/image96.png"/><Relationship Id="rId112" Type="http://schemas.openxmlformats.org/officeDocument/2006/relationships/image" Target="media/image97.png"/><Relationship Id="rId115" Type="http://schemas.openxmlformats.org/officeDocument/2006/relationships/image" Target="media/image98.png"/><Relationship Id="rId117" Type="http://schemas.openxmlformats.org/officeDocument/2006/relationships/image" Target="media/image99.png"/><Relationship Id="rId120" Type="http://schemas.openxmlformats.org/officeDocument/2006/relationships/image" Target="media/image100.png"/><Relationship Id="rId122"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5" Type="http://schemas.openxmlformats.org/officeDocument/2006/relationships/image" Target="media/image106.png"/><Relationship Id="rId138" Type="http://schemas.openxmlformats.org/officeDocument/2006/relationships/image" Target="media/image107.png"/><Relationship Id="rId141" Type="http://schemas.openxmlformats.org/officeDocument/2006/relationships/image" Target="media/image108.png"/><Relationship Id="rId144" Type="http://schemas.openxmlformats.org/officeDocument/2006/relationships/image" Target="media/image109.png"/><Relationship Id="rId147" Type="http://schemas.openxmlformats.org/officeDocument/2006/relationships/image" Target="media/image110.png"/><Relationship Id="rId150"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00" Type="http://schemas.openxmlformats.org/officeDocument/2006/relationships/hyperlink" Target="http://www.sec.gov/Archives/edgar/data/1590364/000114036120000280/ex2_1.htm" TargetMode="External"/><Relationship Id="rId101" Type="http://schemas.openxmlformats.org/officeDocument/2006/relationships/hyperlink" Target="http://www.sec.gov/Archives/edgar/data/1590364/000119312515163776/d616610dex31.htm" TargetMode="External"/><Relationship Id="rId103" Type="http://schemas.openxmlformats.org/officeDocument/2006/relationships/hyperlink" Target="http://www.sec.gov/Archives/edgar/data/1590364/000114036119021576/nc10006381x2_ex3-2.htm" TargetMode="External"/><Relationship Id="rId104" Type="http://schemas.openxmlformats.org/officeDocument/2006/relationships/hyperlink" Target="http://www.sec.gov/Archives/edgar/data/1590364/000114036119016562/ex3_2.htm" TargetMode="External"/><Relationship Id="rId106" Type="http://schemas.openxmlformats.org/officeDocument/2006/relationships/hyperlink" Target="http://www.sec.gov/Archives/edgar/data/1590364/000095015717000381/ex4-1.htm" TargetMode="External"/><Relationship Id="rId108" Type="http://schemas.openxmlformats.org/officeDocument/2006/relationships/hyperlink" Target="http://www.sec.gov/Archives/edgar/data/1590364/000159036418000003/ftai12312017exhibit43.htm" TargetMode="External"/><Relationship Id="rId110" Type="http://schemas.openxmlformats.org/officeDocument/2006/relationships/hyperlink" Target="http://www.sec.gov/Archives/edgar/data/1590364/000095015717001232/ex4-1.htm" TargetMode="External"/><Relationship Id="rId111" Type="http://schemas.openxmlformats.org/officeDocument/2006/relationships/hyperlink" Target="http://www.sec.gov/Archives/edgar/data/1590364/000114036117046889/s001999x5_ex4-1.htm" TargetMode="External"/><Relationship Id="rId113" Type="http://schemas.openxmlformats.org/officeDocument/2006/relationships/hyperlink" Target="http://www.sec.gov/Archives/edgar/data/1590364/000114036118026546/ex4_1.htm" TargetMode="External"/><Relationship Id="rId114" Type="http://schemas.openxmlformats.org/officeDocument/2006/relationships/hyperlink" Target="http://www.sec.gov/Archives/edgar/data/1590364/000114036119002776/s002571x8_ex4-1.htm" TargetMode="External"/><Relationship Id="rId116" Type="http://schemas.openxmlformats.org/officeDocument/2006/relationships/hyperlink" Target="http://www.sec.gov/Archives/edgar/data/1590364/000114036118038650/ex4_1.htm" TargetMode="External"/><Relationship Id="rId118" Type="http://schemas.openxmlformats.org/officeDocument/2006/relationships/hyperlink" Target="http://www.sec.gov/Archives/edgar/data/1590364/000114036119009546/nc10001919x3_ex4-1.htm" TargetMode="External"/><Relationship Id="rId119" Type="http://schemas.openxmlformats.org/officeDocument/2006/relationships/hyperlink" Target="http://www.sec.gov/Archives/edgar/data/1590364/000114036119016562/ex3_2.htm#Exhibit4.1" TargetMode="External"/><Relationship Id="rId121" Type="http://schemas.openxmlformats.org/officeDocument/2006/relationships/hyperlink" Target="http://www.sec.gov/Archives/edgar/data/1590364/000159036420000002/ftai12312019exhibit413.htm" TargetMode="External"/><Relationship Id="rId123" Type="http://schemas.openxmlformats.org/officeDocument/2006/relationships/hyperlink" Target="http://www.sec.gov/Archives/edgar/data/1590364/000119312515197222/d931434dex101.htm" TargetMode="External"/><Relationship Id="rId124" Type="http://schemas.openxmlformats.org/officeDocument/2006/relationships/hyperlink" Target="http://www.sec.gov/Archives/edgar/data/1590364/000119312515197222/d931434dex102.htm" TargetMode="External"/><Relationship Id="rId125" Type="http://schemas.openxmlformats.org/officeDocument/2006/relationships/hyperlink" Target="http://www.sec.gov/Archives/edgar/data/1590364/000119312515163776/d616610dex103.htm" TargetMode="External"/><Relationship Id="rId126" Type="http://schemas.openxmlformats.org/officeDocument/2006/relationships/hyperlink" Target="http://www.sec.gov/Archives/edgar/data/1590364/000119312515197222/d931434dex104.htm" TargetMode="External"/><Relationship Id="rId129" Type="http://schemas.openxmlformats.org/officeDocument/2006/relationships/hyperlink" Target="http://www.sec.gov/Archives/edgar/data/1590364/000119312515163776/d616610dex105.htm" TargetMode="External"/><Relationship Id="rId130" Type="http://schemas.openxmlformats.org/officeDocument/2006/relationships/hyperlink" Target="http://www.sec.gov/Archives/edgar/data/1590364/000156761917001299/s001761x1_ex10-1.htm" TargetMode="External"/><Relationship Id="rId133" Type="http://schemas.openxmlformats.org/officeDocument/2006/relationships/hyperlink" Target="http://www.sec.gov/Archives/edgar/data/1590364/000159036418000010/creditagreement-exhibit1015.htm" TargetMode="External"/><Relationship Id="rId134" Type="http://schemas.openxmlformats.org/officeDocument/2006/relationships/hyperlink" Target="http://www.sec.gov/Archives/edgar/data/1590364/000114036119002813/s002571x9_ex10-1.htm" TargetMode="External"/><Relationship Id="rId136" Type="http://schemas.openxmlformats.org/officeDocument/2006/relationships/hyperlink" Target="http://www.sec.gov/Archives/edgar/data/1590364/000114036119014758/ex10_1.htm" TargetMode="External"/><Relationship Id="rId137" Type="http://schemas.openxmlformats.org/officeDocument/2006/relationships/hyperlink" Target="http://www.sec.gov/Archives/edgar/data/1590364/000159036420000007/ftaifourthamendment2020.htm" TargetMode="External"/><Relationship Id="rId139" Type="http://schemas.openxmlformats.org/officeDocument/2006/relationships/hyperlink" Target="http://www.sec.gov/Archives/edgar/data/1590364/000159036419000004/epccontract-exhibit1017.htm" TargetMode="External"/><Relationship Id="rId140" Type="http://schemas.openxmlformats.org/officeDocument/2006/relationships/hyperlink" Target="http://www.sec.gov/Archives/edgar/data/1590364/000159036419000004/geequipmentsupplyagreement.htm" TargetMode="External"/><Relationship Id="rId142" Type="http://schemas.openxmlformats.org/officeDocument/2006/relationships/hyperlink" Target="http://www.sec.gov/Archives/edgar/data/1590364/000159036419000004/firstliencreditagreement-e.htm" TargetMode="External"/><Relationship Id="rId143" Type="http://schemas.openxmlformats.org/officeDocument/2006/relationships/hyperlink" Target="http://www.sec.gov/Archives/edgar/data/1590364/000159036419000004/secondliencreditagreement-.htm" TargetMode="External"/><Relationship Id="rId145" Type="http://schemas.openxmlformats.org/officeDocument/2006/relationships/hyperlink" Target="http://www.sec.gov/Archives/edgar/data/1590364/000114036118002262/s002014x3_ex10-1.htm" TargetMode="External"/><Relationship Id="rId146" Type="http://schemas.openxmlformats.org/officeDocument/2006/relationships/hyperlink" Target="http://www.sec.gov/Archives/edgar/data/1590364/000159036420000005/jeffersonintercompanyr.htm" TargetMode="External"/><Relationship Id="rId148" Type="http://schemas.openxmlformats.org/officeDocument/2006/relationships/hyperlink" Target="http://www.sec.gov/Archives/edgar/data/1590364/000159036420000005/jeffersonseniorloanagr.htm" TargetMode="External"/><Relationship Id="rId149" Type="http://schemas.openxmlformats.org/officeDocument/2006/relationships/hyperlink" Target="http://www.sec.gov/Archives/edgar/data/1590364/000159036420000005/jeffersondeedoftrust.htm" TargetMode="External"/><Relationship Id="rId151" Type="http://schemas.openxmlformats.org/officeDocument/2006/relationships/hyperlink" Target="http://www.sec.gov/Archives/edgar/data/1590364/000159036420000005/jeffersonfacilitiesl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2020-10-30T15:21:53Z</dcterms:created>
  <dcterms:modified xsi:type="dcterms:W3CDTF">2020-10-30T15:21:53Z</dcterms:modified>
</cp:coreProperties>
</file>